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60B3" w14:textId="77777777" w:rsidR="009801F9" w:rsidRPr="00AA5194" w:rsidRDefault="00A87826" w:rsidP="00AA5194">
      <w:pPr>
        <w:spacing w:after="0" w:line="240" w:lineRule="auto"/>
        <w:jc w:val="center"/>
        <w:rPr>
          <w:rStyle w:val="sxl"/>
          <w:b/>
          <w:bCs/>
          <w:sz w:val="36"/>
          <w:szCs w:val="36"/>
        </w:rPr>
      </w:pPr>
      <w:r w:rsidRPr="00AA5194">
        <w:rPr>
          <w:rStyle w:val="sxl"/>
          <w:b/>
          <w:bCs/>
          <w:sz w:val="36"/>
          <w:szCs w:val="36"/>
        </w:rPr>
        <w:t>Smlouva o nájmu movité věci</w:t>
      </w:r>
    </w:p>
    <w:p w14:paraId="68AFA4D7" w14:textId="370E82EE" w:rsidR="009801F9" w:rsidRDefault="00A87826" w:rsidP="00AA5194">
      <w:pPr>
        <w:spacing w:after="0" w:line="240" w:lineRule="auto"/>
        <w:jc w:val="center"/>
        <w:rPr>
          <w:rStyle w:val="sxl"/>
          <w:b/>
          <w:bCs/>
          <w:sz w:val="28"/>
          <w:szCs w:val="28"/>
        </w:rPr>
      </w:pPr>
      <w:r>
        <w:rPr>
          <w:rStyle w:val="sxl"/>
          <w:b/>
          <w:bCs/>
          <w:sz w:val="28"/>
          <w:szCs w:val="28"/>
        </w:rPr>
        <w:t>dle § 2316 a násl. občanského zákoníku</w:t>
      </w:r>
    </w:p>
    <w:p w14:paraId="42C1A918" w14:textId="77777777" w:rsidR="00AA5194" w:rsidRDefault="00AA5194" w:rsidP="00AA5194">
      <w:pPr>
        <w:spacing w:after="0" w:line="240" w:lineRule="auto"/>
        <w:jc w:val="center"/>
        <w:rPr>
          <w:rStyle w:val="sx"/>
          <w:b/>
          <w:sz w:val="28"/>
          <w:szCs w:val="28"/>
        </w:rPr>
      </w:pPr>
    </w:p>
    <w:p w14:paraId="3553C8F0" w14:textId="77777777" w:rsidR="009801F9" w:rsidRDefault="00A87826">
      <w:pPr>
        <w:spacing w:line="240" w:lineRule="auto"/>
        <w:rPr>
          <w:rStyle w:val="sx"/>
        </w:rPr>
      </w:pPr>
      <w:r>
        <w:rPr>
          <w:rStyle w:val="sxl"/>
        </w:rPr>
        <w:t>Níže uvedeného dne, měsíce a roku uzavřeli</w:t>
      </w:r>
      <w:r>
        <w:rPr>
          <w:rStyle w:val="sx"/>
        </w:rPr>
        <w:t xml:space="preserve"> </w:t>
      </w:r>
    </w:p>
    <w:p w14:paraId="78B25B59" w14:textId="2B24C17F" w:rsidR="009801F9" w:rsidRDefault="00A87826" w:rsidP="00850835">
      <w:pPr>
        <w:spacing w:after="91" w:line="259" w:lineRule="auto"/>
        <w:ind w:hanging="10"/>
        <w:rPr>
          <w:rStyle w:val="sx"/>
        </w:rPr>
      </w:pPr>
      <w:r>
        <w:rPr>
          <w:rFonts w:cs="Times New Roman"/>
          <w:b/>
        </w:rPr>
        <w:t>Oblastní nemocnice Mladá Boleslav, a.s., nemocnice Středočeského kraje</w:t>
      </w:r>
      <w:r w:rsidR="00C42373">
        <w:rPr>
          <w:rFonts w:cs="Times New Roman"/>
          <w:b/>
        </w:rPr>
        <w:br/>
      </w:r>
      <w:r w:rsidR="00C42373" w:rsidRPr="00C42373">
        <w:rPr>
          <w:rFonts w:cs="Times New Roman"/>
          <w:bCs/>
        </w:rPr>
        <w:t>se sídlem</w:t>
      </w:r>
      <w:r w:rsidR="00C42373">
        <w:rPr>
          <w:rFonts w:cs="Times New Roman"/>
          <w:b/>
        </w:rPr>
        <w:t xml:space="preserve"> </w:t>
      </w:r>
      <w:r>
        <w:rPr>
          <w:rFonts w:eastAsia="MS Mincho" w:cs="Times New Roman"/>
          <w:szCs w:val="24"/>
        </w:rPr>
        <w:t xml:space="preserve">tř. Václava Klementa 147, 293 01 Mladá Boleslav </w:t>
      </w:r>
      <w:r w:rsidR="00C42373">
        <w:rPr>
          <w:rFonts w:eastAsia="MS Mincho" w:cs="Times New Roman"/>
          <w:szCs w:val="24"/>
        </w:rPr>
        <w:br/>
      </w:r>
      <w:r>
        <w:rPr>
          <w:rFonts w:eastAsia="MS Mincho" w:cs="Times New Roman"/>
          <w:szCs w:val="24"/>
        </w:rPr>
        <w:t xml:space="preserve">IČO: 27256456 </w:t>
      </w:r>
      <w:r w:rsidR="00C42373">
        <w:rPr>
          <w:rFonts w:eastAsia="MS Mincho" w:cs="Times New Roman"/>
          <w:szCs w:val="24"/>
        </w:rPr>
        <w:br/>
      </w:r>
      <w:r>
        <w:rPr>
          <w:rFonts w:eastAsia="MS Mincho" w:cs="Times New Roman"/>
          <w:szCs w:val="24"/>
        </w:rPr>
        <w:t xml:space="preserve">Zastupující: </w:t>
      </w:r>
      <w:r w:rsidR="00086798">
        <w:rPr>
          <w:rFonts w:eastAsia="MS Mincho" w:cs="Times New Roman"/>
          <w:szCs w:val="24"/>
        </w:rPr>
        <w:t xml:space="preserve">předseda představenstva </w:t>
      </w:r>
      <w:r>
        <w:rPr>
          <w:rFonts w:eastAsia="MS Mincho" w:cs="Times New Roman"/>
          <w:szCs w:val="24"/>
        </w:rPr>
        <w:t>JUDr. Ladislav Řípa</w:t>
      </w:r>
      <w:r w:rsidR="00C42373">
        <w:rPr>
          <w:rFonts w:eastAsia="MS Mincho" w:cs="Times New Roman"/>
          <w:szCs w:val="24"/>
        </w:rPr>
        <w:t xml:space="preserve"> </w:t>
      </w:r>
      <w:r w:rsidR="00086798">
        <w:rPr>
          <w:rFonts w:eastAsia="MS Mincho" w:cs="Times New Roman"/>
          <w:szCs w:val="24"/>
        </w:rPr>
        <w:t>a místopředseda představenstva Mgr. Daniel Marek</w:t>
      </w:r>
      <w:r w:rsidR="00C42373">
        <w:rPr>
          <w:rFonts w:eastAsia="MS Mincho" w:cs="Times New Roman"/>
          <w:szCs w:val="24"/>
        </w:rPr>
        <w:br/>
      </w:r>
      <w:r w:rsidR="00086798">
        <w:rPr>
          <w:szCs w:val="24"/>
        </w:rPr>
        <w:t>zaps</w:t>
      </w:r>
      <w:r w:rsidR="00C42373">
        <w:rPr>
          <w:szCs w:val="24"/>
        </w:rPr>
        <w:t>aná</w:t>
      </w:r>
      <w:r w:rsidR="00086798">
        <w:rPr>
          <w:szCs w:val="24"/>
        </w:rPr>
        <w:t xml:space="preserve"> v OR MS v Praze odd. B, vl</w:t>
      </w:r>
      <w:r w:rsidR="00960E3D">
        <w:rPr>
          <w:szCs w:val="24"/>
        </w:rPr>
        <w:t>ožka</w:t>
      </w:r>
      <w:r w:rsidR="00086798">
        <w:rPr>
          <w:szCs w:val="24"/>
        </w:rPr>
        <w:t xml:space="preserve"> 10019</w:t>
      </w:r>
      <w:r w:rsidR="00850835">
        <w:rPr>
          <w:szCs w:val="24"/>
        </w:rPr>
        <w:br/>
      </w:r>
      <w:r>
        <w:rPr>
          <w:rFonts w:eastAsia="MS Mincho" w:cs="Times New Roman"/>
          <w:szCs w:val="24"/>
        </w:rPr>
        <w:t>(dále jen „</w:t>
      </w:r>
      <w:r>
        <w:rPr>
          <w:rFonts w:eastAsia="MS Mincho" w:cs="Times New Roman"/>
          <w:b/>
          <w:bCs/>
          <w:szCs w:val="24"/>
        </w:rPr>
        <w:t>nájemce</w:t>
      </w:r>
      <w:r>
        <w:rPr>
          <w:rFonts w:eastAsia="MS Mincho" w:cs="Times New Roman"/>
          <w:szCs w:val="24"/>
        </w:rPr>
        <w:t>“)</w:t>
      </w:r>
      <w:r>
        <w:t xml:space="preserve">  </w:t>
      </w:r>
      <w:r>
        <w:rPr>
          <w:rStyle w:val="sx"/>
        </w:rPr>
        <w:t xml:space="preserve"> </w:t>
      </w:r>
    </w:p>
    <w:p w14:paraId="6D676502" w14:textId="77777777" w:rsidR="009801F9" w:rsidRDefault="009801F9">
      <w:pPr>
        <w:spacing w:after="0" w:line="240" w:lineRule="auto"/>
        <w:rPr>
          <w:rStyle w:val="sx"/>
        </w:rPr>
      </w:pPr>
    </w:p>
    <w:p w14:paraId="329AEB59" w14:textId="77777777" w:rsidR="009801F9" w:rsidRDefault="00A87826">
      <w:pPr>
        <w:pStyle w:val="Prosttext"/>
        <w:rPr>
          <w:rStyle w:val="sx"/>
        </w:rPr>
      </w:pPr>
      <w:r>
        <w:rPr>
          <w:rStyle w:val="sxl"/>
          <w:rFonts w:ascii="Times New Roman" w:hAnsi="Times New Roman" w:cs="Times New Roman"/>
          <w:sz w:val="24"/>
          <w:szCs w:val="24"/>
        </w:rPr>
        <w:t>a</w:t>
      </w:r>
      <w:r>
        <w:rPr>
          <w:rStyle w:val="sx"/>
        </w:rPr>
        <w:t xml:space="preserve"> </w:t>
      </w:r>
    </w:p>
    <w:p w14:paraId="7C438547" w14:textId="77777777" w:rsidR="009801F9" w:rsidRDefault="00A87826">
      <w:pPr>
        <w:pStyle w:val="Prosttext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DREAMland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spol. s r.o.</w:t>
      </w:r>
    </w:p>
    <w:p w14:paraId="455CEDBA" w14:textId="77777777" w:rsidR="009801F9" w:rsidRDefault="00A87826">
      <w:pPr>
        <w:pStyle w:val="Prosttext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s</w:t>
      </w:r>
      <w:r>
        <w:rPr>
          <w:rFonts w:ascii="Times New Roman" w:eastAsia="MS Mincho" w:hAnsi="Times New Roman" w:cs="Times New Roman"/>
          <w:sz w:val="24"/>
          <w:szCs w:val="24"/>
        </w:rPr>
        <w:t>e sídlem Duhová 1013, Kosmonosy</w:t>
      </w:r>
      <w:r>
        <w:rPr>
          <w:rFonts w:ascii="Times New Roman" w:hAnsi="Times New Roman" w:cs="Times New Roman"/>
          <w:sz w:val="24"/>
          <w:szCs w:val="24"/>
        </w:rPr>
        <w:t>, PSČ 293 06</w:t>
      </w:r>
    </w:p>
    <w:p w14:paraId="1918D901" w14:textId="77777777" w:rsidR="009801F9" w:rsidRDefault="00A87826">
      <w:pPr>
        <w:pStyle w:val="Prosttext"/>
        <w:rPr>
          <w:rStyle w:val="platne1"/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IČO </w:t>
      </w:r>
      <w:r>
        <w:rPr>
          <w:rStyle w:val="platne1"/>
          <w:rFonts w:ascii="Times New Roman" w:hAnsi="Times New Roman" w:cs="Times New Roman"/>
          <w:sz w:val="24"/>
          <w:szCs w:val="24"/>
        </w:rPr>
        <w:t>257 81 049</w:t>
      </w:r>
    </w:p>
    <w:p w14:paraId="6949CC6F" w14:textId="2B400821" w:rsidR="009801F9" w:rsidRDefault="00A87826">
      <w:pPr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  <w:proofErr w:type="spellStart"/>
      <w:r w:rsidR="006C7BA5">
        <w:rPr>
          <w:szCs w:val="24"/>
        </w:rPr>
        <w:t>Zastupujíci</w:t>
      </w:r>
      <w:proofErr w:type="spellEnd"/>
      <w:r w:rsidR="006C7BA5">
        <w:rPr>
          <w:szCs w:val="24"/>
        </w:rPr>
        <w:t>:</w:t>
      </w:r>
      <w:r>
        <w:rPr>
          <w:szCs w:val="24"/>
        </w:rPr>
        <w:t xml:space="preserve"> Ing. Františ</w:t>
      </w:r>
      <w:r w:rsidR="006C7BA5">
        <w:rPr>
          <w:szCs w:val="24"/>
        </w:rPr>
        <w:t>ek</w:t>
      </w:r>
      <w:r>
        <w:rPr>
          <w:szCs w:val="24"/>
        </w:rPr>
        <w:t xml:space="preserve"> Kysel</w:t>
      </w:r>
      <w:r w:rsidR="006C7BA5">
        <w:rPr>
          <w:szCs w:val="24"/>
        </w:rPr>
        <w:t>a, jednatel společnosti</w:t>
      </w:r>
    </w:p>
    <w:p w14:paraId="4F34ACB1" w14:textId="39203F8D" w:rsidR="009801F9" w:rsidRDefault="00A87826">
      <w:pPr>
        <w:spacing w:after="0" w:line="240" w:lineRule="auto"/>
        <w:rPr>
          <w:szCs w:val="24"/>
        </w:rPr>
      </w:pPr>
      <w:r>
        <w:rPr>
          <w:szCs w:val="24"/>
        </w:rPr>
        <w:t xml:space="preserve"> zaps</w:t>
      </w:r>
      <w:r w:rsidR="00850835">
        <w:rPr>
          <w:szCs w:val="24"/>
        </w:rPr>
        <w:t>aná</w:t>
      </w:r>
      <w:r>
        <w:rPr>
          <w:szCs w:val="24"/>
        </w:rPr>
        <w:t xml:space="preserve"> v OR MS v Praze odd. C, vl</w:t>
      </w:r>
      <w:r w:rsidR="00850835">
        <w:rPr>
          <w:szCs w:val="24"/>
        </w:rPr>
        <w:t>ožka</w:t>
      </w:r>
      <w:r>
        <w:rPr>
          <w:szCs w:val="24"/>
        </w:rPr>
        <w:t xml:space="preserve"> 69650</w:t>
      </w:r>
    </w:p>
    <w:p w14:paraId="32D1F17F" w14:textId="59AC8C73" w:rsidR="009801F9" w:rsidRDefault="00A87826">
      <w:pPr>
        <w:tabs>
          <w:tab w:val="left" w:pos="6384"/>
        </w:tabs>
        <w:spacing w:line="240" w:lineRule="auto"/>
        <w:rPr>
          <w:rStyle w:val="sx"/>
        </w:rPr>
      </w:pPr>
      <w:r>
        <w:rPr>
          <w:rStyle w:val="Zkladntext3Char"/>
          <w:rFonts w:eastAsiaTheme="minorEastAsia"/>
        </w:rPr>
        <w:t xml:space="preserve"> </w:t>
      </w:r>
      <w:r>
        <w:rPr>
          <w:rStyle w:val="sxl"/>
        </w:rPr>
        <w:t xml:space="preserve">(dále </w:t>
      </w:r>
      <w:r w:rsidR="00924DA6">
        <w:rPr>
          <w:rStyle w:val="sxl"/>
        </w:rPr>
        <w:t>jen „</w:t>
      </w:r>
      <w:r>
        <w:rPr>
          <w:rStyle w:val="sxl"/>
          <w:b/>
        </w:rPr>
        <w:t>pronajímatel</w:t>
      </w:r>
      <w:r w:rsidR="00924DA6">
        <w:rPr>
          <w:rStyle w:val="sxl"/>
          <w:b/>
        </w:rPr>
        <w:t>“</w:t>
      </w:r>
      <w:r>
        <w:rPr>
          <w:rStyle w:val="sxl"/>
        </w:rPr>
        <w:t>)</w:t>
      </w:r>
      <w:r>
        <w:rPr>
          <w:rStyle w:val="sx"/>
        </w:rPr>
        <w:t xml:space="preserve"> </w:t>
      </w:r>
      <w:r>
        <w:rPr>
          <w:rStyle w:val="sx"/>
        </w:rPr>
        <w:tab/>
      </w:r>
    </w:p>
    <w:p w14:paraId="3B2A5DE5" w14:textId="77777777" w:rsidR="009801F9" w:rsidRDefault="00A87826" w:rsidP="00850835">
      <w:pPr>
        <w:spacing w:line="240" w:lineRule="auto"/>
        <w:rPr>
          <w:rStyle w:val="sx"/>
        </w:rPr>
      </w:pPr>
      <w:r>
        <w:rPr>
          <w:rStyle w:val="sxl"/>
        </w:rPr>
        <w:t>tuto</w:t>
      </w:r>
      <w:r>
        <w:rPr>
          <w:rStyle w:val="sx"/>
        </w:rPr>
        <w:t xml:space="preserve"> </w:t>
      </w:r>
      <w:r>
        <w:rPr>
          <w:rStyle w:val="sxc"/>
          <w:b/>
          <w:bCs/>
        </w:rPr>
        <w:t>smlouvu o nájmu</w:t>
      </w:r>
    </w:p>
    <w:p w14:paraId="6360DBFA" w14:textId="77777777" w:rsidR="009801F9" w:rsidRDefault="00A87826" w:rsidP="00223D5C">
      <w:pPr>
        <w:spacing w:line="240" w:lineRule="auto"/>
        <w:jc w:val="center"/>
        <w:rPr>
          <w:rStyle w:val="sx"/>
        </w:rPr>
      </w:pPr>
      <w:r>
        <w:rPr>
          <w:rStyle w:val="sxc"/>
          <w:b/>
          <w:bCs/>
        </w:rPr>
        <w:t>I.</w:t>
      </w:r>
      <w:r>
        <w:rPr>
          <w:rStyle w:val="sx"/>
        </w:rPr>
        <w:t xml:space="preserve"> </w:t>
      </w:r>
      <w:r>
        <w:rPr>
          <w:rStyle w:val="sxc"/>
          <w:b/>
          <w:bCs/>
        </w:rPr>
        <w:t>Předmět nájmu</w:t>
      </w:r>
    </w:p>
    <w:p w14:paraId="15E3F218" w14:textId="77777777" w:rsidR="009801F9" w:rsidRDefault="00A8782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  <w:rPr>
          <w:rStyle w:val="sxj"/>
        </w:rPr>
      </w:pPr>
      <w:r>
        <w:rPr>
          <w:rStyle w:val="sxj"/>
        </w:rPr>
        <w:t xml:space="preserve">Pronajímatel touto smlouvou předává nájemci do užívání: autonomní vozík Mobile </w:t>
      </w:r>
      <w:proofErr w:type="spellStart"/>
      <w:r>
        <w:rPr>
          <w:rStyle w:val="sxj"/>
        </w:rPr>
        <w:t>Industrial</w:t>
      </w:r>
      <w:proofErr w:type="spellEnd"/>
      <w:r>
        <w:rPr>
          <w:rStyle w:val="sxj"/>
        </w:rPr>
        <w:t xml:space="preserve"> </w:t>
      </w:r>
      <w:proofErr w:type="spellStart"/>
      <w:r>
        <w:rPr>
          <w:rStyle w:val="sxj"/>
        </w:rPr>
        <w:t>robots</w:t>
      </w:r>
      <w:proofErr w:type="spellEnd"/>
      <w:r>
        <w:rPr>
          <w:rStyle w:val="sxj"/>
        </w:rPr>
        <w:t xml:space="preserve">, výrobní číslo 100703631/204404084 (AMR) a 100703631/203100533 (nadstavba TM)  typové označení </w:t>
      </w:r>
      <w:proofErr w:type="spellStart"/>
      <w:r>
        <w:rPr>
          <w:rStyle w:val="sxj"/>
        </w:rPr>
        <w:t>MiR</w:t>
      </w:r>
      <w:proofErr w:type="spellEnd"/>
      <w:r>
        <w:rPr>
          <w:rStyle w:val="sxj"/>
        </w:rPr>
        <w:t xml:space="preserve"> 250 </w:t>
      </w:r>
      <w:proofErr w:type="spellStart"/>
      <w:r>
        <w:rPr>
          <w:rStyle w:val="sxj"/>
        </w:rPr>
        <w:t>Shelf</w:t>
      </w:r>
      <w:proofErr w:type="spellEnd"/>
      <w:r>
        <w:rPr>
          <w:rStyle w:val="sxj"/>
        </w:rPr>
        <w:t xml:space="preserve"> </w:t>
      </w:r>
      <w:proofErr w:type="spellStart"/>
      <w:r>
        <w:rPr>
          <w:rStyle w:val="sxj"/>
        </w:rPr>
        <w:t>Carrrier</w:t>
      </w:r>
      <w:proofErr w:type="spellEnd"/>
      <w:r>
        <w:rPr>
          <w:rStyle w:val="sxj"/>
        </w:rPr>
        <w:t xml:space="preserve"> vč. příslušenství (nabíječka apod.) v tržní hodnotě ceny 58.660,- EUR bez DPH (dále jen „pronajatá věc“ či „předmět nájmu“). </w:t>
      </w:r>
    </w:p>
    <w:p w14:paraId="64CB4840" w14:textId="77777777" w:rsidR="009801F9" w:rsidRDefault="00A8782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  <w:rPr>
          <w:rStyle w:val="sxj"/>
        </w:rPr>
      </w:pPr>
      <w:r>
        <w:rPr>
          <w:rStyle w:val="sxj"/>
        </w:rPr>
        <w:t xml:space="preserve">Nájemce je oprávněn pronajatou věc použít pouze k transportu materiálu a zboží v provozu nájemce na adrese tř. Václava Klementa 147, 293 01 Mladá Boleslav  (účel nájmu), výslovně není oprávněn pronajatou věc přenechat jiné osobě (toto se nevztahuje na zaměstnance nájemce). </w:t>
      </w:r>
    </w:p>
    <w:p w14:paraId="659FAEAB" w14:textId="77777777" w:rsidR="009801F9" w:rsidRDefault="00A8782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  <w:rPr>
          <w:rStyle w:val="sxj"/>
        </w:rPr>
      </w:pPr>
      <w:r>
        <w:rPr>
          <w:rStyle w:val="sxj"/>
        </w:rPr>
        <w:t xml:space="preserve">Nájemce potvrzuje podpisem této smlouvy, že mu pronajatá věc byla předána v kompletním a provozu schopném stavu, že byl při předání pronajímatelem proškolen ve způsobu užívání pronajaté věci a provádění její údržby. </w:t>
      </w:r>
    </w:p>
    <w:p w14:paraId="39FCB3C8" w14:textId="77777777" w:rsidR="009801F9" w:rsidRDefault="00A8782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  <w:rPr>
          <w:rStyle w:val="sxj"/>
        </w:rPr>
      </w:pPr>
      <w:r>
        <w:rPr>
          <w:rStyle w:val="sxj"/>
        </w:rPr>
        <w:t>Nájemce je povinen zajistit, aby pronajatá věc byla po celou dobu nájmu viditelně označena jako věc náležející pronajímateli.</w:t>
      </w:r>
    </w:p>
    <w:p w14:paraId="2E89DB72" w14:textId="580DE466" w:rsidR="009801F9" w:rsidRDefault="00A87826" w:rsidP="00AA5194">
      <w:pPr>
        <w:spacing w:line="240" w:lineRule="auto"/>
        <w:jc w:val="center"/>
      </w:pPr>
      <w:r>
        <w:rPr>
          <w:rStyle w:val="sxj"/>
          <w:b/>
        </w:rPr>
        <w:t>II. Nájemné</w:t>
      </w:r>
    </w:p>
    <w:p w14:paraId="79B46B71" w14:textId="77777777" w:rsidR="009801F9" w:rsidRDefault="00A87826">
      <w:pPr>
        <w:spacing w:line="240" w:lineRule="auto"/>
        <w:jc w:val="both"/>
        <w:rPr>
          <w:rFonts w:cs="Calibri"/>
        </w:rPr>
      </w:pPr>
      <w:r>
        <w:rPr>
          <w:rStyle w:val="sxj"/>
        </w:rPr>
        <w:t>Nájemce je povinen uhradit</w:t>
      </w:r>
      <w:r>
        <w:rPr>
          <w:rStyle w:val="sxj"/>
          <w:b/>
        </w:rPr>
        <w:t xml:space="preserve"> nájemné</w:t>
      </w:r>
      <w:r>
        <w:rPr>
          <w:rStyle w:val="sxj"/>
        </w:rPr>
        <w:t xml:space="preserve"> za předmět nájmu dle bodu I. čl. 1 ve výši </w:t>
      </w:r>
      <w:r>
        <w:rPr>
          <w:rStyle w:val="sxj"/>
          <w:b/>
        </w:rPr>
        <w:t>36.308,40 Kč</w:t>
      </w:r>
      <w:r>
        <w:rPr>
          <w:rStyle w:val="sxj"/>
        </w:rPr>
        <w:t xml:space="preserve"> bez DPH za každý kalendářní měsíc. Nájemné bude uhrazeno na základě faktury vystavené pronajímatelem, společností </w:t>
      </w:r>
      <w:proofErr w:type="spellStart"/>
      <w:r>
        <w:rPr>
          <w:rStyle w:val="sxj"/>
        </w:rPr>
        <w:t>DREAMland</w:t>
      </w:r>
      <w:proofErr w:type="spellEnd"/>
      <w:r>
        <w:rPr>
          <w:rStyle w:val="sxj"/>
        </w:rPr>
        <w:t xml:space="preserve">, spol. s r.o. </w:t>
      </w:r>
      <w:r>
        <w:rPr>
          <w:rFonts w:cs="Calibri"/>
        </w:rPr>
        <w:t>do 5. dne měsíce následujícího po skončení měsíce, za které je nájemné účtováno</w:t>
      </w:r>
    </w:p>
    <w:p w14:paraId="198AD5C0" w14:textId="49604ABE" w:rsidR="009801F9" w:rsidRDefault="00A87826">
      <w:pPr>
        <w:spacing w:line="240" w:lineRule="auto"/>
        <w:jc w:val="both"/>
      </w:pPr>
      <w:r>
        <w:rPr>
          <w:rFonts w:cs="Calibri"/>
        </w:rPr>
        <w:t>K nájemnému bude účtován</w:t>
      </w:r>
      <w:r w:rsidR="003B7C12">
        <w:rPr>
          <w:rFonts w:cs="Calibri"/>
        </w:rPr>
        <w:t>a</w:t>
      </w:r>
      <w:r>
        <w:rPr>
          <w:rFonts w:cs="Calibri"/>
        </w:rPr>
        <w:t xml:space="preserve"> DPH v sazbě dle příslušného daňového předpisu. </w:t>
      </w:r>
      <w:r>
        <w:rPr>
          <w:rStyle w:val="sxj"/>
        </w:rPr>
        <w:t>Splatnost faktury je 30</w:t>
      </w:r>
      <w:r w:rsidR="00223D5C">
        <w:rPr>
          <w:rStyle w:val="sxj"/>
        </w:rPr>
        <w:t xml:space="preserve"> </w:t>
      </w:r>
      <w:r>
        <w:rPr>
          <w:rStyle w:val="sxj"/>
        </w:rPr>
        <w:t xml:space="preserve">dnů </w:t>
      </w:r>
      <w:r>
        <w:rPr>
          <w:rStyle w:val="sxj"/>
          <w:b/>
          <w:bCs/>
        </w:rPr>
        <w:t>od data doručení faktury na el</w:t>
      </w:r>
      <w:r>
        <w:rPr>
          <w:rStyle w:val="sxj"/>
          <w:rFonts w:ascii="Times New Roman;serif" w:hAnsi="Times New Roman;serif"/>
          <w:b/>
        </w:rPr>
        <w:t xml:space="preserve">ektronickou </w:t>
      </w:r>
      <w:r w:rsidRPr="00223D5C">
        <w:rPr>
          <w:rStyle w:val="sxj"/>
          <w:rFonts w:ascii="Times New Roman;serif" w:hAnsi="Times New Roman;serif"/>
          <w:b/>
        </w:rPr>
        <w:t>adresu </w:t>
      </w:r>
      <w:r w:rsidR="00086798" w:rsidRPr="00223D5C">
        <w:rPr>
          <w:rStyle w:val="sxj"/>
          <w:rFonts w:ascii="Times New Roman;serif" w:hAnsi="Times New Roman;serif"/>
          <w:b/>
        </w:rPr>
        <w:t>podatelna</w:t>
      </w:r>
      <w:r w:rsidRPr="00223D5C">
        <w:rPr>
          <w:rStyle w:val="sxj"/>
          <w:rFonts w:ascii="Times New Roman;serif" w:hAnsi="Times New Roman;serif"/>
          <w:b/>
        </w:rPr>
        <w:t>@</w:t>
      </w:r>
      <w:r w:rsidR="00086798" w:rsidRPr="00223D5C">
        <w:rPr>
          <w:rStyle w:val="sxj"/>
          <w:rFonts w:ascii="Times New Roman;serif" w:hAnsi="Times New Roman;serif"/>
          <w:b/>
        </w:rPr>
        <w:t>onmb.cz</w:t>
      </w:r>
      <w:r>
        <w:t xml:space="preserve"> </w:t>
      </w:r>
    </w:p>
    <w:p w14:paraId="7E36D86D" w14:textId="77777777" w:rsidR="009801F9" w:rsidRDefault="00A87826" w:rsidP="00AA5194">
      <w:pPr>
        <w:spacing w:line="240" w:lineRule="auto"/>
        <w:jc w:val="center"/>
      </w:pPr>
      <w:r>
        <w:rPr>
          <w:rStyle w:val="sxc"/>
          <w:b/>
          <w:bCs/>
        </w:rPr>
        <w:t>III.</w:t>
      </w:r>
      <w:r>
        <w:rPr>
          <w:rStyle w:val="sx"/>
        </w:rPr>
        <w:t xml:space="preserve"> </w:t>
      </w:r>
      <w:r>
        <w:rPr>
          <w:rStyle w:val="sxc"/>
          <w:b/>
          <w:bCs/>
        </w:rPr>
        <w:t>Doba nájmu</w:t>
      </w:r>
    </w:p>
    <w:p w14:paraId="1919B7D9" w14:textId="77777777" w:rsidR="009801F9" w:rsidRDefault="00A87826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</w:pPr>
      <w:r>
        <w:rPr>
          <w:rStyle w:val="sxj"/>
        </w:rPr>
        <w:t xml:space="preserve">Smluvní strany sjednávají, že je Nájemce oprávněn pronajatou věc užívat po dobu 60 měsíců počínaje dnem fyzického protokolárního předání předmětu nájmu. </w:t>
      </w:r>
    </w:p>
    <w:p w14:paraId="0AAEC931" w14:textId="6D51CD3B" w:rsidR="009801F9" w:rsidRDefault="00A87826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rStyle w:val="sxj"/>
        </w:rPr>
      </w:pPr>
      <w:r>
        <w:rPr>
          <w:rStyle w:val="sxj"/>
        </w:rPr>
        <w:lastRenderedPageBreak/>
        <w:t>Nájemce je na své náklady povinen pronajatou věc vrátit nejpozději k poslednímu dni doby nájmu v sídle pronajímatele, nedohodnou-li se smluvní strany jinak. V případě, že nebude možné předat pronajatou věc v sídle pronajímatele, je povinen pronajímatel oznámit jiné místo předání nájemci minimálně 3 pracovní dny předem.</w:t>
      </w:r>
    </w:p>
    <w:p w14:paraId="6E69099B" w14:textId="4FBE86F9" w:rsidR="009801F9" w:rsidRDefault="00A87826" w:rsidP="00924DA6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szCs w:val="24"/>
        </w:rPr>
      </w:pPr>
      <w:r w:rsidRPr="00F0753A">
        <w:rPr>
          <w:rStyle w:val="sxj"/>
          <w:szCs w:val="24"/>
        </w:rPr>
        <w:t xml:space="preserve">Podmínky ukončení nájmu před uplynutím doby </w:t>
      </w:r>
      <w:r>
        <w:rPr>
          <w:rStyle w:val="sxj"/>
          <w:szCs w:val="24"/>
        </w:rPr>
        <w:t xml:space="preserve">strany sjednávají takto: </w:t>
      </w:r>
    </w:p>
    <w:p w14:paraId="4EA270F9" w14:textId="77777777" w:rsidR="009801F9" w:rsidRDefault="00A87826" w:rsidP="00924DA6">
      <w:pPr>
        <w:spacing w:after="120" w:line="240" w:lineRule="auto"/>
        <w:ind w:left="284"/>
        <w:jc w:val="both"/>
      </w:pPr>
      <w:r>
        <w:rPr>
          <w:rStyle w:val="sxj"/>
          <w:szCs w:val="24"/>
        </w:rPr>
        <w:t xml:space="preserve">Smlouva může být </w:t>
      </w:r>
      <w:r>
        <w:rPr>
          <w:rStyle w:val="sxj"/>
          <w:b/>
          <w:bCs/>
          <w:szCs w:val="24"/>
        </w:rPr>
        <w:t>ze strany nájemce ukončena vypovědí</w:t>
      </w:r>
      <w:r>
        <w:rPr>
          <w:rStyle w:val="sxj"/>
          <w:szCs w:val="24"/>
        </w:rPr>
        <w:t xml:space="preserve"> před uplynutím </w:t>
      </w:r>
      <w:r w:rsidRPr="00F0753A">
        <w:rPr>
          <w:rStyle w:val="sxj"/>
          <w:color w:val="000000" w:themeColor="text1"/>
          <w:szCs w:val="24"/>
        </w:rPr>
        <w:t xml:space="preserve">sjednané </w:t>
      </w:r>
      <w:r>
        <w:rPr>
          <w:rStyle w:val="sxj"/>
          <w:szCs w:val="24"/>
        </w:rPr>
        <w:t xml:space="preserve">doby </w:t>
      </w:r>
      <w:r>
        <w:rPr>
          <w:rStyle w:val="sxj"/>
          <w:b/>
          <w:bCs/>
          <w:szCs w:val="24"/>
        </w:rPr>
        <w:t>pouze</w:t>
      </w:r>
      <w:r>
        <w:rPr>
          <w:rStyle w:val="sxj"/>
          <w:szCs w:val="24"/>
        </w:rPr>
        <w:t xml:space="preserve"> v případě, že ze strany pronajímatele dojde k podstatnému porušení jeho povinností dle nájemní smlouvy. Výpovědní doba činí 2 měsíce a počíná běžet prvním dnem měsíce okamžikem doručení výpovědi pronajímateli. </w:t>
      </w:r>
    </w:p>
    <w:p w14:paraId="48D4EF6D" w14:textId="77777777" w:rsidR="009801F9" w:rsidRDefault="00A87826" w:rsidP="00924DA6">
      <w:pPr>
        <w:pStyle w:val="Odstavecseseznamem"/>
        <w:spacing w:after="120" w:line="240" w:lineRule="auto"/>
        <w:ind w:left="284"/>
        <w:jc w:val="both"/>
      </w:pPr>
      <w:r>
        <w:rPr>
          <w:rStyle w:val="sxj"/>
          <w:b/>
          <w:bCs/>
          <w:szCs w:val="24"/>
        </w:rPr>
        <w:t>Pronajímatel je oprávněn smlouvu ukončit výpovědí bez výpovědní doby</w:t>
      </w:r>
      <w:r>
        <w:rPr>
          <w:rStyle w:val="sxj"/>
          <w:szCs w:val="24"/>
        </w:rPr>
        <w:t xml:space="preserve"> v případě podstatného porušení smluvních či zákonných povinností nájemcem, zejména v těchto případech porušení: </w:t>
      </w:r>
    </w:p>
    <w:p w14:paraId="4351BA8F" w14:textId="77777777" w:rsidR="00924DA6" w:rsidRDefault="00A87826" w:rsidP="00924DA6">
      <w:pPr>
        <w:pStyle w:val="Odstavecseseznamem"/>
        <w:spacing w:after="120" w:line="240" w:lineRule="auto"/>
        <w:ind w:left="284"/>
        <w:jc w:val="both"/>
        <w:rPr>
          <w:szCs w:val="24"/>
        </w:rPr>
      </w:pPr>
      <w:r>
        <w:rPr>
          <w:rStyle w:val="sxj"/>
          <w:szCs w:val="24"/>
        </w:rPr>
        <w:t>a) nájemce</w:t>
      </w:r>
      <w:r>
        <w:rPr>
          <w:szCs w:val="24"/>
        </w:rPr>
        <w:t xml:space="preserve"> bude v prodlení s jakoukoliv platbou dle smlouvy déle než 30 dní od splatnosti</w:t>
      </w:r>
      <w:r w:rsidR="00924DA6">
        <w:rPr>
          <w:szCs w:val="24"/>
        </w:rPr>
        <w:t>,</w:t>
      </w:r>
      <w:r w:rsidR="00924DA6">
        <w:rPr>
          <w:szCs w:val="24"/>
        </w:rPr>
        <w:br/>
      </w:r>
      <w:r>
        <w:rPr>
          <w:szCs w:val="24"/>
        </w:rPr>
        <w:t>b) nájemce poruší povinnosti řádné údržby, drobných oprav, hlášení škod, ochrany před poškozením, ztrátou či zničením, dodržování podmínek provozu a takové porušení nenapraví v přiměřené lhůtě poskytnuté mu ve výzvě pronajímatele k</w:t>
      </w:r>
      <w:r w:rsidR="00924DA6">
        <w:rPr>
          <w:szCs w:val="24"/>
        </w:rPr>
        <w:t> </w:t>
      </w:r>
      <w:r>
        <w:rPr>
          <w:szCs w:val="24"/>
        </w:rPr>
        <w:t>nápravě</w:t>
      </w:r>
      <w:r w:rsidR="00924DA6">
        <w:rPr>
          <w:szCs w:val="24"/>
        </w:rPr>
        <w:t>,</w:t>
      </w:r>
    </w:p>
    <w:p w14:paraId="4BC6178A" w14:textId="77777777" w:rsidR="006E5CB7" w:rsidRDefault="00A87826" w:rsidP="006E5CB7">
      <w:pPr>
        <w:pStyle w:val="Odstavecseseznamem"/>
        <w:spacing w:after="120" w:line="240" w:lineRule="auto"/>
        <w:ind w:left="284"/>
        <w:jc w:val="both"/>
        <w:rPr>
          <w:rStyle w:val="sxj"/>
          <w:szCs w:val="24"/>
        </w:rPr>
      </w:pPr>
      <w:r>
        <w:rPr>
          <w:rStyle w:val="sxj"/>
          <w:szCs w:val="24"/>
        </w:rPr>
        <w:t xml:space="preserve">c) nájemce se ocitne v platební neschopnosti, vstoupí do likvidace nebo proti němu bude zahájeno insolvenční nebo exekuční řízení;  </w:t>
      </w:r>
    </w:p>
    <w:p w14:paraId="169C58F4" w14:textId="0539CCB8" w:rsidR="009801F9" w:rsidRDefault="00A87826" w:rsidP="006E5CB7">
      <w:pPr>
        <w:pStyle w:val="Odstavecseseznamem"/>
        <w:spacing w:after="120" w:line="240" w:lineRule="auto"/>
        <w:ind w:left="284"/>
        <w:jc w:val="both"/>
        <w:rPr>
          <w:rStyle w:val="sxj"/>
          <w:szCs w:val="24"/>
        </w:rPr>
      </w:pPr>
      <w:r>
        <w:rPr>
          <w:rStyle w:val="sxj"/>
          <w:szCs w:val="24"/>
        </w:rPr>
        <w:t>Výpověd</w:t>
      </w:r>
      <w:r w:rsidR="003B7C12">
        <w:rPr>
          <w:rStyle w:val="sxj"/>
          <w:szCs w:val="24"/>
        </w:rPr>
        <w:t>í</w:t>
      </w:r>
      <w:r>
        <w:rPr>
          <w:rStyle w:val="sxj"/>
          <w:szCs w:val="24"/>
        </w:rPr>
        <w:t xml:space="preserve"> bez výpovědní doby skončí smluvní vztah dnem následujícím po dni doručení písemné výpovědi a nájemce je povinen pronajatou věc v tento den vrátit (viz. č. III. odst. 2)</w:t>
      </w:r>
    </w:p>
    <w:p w14:paraId="58320D84" w14:textId="77777777" w:rsidR="006E5CB7" w:rsidRDefault="006E5CB7" w:rsidP="006E5CB7">
      <w:pPr>
        <w:pStyle w:val="Odstavecseseznamem"/>
        <w:spacing w:after="120" w:line="240" w:lineRule="auto"/>
        <w:ind w:left="284"/>
        <w:jc w:val="both"/>
      </w:pPr>
    </w:p>
    <w:p w14:paraId="24DE9902" w14:textId="75D235DE" w:rsidR="009801F9" w:rsidRDefault="00A87826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S ohledem na  skutečnost, že předmět nájmu je pořízen za účelem pronájmu </w:t>
      </w:r>
      <w:r w:rsidR="003B7C12">
        <w:rPr>
          <w:szCs w:val="24"/>
        </w:rPr>
        <w:t>nájemci</w:t>
      </w:r>
      <w:r>
        <w:rPr>
          <w:szCs w:val="24"/>
        </w:rPr>
        <w:t xml:space="preserve">, sjednávají strany, že </w:t>
      </w:r>
      <w:r w:rsidR="003B7C12">
        <w:rPr>
          <w:szCs w:val="24"/>
        </w:rPr>
        <w:t>nájemce</w:t>
      </w:r>
      <w:r>
        <w:rPr>
          <w:szCs w:val="24"/>
        </w:rPr>
        <w:t xml:space="preserve"> je oprávněn smlouvu o nájmu ukončit před sjednanou dobou zaplacením odstupného.</w:t>
      </w:r>
    </w:p>
    <w:p w14:paraId="0AA0A65D" w14:textId="4CAB910B" w:rsidR="009801F9" w:rsidRDefault="00A87826">
      <w:pPr>
        <w:spacing w:after="120" w:line="240" w:lineRule="auto"/>
        <w:ind w:left="284"/>
        <w:jc w:val="both"/>
        <w:rPr>
          <w:szCs w:val="24"/>
        </w:rPr>
      </w:pPr>
      <w:r>
        <w:rPr>
          <w:szCs w:val="24"/>
        </w:rPr>
        <w:t xml:space="preserve">Způsob výpočtu odstupného: </w:t>
      </w:r>
      <w:r>
        <w:rPr>
          <w:rFonts w:eastAsia="Times New Roman"/>
        </w:rPr>
        <w:t>Výše měsíčního nájemného dle článku II. této smlouvy násoben</w:t>
      </w:r>
      <w:r w:rsidR="00A107D5">
        <w:rPr>
          <w:rFonts w:eastAsia="Times New Roman"/>
        </w:rPr>
        <w:t>á</w:t>
      </w:r>
      <w:r>
        <w:rPr>
          <w:rFonts w:eastAsia="Times New Roman"/>
        </w:rPr>
        <w:t xml:space="preserve"> počtem měsíců za období od dne zaplacení odstupného do konce původně sjednané doby nájmu.</w:t>
      </w:r>
    </w:p>
    <w:p w14:paraId="501AFFF2" w14:textId="464FDBAE" w:rsidR="009801F9" w:rsidRDefault="00A87826">
      <w:pPr>
        <w:spacing w:after="120" w:line="240" w:lineRule="auto"/>
        <w:ind w:left="284"/>
        <w:jc w:val="both"/>
        <w:rPr>
          <w:szCs w:val="24"/>
        </w:rPr>
      </w:pPr>
      <w:r>
        <w:rPr>
          <w:szCs w:val="24"/>
        </w:rPr>
        <w:t xml:space="preserve">Obě strany potvrzují podpisem, že výše odstupného odpovídá ekonomické ztrátě společnosti spojené s předčasným ukončením </w:t>
      </w:r>
      <w:r w:rsidR="006E5CB7">
        <w:rPr>
          <w:szCs w:val="24"/>
        </w:rPr>
        <w:t>nájmu,</w:t>
      </w:r>
      <w:r>
        <w:rPr>
          <w:szCs w:val="24"/>
        </w:rPr>
        <w:t xml:space="preserve"> a proto je odstupné přiměřené všem okolnostem.</w:t>
      </w:r>
    </w:p>
    <w:p w14:paraId="36D9CFAA" w14:textId="77777777" w:rsidR="009801F9" w:rsidRDefault="00A87826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szCs w:val="24"/>
        </w:rPr>
      </w:pPr>
      <w:r>
        <w:t xml:space="preserve">Po ukončení doby nájmu má Nájemce možnost odkupu předmětu nájmu </w:t>
      </w:r>
      <w:proofErr w:type="spellStart"/>
      <w:r>
        <w:t>MiR</w:t>
      </w:r>
      <w:proofErr w:type="spellEnd"/>
      <w:r>
        <w:t xml:space="preserve"> 250 </w:t>
      </w:r>
      <w:proofErr w:type="spellStart"/>
      <w:r>
        <w:t>Shelf</w:t>
      </w:r>
      <w:proofErr w:type="spellEnd"/>
      <w:r>
        <w:t xml:space="preserve"> </w:t>
      </w:r>
      <w:proofErr w:type="spellStart"/>
      <w:r>
        <w:t>Carrier</w:t>
      </w:r>
      <w:proofErr w:type="spellEnd"/>
      <w:r>
        <w:t xml:space="preserve"> za cenu 300.000,- Kč bez DPH</w:t>
      </w:r>
    </w:p>
    <w:p w14:paraId="5D00840C" w14:textId="77777777" w:rsidR="009801F9" w:rsidRDefault="00A87826" w:rsidP="00AA5194">
      <w:pPr>
        <w:spacing w:line="240" w:lineRule="auto"/>
        <w:jc w:val="center"/>
      </w:pPr>
      <w:r>
        <w:rPr>
          <w:rStyle w:val="sxc"/>
          <w:b/>
          <w:bCs/>
        </w:rPr>
        <w:t>IV.</w:t>
      </w:r>
      <w:r>
        <w:rPr>
          <w:rStyle w:val="sx"/>
        </w:rPr>
        <w:t xml:space="preserve"> </w:t>
      </w:r>
      <w:r>
        <w:rPr>
          <w:rStyle w:val="sxc"/>
          <w:b/>
          <w:bCs/>
        </w:rPr>
        <w:t>Povinnosti nájemce</w:t>
      </w:r>
    </w:p>
    <w:p w14:paraId="77D6B1A6" w14:textId="480B9056" w:rsidR="009801F9" w:rsidRPr="00E748E9" w:rsidRDefault="00A87826">
      <w:pPr>
        <w:pStyle w:val="Odstavecseseznamem"/>
        <w:numPr>
          <w:ilvl w:val="0"/>
          <w:numId w:val="3"/>
        </w:numPr>
        <w:spacing w:after="120" w:line="240" w:lineRule="auto"/>
        <w:ind w:left="340" w:hanging="340"/>
        <w:jc w:val="both"/>
      </w:pPr>
      <w:r>
        <w:t xml:space="preserve">Nájemce je povinen pronajatou věc užívat řádně a je povinen ji chránit před poškozením, ztrátou či zničením. Nájemce výhradně odpovídá za škodu vzniklou na pronajaté věci i za škody vzniklé jejím užíváním, i když vznikne vinou třetích osob nebo bez zavinění </w:t>
      </w:r>
      <w:r w:rsidR="00A107D5">
        <w:t>n</w:t>
      </w:r>
      <w:r>
        <w:t>ájemce. Nájemce je povinen bezodkladně oznámit pronajímateli vznik jakékoliv škody na pronajaté věci, která přesahuje běžné opotřebení</w:t>
      </w:r>
      <w:r w:rsidRPr="00A87826">
        <w:rPr>
          <w:szCs w:val="24"/>
        </w:rPr>
        <w:t>.</w:t>
      </w:r>
      <w:r>
        <w:rPr>
          <w:szCs w:val="24"/>
        </w:rPr>
        <w:t xml:space="preserve"> Veškerá rizika během provozu, jakož i náklady na provozní tekutiny či napájení předmětu nájmu po dobu platnosti smlouvy nese </w:t>
      </w:r>
      <w:r w:rsidR="00914575">
        <w:rPr>
          <w:szCs w:val="24"/>
        </w:rPr>
        <w:t>nájemce</w:t>
      </w:r>
      <w:r>
        <w:rPr>
          <w:szCs w:val="24"/>
        </w:rPr>
        <w:t xml:space="preserve">. </w:t>
      </w:r>
    </w:p>
    <w:p w14:paraId="28DA5E17" w14:textId="77777777" w:rsidR="00F0753A" w:rsidRDefault="00F0753A" w:rsidP="00F0753A">
      <w:pPr>
        <w:pStyle w:val="Odstavecseseznamem"/>
        <w:spacing w:after="120" w:line="240" w:lineRule="auto"/>
        <w:ind w:left="340"/>
        <w:jc w:val="both"/>
      </w:pPr>
    </w:p>
    <w:p w14:paraId="1069373C" w14:textId="77777777" w:rsidR="004943B2" w:rsidRDefault="00A87826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jc w:val="both"/>
      </w:pPr>
      <w:bookmarkStart w:id="0" w:name="_Hlk105580415"/>
      <w:r>
        <w:t xml:space="preserve">Náklady na </w:t>
      </w:r>
      <w:r w:rsidRPr="00A31F23">
        <w:t>běžný provoz</w:t>
      </w:r>
      <w:r>
        <w:t xml:space="preserve"> pronajaté věci si hradí nájemce ze svého, stejně jako drobné opravy a údržbu. Za obvyklé náklady spojené s užíváním, které ve smyslu § 2199 odst. 1 </w:t>
      </w:r>
      <w:proofErr w:type="spellStart"/>
      <w:r>
        <w:t>obč</w:t>
      </w:r>
      <w:proofErr w:type="spellEnd"/>
      <w:r>
        <w:t>. zák. hradí nájemce, označují účastníci veškeré náklady na čištění a základní údržby a dále náklady na každou jednotlivou opravu. Toto ustanovení se týká pouze</w:t>
      </w:r>
      <w:r w:rsidR="004943B2">
        <w:t>:</w:t>
      </w:r>
    </w:p>
    <w:p w14:paraId="700C40F2" w14:textId="5B4CD440" w:rsidR="004943B2" w:rsidRDefault="00A87826" w:rsidP="006E5CB7">
      <w:pPr>
        <w:pStyle w:val="Odstavecseseznamem"/>
        <w:numPr>
          <w:ilvl w:val="1"/>
          <w:numId w:val="3"/>
        </w:numPr>
        <w:spacing w:after="120" w:line="240" w:lineRule="auto"/>
        <w:ind w:left="709" w:hanging="283"/>
        <w:jc w:val="both"/>
      </w:pPr>
      <w:r>
        <w:t>mimozáručních oprav, tedy oprav, na které se nevztahuje záruka poskytnutá pronajímateli dodavatelem předmětu nájmu (výrobcem) anebo záruka vyplývající ze smlouvy uzavřené s dodavatelem či výrobcem (prodloužená záruka</w:t>
      </w:r>
      <w:r w:rsidR="00FD6B69">
        <w:t xml:space="preserve"> viz. </w:t>
      </w:r>
      <w:proofErr w:type="spellStart"/>
      <w:r w:rsidR="00FD6B69">
        <w:t>Čl.IV</w:t>
      </w:r>
      <w:proofErr w:type="spellEnd"/>
      <w:r w:rsidR="00FD6B69">
        <w:t xml:space="preserve">. </w:t>
      </w:r>
      <w:proofErr w:type="spellStart"/>
      <w:r w:rsidR="00FD6B69">
        <w:t>odst</w:t>
      </w:r>
      <w:proofErr w:type="spellEnd"/>
      <w:r w:rsidR="00FD6B69">
        <w:t xml:space="preserve"> 3</w:t>
      </w:r>
      <w:r>
        <w:t>).</w:t>
      </w:r>
    </w:p>
    <w:p w14:paraId="081E68D4" w14:textId="5AB42673" w:rsidR="004943B2" w:rsidRDefault="004943B2" w:rsidP="006E5CB7">
      <w:pPr>
        <w:pStyle w:val="Odstavecseseznamem"/>
        <w:numPr>
          <w:ilvl w:val="1"/>
          <w:numId w:val="3"/>
        </w:numPr>
        <w:spacing w:after="120" w:line="240" w:lineRule="auto"/>
        <w:ind w:left="709" w:hanging="283"/>
        <w:jc w:val="both"/>
      </w:pPr>
      <w:r>
        <w:t>baterie, na kterou</w:t>
      </w:r>
      <w:r w:rsidR="00A87826">
        <w:t xml:space="preserve"> se poskytuje záruka 0,5 roku od doby předání předmětu nájmu do užívání. </w:t>
      </w:r>
    </w:p>
    <w:p w14:paraId="026A1FB9" w14:textId="3FBB5051" w:rsidR="009801F9" w:rsidRDefault="00A87826" w:rsidP="006E5CB7">
      <w:pPr>
        <w:pStyle w:val="Odstavecseseznamem"/>
        <w:numPr>
          <w:ilvl w:val="1"/>
          <w:numId w:val="3"/>
        </w:numPr>
        <w:spacing w:after="120" w:line="240" w:lineRule="auto"/>
        <w:ind w:left="709" w:hanging="283"/>
        <w:jc w:val="both"/>
      </w:pPr>
      <w:r>
        <w:t>opotřebiteln</w:t>
      </w:r>
      <w:r w:rsidR="004943B2">
        <w:t>ých</w:t>
      </w:r>
      <w:r>
        <w:t xml:space="preserve"> díl</w:t>
      </w:r>
      <w:r w:rsidR="004943B2">
        <w:t>ů</w:t>
      </w:r>
      <w:r>
        <w:t xml:space="preserve"> jako jsou</w:t>
      </w:r>
      <w:r w:rsidR="004943B2">
        <w:t>:</w:t>
      </w:r>
      <w:r>
        <w:t xml:space="preserve"> pojezdová kolečka</w:t>
      </w:r>
      <w:r w:rsidR="00A31F23">
        <w:t xml:space="preserve"> a</w:t>
      </w:r>
      <w:r w:rsidR="004943B2">
        <w:t xml:space="preserve"> vnější</w:t>
      </w:r>
      <w:r>
        <w:t xml:space="preserve"> kryt</w:t>
      </w:r>
      <w:r w:rsidR="00A31F23">
        <w:t>y</w:t>
      </w:r>
      <w:r>
        <w:t>.</w:t>
      </w:r>
      <w:r w:rsidR="004943B2">
        <w:t xml:space="preserve"> Na tyto díly je poskytována záruka v délce 0,5 roku</w:t>
      </w:r>
    </w:p>
    <w:p w14:paraId="10051A88" w14:textId="77777777" w:rsidR="006E5CB7" w:rsidRDefault="006E5CB7" w:rsidP="006E5CB7">
      <w:pPr>
        <w:spacing w:after="120" w:line="240" w:lineRule="auto"/>
        <w:jc w:val="both"/>
      </w:pPr>
    </w:p>
    <w:p w14:paraId="74393B1E" w14:textId="6214E357" w:rsidR="004943B2" w:rsidRDefault="004943B2" w:rsidP="006E5CB7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jc w:val="both"/>
      </w:pPr>
      <w:r>
        <w:lastRenderedPageBreak/>
        <w:t>Na předmět</w:t>
      </w:r>
      <w:r w:rsidR="008409F8">
        <w:t xml:space="preserve"> nájmu, vyjma </w:t>
      </w:r>
      <w:proofErr w:type="spellStart"/>
      <w:r w:rsidR="008409F8">
        <w:t>čl.IV</w:t>
      </w:r>
      <w:proofErr w:type="spellEnd"/>
      <w:r w:rsidR="008409F8">
        <w:t xml:space="preserve"> odst.2 bod b. a c. se poskytuje záruka po celou dobu</w:t>
      </w:r>
      <w:r w:rsidR="00A31F23">
        <w:t xml:space="preserve"> sjednaného</w:t>
      </w:r>
      <w:r w:rsidR="008409F8">
        <w:t xml:space="preserve"> nájmu</w:t>
      </w:r>
      <w:r w:rsidR="00A31F23">
        <w:t xml:space="preserve"> v této smlouvě</w:t>
      </w:r>
      <w:r w:rsidR="008409F8">
        <w:t xml:space="preserve">. Dále je v ceně </w:t>
      </w:r>
      <w:r w:rsidR="00A31F23">
        <w:t>nájmu zahrnuta</w:t>
      </w:r>
      <w:r w:rsidR="008409F8">
        <w:t>:</w:t>
      </w:r>
    </w:p>
    <w:p w14:paraId="4AFF93A0" w14:textId="261CE3B1" w:rsidR="000D096F" w:rsidRDefault="00437969" w:rsidP="006E5CB7">
      <w:pPr>
        <w:pStyle w:val="Odstavecseseznamem"/>
        <w:numPr>
          <w:ilvl w:val="1"/>
          <w:numId w:val="3"/>
        </w:numPr>
        <w:spacing w:after="120" w:line="240" w:lineRule="auto"/>
        <w:ind w:left="851" w:hanging="425"/>
      </w:pPr>
      <w:r>
        <w:t>Roční inspekční prohlídka</w:t>
      </w:r>
      <w:r w:rsidR="00A31F23">
        <w:t xml:space="preserve"> předmětu nájmu</w:t>
      </w:r>
    </w:p>
    <w:p w14:paraId="122E469D" w14:textId="0DAA1027" w:rsidR="008409F8" w:rsidRDefault="000D096F" w:rsidP="006E5CB7">
      <w:pPr>
        <w:pStyle w:val="Odstavecseseznamem"/>
        <w:numPr>
          <w:ilvl w:val="1"/>
          <w:numId w:val="3"/>
        </w:numPr>
        <w:spacing w:after="120" w:line="240" w:lineRule="auto"/>
        <w:ind w:left="851" w:hanging="425"/>
      </w:pPr>
      <w:r>
        <w:t>A</w:t>
      </w:r>
      <w:r w:rsidR="00F2295A">
        <w:t>ktualizace SW</w:t>
      </w:r>
      <w:r>
        <w:t xml:space="preserve"> v rámci </w:t>
      </w:r>
      <w:r w:rsidR="00437969">
        <w:t>roční inspekční prohlídky</w:t>
      </w:r>
      <w:r w:rsidR="008409F8">
        <w:br/>
      </w:r>
    </w:p>
    <w:bookmarkEnd w:id="0"/>
    <w:p w14:paraId="3C4FBDC5" w14:textId="77777777" w:rsidR="009801F9" w:rsidRDefault="00A87826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jc w:val="both"/>
      </w:pPr>
      <w:r>
        <w:t xml:space="preserve">Dle § 2199 odst. 2 </w:t>
      </w:r>
      <w:proofErr w:type="spellStart"/>
      <w:r>
        <w:t>obč</w:t>
      </w:r>
      <w:proofErr w:type="spellEnd"/>
      <w:r>
        <w:t>. zák. platí, že při potřebě mimořádných nákladů může nájemce věc předat pronajímateli, aby je vynaložil sám. Nechce-li nebo nemůže-li pronajímatel tak učinit a vynaloží-li mimořádné náklady v nezbytném rozsahu sám nájemce, náleží mu náhrada jako nepřikázanému jednateli.</w:t>
      </w:r>
    </w:p>
    <w:p w14:paraId="35B6C070" w14:textId="229D5F7B" w:rsidR="009801F9" w:rsidRDefault="00A87826" w:rsidP="00AA5194">
      <w:pPr>
        <w:spacing w:line="240" w:lineRule="auto"/>
        <w:jc w:val="center"/>
        <w:rPr>
          <w:rStyle w:val="sx"/>
        </w:rPr>
      </w:pPr>
      <w:r>
        <w:rPr>
          <w:rStyle w:val="sxc"/>
          <w:b/>
          <w:bCs/>
        </w:rPr>
        <w:t>V.</w:t>
      </w:r>
      <w:r>
        <w:rPr>
          <w:rStyle w:val="sx"/>
        </w:rPr>
        <w:t xml:space="preserve"> </w:t>
      </w:r>
      <w:r>
        <w:rPr>
          <w:rStyle w:val="sxc"/>
          <w:b/>
          <w:bCs/>
        </w:rPr>
        <w:t>Závěrečná ustanovení</w:t>
      </w:r>
    </w:p>
    <w:p w14:paraId="3F014B73" w14:textId="77777777" w:rsidR="009801F9" w:rsidRDefault="00A87826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jc w:val="both"/>
      </w:pPr>
      <w:r>
        <w:t xml:space="preserve">Tato smlouva nabývá platnosti a účinnosti dnem jejího podpisu poslední ze smluvních stran. Smluvní strany prohlašují, že se se smlouvou řádně seznámily, a že byla sepsána dle jejich svobodné a vážné vůle a nebyla sjednána v tísni a za nápadně nevýhodných podmínek. </w:t>
      </w:r>
    </w:p>
    <w:p w14:paraId="2FB84E8C" w14:textId="34985806" w:rsidR="009801F9" w:rsidRDefault="00A87826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jc w:val="both"/>
      </w:pPr>
      <w:r>
        <w:t>Práva a povinnosti z této smlouvy se řídí v prvé řadě touto smlouvou nájemní, a právním řádem České republiky, a to zejména ustanovením § 2316 a násl. zákona č. 89/2012 Sb., občanského zákoníku.</w:t>
      </w:r>
    </w:p>
    <w:p w14:paraId="565BF500" w14:textId="77777777" w:rsidR="00C42373" w:rsidRDefault="00A87826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jc w:val="both"/>
      </w:pPr>
      <w:r>
        <w:t>Tato smlouva je vyhotovena ve dvou stejnopisech, z nichž každá ze smluvních stran obdrží po jednom</w:t>
      </w:r>
      <w:r>
        <w:rPr>
          <w:rStyle w:val="sxl"/>
        </w:rPr>
        <w:t>.</w:t>
      </w:r>
      <w:r>
        <w:rPr>
          <w:rStyle w:val="sx"/>
        </w:rPr>
        <w:t xml:space="preserve"> </w:t>
      </w:r>
      <w:r>
        <w:br/>
      </w:r>
    </w:p>
    <w:p w14:paraId="7DF15692" w14:textId="77777777" w:rsidR="00C42373" w:rsidRDefault="00C42373" w:rsidP="00C42373">
      <w:pPr>
        <w:spacing w:after="120" w:line="240" w:lineRule="auto"/>
        <w:jc w:val="both"/>
        <w:rPr>
          <w:rStyle w:val="sxl"/>
        </w:rPr>
      </w:pPr>
    </w:p>
    <w:p w14:paraId="4CAA2D8C" w14:textId="7B1DFA82" w:rsidR="009801F9" w:rsidRDefault="00A87826" w:rsidP="00C42373">
      <w:pPr>
        <w:spacing w:after="120" w:line="240" w:lineRule="auto"/>
        <w:jc w:val="both"/>
        <w:rPr>
          <w:rStyle w:val="sxl"/>
        </w:rPr>
      </w:pPr>
      <w:r>
        <w:rPr>
          <w:rStyle w:val="sxl"/>
        </w:rPr>
        <w:t>V</w:t>
      </w:r>
      <w:r w:rsidR="00850835">
        <w:rPr>
          <w:rStyle w:val="sxl"/>
        </w:rPr>
        <w:t> Kosmonosech</w:t>
      </w:r>
      <w:r>
        <w:rPr>
          <w:rStyle w:val="sxl"/>
        </w:rPr>
        <w:t xml:space="preserve"> dne ………</w:t>
      </w:r>
      <w:r w:rsidR="00416BF5">
        <w:rPr>
          <w:rStyle w:val="sxl"/>
        </w:rPr>
        <w:tab/>
      </w:r>
      <w:r w:rsidR="00416BF5">
        <w:rPr>
          <w:rStyle w:val="sxl"/>
        </w:rPr>
        <w:tab/>
      </w:r>
      <w:r w:rsidR="00416BF5">
        <w:rPr>
          <w:rStyle w:val="sxl"/>
        </w:rPr>
        <w:tab/>
      </w:r>
      <w:r w:rsidR="00416BF5">
        <w:rPr>
          <w:rStyle w:val="sxl"/>
        </w:rPr>
        <w:tab/>
      </w:r>
      <w:r>
        <w:rPr>
          <w:rStyle w:val="sxl"/>
        </w:rPr>
        <w:t>V</w:t>
      </w:r>
      <w:r w:rsidR="00C42373">
        <w:rPr>
          <w:rStyle w:val="sxl"/>
        </w:rPr>
        <w:t xml:space="preserve"> Mladé Boleslavi </w:t>
      </w:r>
      <w:r>
        <w:rPr>
          <w:rStyle w:val="sxl"/>
        </w:rPr>
        <w:t xml:space="preserve">dne……….. </w:t>
      </w:r>
    </w:p>
    <w:p w14:paraId="37A221C9" w14:textId="65F8D1FA" w:rsidR="009801F9" w:rsidRDefault="009801F9">
      <w:pPr>
        <w:spacing w:line="240" w:lineRule="auto"/>
        <w:jc w:val="both"/>
      </w:pPr>
    </w:p>
    <w:p w14:paraId="159C5D6F" w14:textId="77777777" w:rsidR="00416BF5" w:rsidRDefault="00416BF5">
      <w:pPr>
        <w:spacing w:line="240" w:lineRule="auto"/>
        <w:jc w:val="both"/>
      </w:pPr>
    </w:p>
    <w:p w14:paraId="7099921C" w14:textId="77777777" w:rsidR="00416BF5" w:rsidRDefault="00A87826">
      <w:pPr>
        <w:spacing w:line="240" w:lineRule="auto"/>
        <w:jc w:val="both"/>
        <w:rPr>
          <w:rStyle w:val="sxl"/>
        </w:rPr>
      </w:pPr>
      <w:r>
        <w:rPr>
          <w:rStyle w:val="sxl"/>
        </w:rPr>
        <w:t>_____________________</w:t>
      </w:r>
      <w:r w:rsidR="00416BF5">
        <w:rPr>
          <w:rStyle w:val="sxl"/>
        </w:rPr>
        <w:t>___</w:t>
      </w:r>
      <w:r w:rsidR="00850835">
        <w:rPr>
          <w:rStyle w:val="sxl"/>
        </w:rPr>
        <w:tab/>
      </w:r>
      <w:r w:rsidR="00850835">
        <w:rPr>
          <w:rStyle w:val="sxl"/>
        </w:rPr>
        <w:tab/>
      </w:r>
      <w:r>
        <w:rPr>
          <w:rStyle w:val="sxl"/>
        </w:rPr>
        <w:t xml:space="preserve">  </w:t>
      </w:r>
      <w:r w:rsidR="00416BF5">
        <w:rPr>
          <w:rStyle w:val="sxl"/>
        </w:rPr>
        <w:tab/>
      </w:r>
      <w:r w:rsidR="00850835">
        <w:rPr>
          <w:rStyle w:val="sxl"/>
        </w:rPr>
        <w:t>_____________________</w:t>
      </w:r>
      <w:r w:rsidR="00416BF5">
        <w:rPr>
          <w:rStyle w:val="sxl"/>
        </w:rPr>
        <w:t>___</w:t>
      </w:r>
    </w:p>
    <w:p w14:paraId="0B679212" w14:textId="77777777" w:rsidR="00416BF5" w:rsidRDefault="00416BF5" w:rsidP="00416BF5">
      <w:pPr>
        <w:spacing w:line="240" w:lineRule="auto"/>
        <w:rPr>
          <w:rStyle w:val="sxl"/>
        </w:rPr>
      </w:pPr>
      <w:r>
        <w:rPr>
          <w:rStyle w:val="sxl"/>
        </w:rPr>
        <w:t>Ing. František Kysela</w:t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  <w:t>JUDr. Ladislav Řípa</w:t>
      </w:r>
      <w:r>
        <w:rPr>
          <w:rStyle w:val="sxl"/>
        </w:rPr>
        <w:br/>
        <w:t>jednatel společnosti</w:t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  <w:t xml:space="preserve">předseda představenstva </w:t>
      </w:r>
    </w:p>
    <w:p w14:paraId="1397279A" w14:textId="77777777" w:rsidR="00416BF5" w:rsidRDefault="00416BF5" w:rsidP="00416BF5">
      <w:pPr>
        <w:spacing w:line="240" w:lineRule="auto"/>
        <w:rPr>
          <w:rStyle w:val="sxl"/>
        </w:rPr>
      </w:pPr>
    </w:p>
    <w:p w14:paraId="57C8DA4B" w14:textId="77777777" w:rsidR="00416BF5" w:rsidRDefault="00416BF5" w:rsidP="00416BF5">
      <w:pPr>
        <w:spacing w:line="240" w:lineRule="auto"/>
        <w:rPr>
          <w:rStyle w:val="sxl"/>
        </w:rPr>
      </w:pPr>
    </w:p>
    <w:p w14:paraId="325FB0B6" w14:textId="77777777" w:rsidR="00416BF5" w:rsidRDefault="00416BF5" w:rsidP="00416BF5">
      <w:pPr>
        <w:spacing w:line="240" w:lineRule="auto"/>
        <w:rPr>
          <w:rStyle w:val="sxl"/>
        </w:rPr>
      </w:pP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  <w:t>________________________</w:t>
      </w:r>
    </w:p>
    <w:p w14:paraId="484F84D7" w14:textId="7722C768" w:rsidR="00850835" w:rsidRDefault="00416BF5" w:rsidP="00416BF5">
      <w:pPr>
        <w:spacing w:line="240" w:lineRule="auto"/>
        <w:rPr>
          <w:rStyle w:val="sxl"/>
        </w:rPr>
      </w:pP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  <w:t>Mgr. Daniel Marek</w:t>
      </w:r>
      <w:r w:rsidR="00173888">
        <w:rPr>
          <w:rStyle w:val="sxl"/>
        </w:rPr>
        <w:br/>
      </w:r>
      <w:r w:rsidR="00173888">
        <w:rPr>
          <w:rStyle w:val="sxl"/>
        </w:rPr>
        <w:tab/>
      </w:r>
      <w:r w:rsidR="00173888">
        <w:rPr>
          <w:rStyle w:val="sxl"/>
        </w:rPr>
        <w:tab/>
      </w:r>
      <w:r w:rsidR="00173888"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>
        <w:rPr>
          <w:rStyle w:val="sxl"/>
        </w:rPr>
        <w:tab/>
      </w:r>
      <w:r w:rsidR="00173888">
        <w:rPr>
          <w:rStyle w:val="sxl"/>
        </w:rPr>
        <w:t>místopředseda představenstva</w:t>
      </w:r>
      <w:r w:rsidR="00850835">
        <w:rPr>
          <w:rStyle w:val="sxl"/>
        </w:rPr>
        <w:t xml:space="preserve">      </w:t>
      </w:r>
      <w:r w:rsidR="00850835">
        <w:rPr>
          <w:rStyle w:val="sxl"/>
        </w:rPr>
        <w:br/>
      </w:r>
    </w:p>
    <w:sectPr w:rsidR="00850835">
      <w:pgSz w:w="11906" w:h="16838"/>
      <w:pgMar w:top="1138" w:right="1022" w:bottom="1022" w:left="1022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F17D8" w14:textId="77777777" w:rsidR="007B1D85" w:rsidRDefault="007B1D85" w:rsidP="004943B2">
      <w:pPr>
        <w:spacing w:after="0" w:line="240" w:lineRule="auto"/>
      </w:pPr>
      <w:r>
        <w:separator/>
      </w:r>
    </w:p>
  </w:endnote>
  <w:endnote w:type="continuationSeparator" w:id="0">
    <w:p w14:paraId="3831C6C8" w14:textId="77777777" w:rsidR="007B1D85" w:rsidRDefault="007B1D85" w:rsidP="004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3BB8" w14:textId="77777777" w:rsidR="007B1D85" w:rsidRDefault="007B1D85" w:rsidP="004943B2">
      <w:pPr>
        <w:spacing w:after="0" w:line="240" w:lineRule="auto"/>
      </w:pPr>
      <w:r>
        <w:separator/>
      </w:r>
    </w:p>
  </w:footnote>
  <w:footnote w:type="continuationSeparator" w:id="0">
    <w:p w14:paraId="346BF136" w14:textId="77777777" w:rsidR="007B1D85" w:rsidRDefault="007B1D85" w:rsidP="00494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690"/>
    <w:multiLevelType w:val="multilevel"/>
    <w:tmpl w:val="A2DC65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460B3"/>
    <w:multiLevelType w:val="multilevel"/>
    <w:tmpl w:val="EE2E2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6D32"/>
    <w:multiLevelType w:val="multilevel"/>
    <w:tmpl w:val="F25098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570AB"/>
    <w:multiLevelType w:val="multilevel"/>
    <w:tmpl w:val="40460A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7188D"/>
    <w:multiLevelType w:val="multilevel"/>
    <w:tmpl w:val="252C4B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9100269">
    <w:abstractNumId w:val="0"/>
  </w:num>
  <w:num w:numId="2" w16cid:durableId="470484542">
    <w:abstractNumId w:val="1"/>
  </w:num>
  <w:num w:numId="3" w16cid:durableId="2031489249">
    <w:abstractNumId w:val="3"/>
  </w:num>
  <w:num w:numId="4" w16cid:durableId="243075720">
    <w:abstractNumId w:val="2"/>
  </w:num>
  <w:num w:numId="5" w16cid:durableId="171635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F9"/>
    <w:rsid w:val="00086798"/>
    <w:rsid w:val="000D096F"/>
    <w:rsid w:val="00173888"/>
    <w:rsid w:val="00223D5C"/>
    <w:rsid w:val="00363CBA"/>
    <w:rsid w:val="003B7C12"/>
    <w:rsid w:val="00416BF5"/>
    <w:rsid w:val="00437969"/>
    <w:rsid w:val="004943B2"/>
    <w:rsid w:val="006C7BA5"/>
    <w:rsid w:val="006E5CB7"/>
    <w:rsid w:val="007B1D85"/>
    <w:rsid w:val="007C4EFA"/>
    <w:rsid w:val="008409F8"/>
    <w:rsid w:val="00850835"/>
    <w:rsid w:val="00914575"/>
    <w:rsid w:val="00924DA6"/>
    <w:rsid w:val="00960E3D"/>
    <w:rsid w:val="009801F9"/>
    <w:rsid w:val="00A107D5"/>
    <w:rsid w:val="00A31F23"/>
    <w:rsid w:val="00A87826"/>
    <w:rsid w:val="00AA5194"/>
    <w:rsid w:val="00C42373"/>
    <w:rsid w:val="00F0753A"/>
    <w:rsid w:val="00F2295A"/>
    <w:rsid w:val="00FD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F97C"/>
  <w15:docId w15:val="{7E61BF22-6B3B-43F9-879A-C6663CE4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B4D"/>
    <w:pPr>
      <w:spacing w:after="200" w:line="276" w:lineRule="auto"/>
    </w:pPr>
    <w:rPr>
      <w:rFonts w:eastAsiaTheme="minorEastAsia" w:cstheme="minorBidi"/>
      <w:bCs w:val="0"/>
      <w:sz w:val="24"/>
      <w:szCs w:val="22"/>
      <w:lang w:val="cs-CZ"/>
    </w:rPr>
  </w:style>
  <w:style w:type="paragraph" w:styleId="Nadpis1">
    <w:name w:val="heading 1"/>
    <w:basedOn w:val="Normln"/>
    <w:link w:val="Nadpis1Char"/>
    <w:qFormat/>
    <w:rsid w:val="00A54F12"/>
    <w:pPr>
      <w:keepNext/>
      <w:spacing w:before="240" w:after="60"/>
      <w:outlineLvl w:val="0"/>
    </w:pPr>
    <w:rPr>
      <w:rFonts w:eastAsia="Times New Roman" w:cs="Arial"/>
      <w:b/>
      <w:kern w:val="2"/>
      <w:sz w:val="28"/>
      <w:szCs w:val="32"/>
      <w:lang w:eastAsia="cs-CZ"/>
    </w:rPr>
  </w:style>
  <w:style w:type="paragraph" w:styleId="Nadpis2">
    <w:name w:val="heading 2"/>
    <w:basedOn w:val="Normln"/>
    <w:link w:val="Nadpis2Char"/>
    <w:qFormat/>
    <w:rsid w:val="00A54F12"/>
    <w:pPr>
      <w:keepNext/>
      <w:spacing w:before="240" w:after="60"/>
      <w:outlineLvl w:val="1"/>
    </w:pPr>
    <w:rPr>
      <w:rFonts w:eastAsia="Times New Roman" w:cs="Arial"/>
      <w:b/>
      <w:iCs/>
      <w:szCs w:val="28"/>
      <w:lang w:eastAsia="cs-CZ"/>
    </w:rPr>
  </w:style>
  <w:style w:type="paragraph" w:styleId="Nadpis3">
    <w:name w:val="heading 3"/>
    <w:basedOn w:val="Normln"/>
    <w:link w:val="Nadpis3Char"/>
    <w:qFormat/>
    <w:rsid w:val="00A54F12"/>
    <w:pPr>
      <w:keepNext/>
      <w:spacing w:before="120" w:line="240" w:lineRule="atLeast"/>
      <w:jc w:val="center"/>
      <w:outlineLvl w:val="2"/>
    </w:pPr>
    <w:rPr>
      <w:rFonts w:eastAsia="Times New Roman"/>
      <w:b/>
      <w:szCs w:val="20"/>
      <w:lang w:eastAsia="cs-CZ"/>
    </w:rPr>
  </w:style>
  <w:style w:type="paragraph" w:styleId="Nadpis4">
    <w:name w:val="heading 4"/>
    <w:basedOn w:val="Normln"/>
    <w:link w:val="Nadpis4Char"/>
    <w:qFormat/>
    <w:rsid w:val="00A54F12"/>
    <w:pPr>
      <w:keepNext/>
      <w:spacing w:before="240" w:after="60"/>
      <w:outlineLvl w:val="3"/>
    </w:pPr>
    <w:rPr>
      <w:rFonts w:eastAsia="Times New Roman"/>
      <w:b/>
      <w:sz w:val="28"/>
      <w:szCs w:val="28"/>
      <w:lang w:eastAsia="cs-CZ"/>
    </w:rPr>
  </w:style>
  <w:style w:type="paragraph" w:styleId="Nadpis5">
    <w:name w:val="heading 5"/>
    <w:basedOn w:val="Normln"/>
    <w:link w:val="Nadpis5Char"/>
    <w:qFormat/>
    <w:rsid w:val="00A54F12"/>
    <w:pPr>
      <w:spacing w:before="240" w:after="60"/>
      <w:outlineLvl w:val="4"/>
    </w:pPr>
    <w:rPr>
      <w:rFonts w:eastAsia="Times New Roman"/>
      <w:b/>
      <w:i/>
      <w:iCs/>
      <w:sz w:val="26"/>
      <w:szCs w:val="26"/>
      <w:lang w:eastAsia="cs-CZ"/>
    </w:rPr>
  </w:style>
  <w:style w:type="paragraph" w:styleId="Nadpis6">
    <w:name w:val="heading 6"/>
    <w:basedOn w:val="Normln"/>
    <w:link w:val="Nadpis6Char"/>
    <w:qFormat/>
    <w:rsid w:val="00A54F12"/>
    <w:pPr>
      <w:spacing w:before="240" w:after="60"/>
      <w:outlineLvl w:val="5"/>
    </w:pPr>
    <w:rPr>
      <w:rFonts w:eastAsia="Times New Roman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A54F12"/>
    <w:rPr>
      <w:rFonts w:eastAsia="Times New Roman" w:cs="Arial"/>
      <w:b/>
      <w:kern w:val="2"/>
      <w:sz w:val="28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qFormat/>
    <w:rsid w:val="00A54F12"/>
    <w:rPr>
      <w:rFonts w:eastAsia="Times New Roman" w:cs="Arial"/>
      <w:b/>
      <w:iCs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qFormat/>
    <w:rsid w:val="00A54F12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Standardnpsmoodstavce"/>
    <w:link w:val="Nadpis4"/>
    <w:qFormat/>
    <w:rsid w:val="00A54F12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qFormat/>
    <w:rsid w:val="00A54F12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qFormat/>
    <w:rsid w:val="00A54F12"/>
    <w:rPr>
      <w:rFonts w:ascii="Times New Roman" w:eastAsia="Times New Roman" w:hAnsi="Times New Roman" w:cs="Times New Roman"/>
      <w:b/>
      <w:bCs/>
      <w:lang w:val="cs-CZ" w:eastAsia="cs-CZ"/>
    </w:rPr>
  </w:style>
  <w:style w:type="character" w:styleId="Siln">
    <w:name w:val="Strong"/>
    <w:basedOn w:val="Standardnpsmoodstavce"/>
    <w:uiPriority w:val="22"/>
    <w:qFormat/>
    <w:rsid w:val="00A54F12"/>
    <w:rPr>
      <w:b/>
      <w:bCs/>
    </w:rPr>
  </w:style>
  <w:style w:type="character" w:customStyle="1" w:styleId="sx">
    <w:name w:val="sx"/>
    <w:basedOn w:val="Standardnpsmoodstavce"/>
    <w:qFormat/>
    <w:rsid w:val="00EE60DE"/>
  </w:style>
  <w:style w:type="character" w:customStyle="1" w:styleId="sxl">
    <w:name w:val="sxl"/>
    <w:basedOn w:val="Standardnpsmoodstavce"/>
    <w:qFormat/>
    <w:rsid w:val="00EE60DE"/>
  </w:style>
  <w:style w:type="character" w:customStyle="1" w:styleId="sxc">
    <w:name w:val="sxc"/>
    <w:basedOn w:val="Standardnpsmoodstavce"/>
    <w:qFormat/>
    <w:rsid w:val="00EE60DE"/>
  </w:style>
  <w:style w:type="character" w:customStyle="1" w:styleId="sxj">
    <w:name w:val="sxj"/>
    <w:basedOn w:val="Standardnpsmoodstavce"/>
    <w:qFormat/>
    <w:rsid w:val="00EE60DE"/>
  </w:style>
  <w:style w:type="character" w:customStyle="1" w:styleId="platne1">
    <w:name w:val="platne1"/>
    <w:qFormat/>
    <w:rsid w:val="002E0843"/>
    <w:rPr>
      <w:w w:val="120"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2E0843"/>
    <w:rPr>
      <w:rFonts w:ascii="Calibri" w:eastAsia="Times New Roman" w:hAnsi="Calibri"/>
      <w:bCs w:val="0"/>
      <w:sz w:val="16"/>
      <w:szCs w:val="16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semiHidden/>
    <w:qFormat/>
    <w:rsid w:val="002E0843"/>
    <w:rPr>
      <w:rFonts w:ascii="Courier New" w:eastAsia="Times New Roman" w:hAnsi="Courier New" w:cs="Courier New"/>
      <w:bCs w:val="0"/>
      <w:sz w:val="20"/>
      <w:szCs w:val="20"/>
      <w:lang w:val="cs-CZ" w:eastAsia="cs-CZ"/>
    </w:rPr>
  </w:style>
  <w:style w:type="character" w:customStyle="1" w:styleId="small">
    <w:name w:val="small"/>
    <w:basedOn w:val="Standardnpsmoodstavce"/>
    <w:qFormat/>
    <w:rsid w:val="00002AD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3168B"/>
    <w:rPr>
      <w:rFonts w:ascii="Segoe UI" w:eastAsiaTheme="minorEastAsia" w:hAnsi="Segoe UI" w:cs="Segoe UI"/>
      <w:bCs w:val="0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A54F12"/>
    <w:pPr>
      <w:ind w:left="720"/>
      <w:contextualSpacing/>
    </w:pPr>
  </w:style>
  <w:style w:type="paragraph" w:styleId="Nadpisobsahu">
    <w:name w:val="TOC Heading"/>
    <w:basedOn w:val="Nadpis1"/>
    <w:uiPriority w:val="39"/>
    <w:semiHidden/>
    <w:unhideWhenUsed/>
    <w:qFormat/>
    <w:rsid w:val="00A54F12"/>
    <w:pPr>
      <w:keepLines/>
      <w:spacing w:before="480" w:after="0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2E0843"/>
    <w:pPr>
      <w:spacing w:after="120"/>
    </w:pPr>
    <w:rPr>
      <w:rFonts w:ascii="Calibri" w:eastAsia="Times New Roman" w:hAnsi="Calibri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qFormat/>
    <w:rsid w:val="002E08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316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3F768D"/>
    <w:rPr>
      <w:rFonts w:eastAsiaTheme="minorEastAsia" w:cstheme="minorBidi"/>
      <w:bCs w:val="0"/>
      <w:sz w:val="24"/>
      <w:szCs w:val="22"/>
      <w:lang w:val="cs-CZ"/>
    </w:rPr>
  </w:style>
  <w:style w:type="paragraph" w:styleId="Zhlav">
    <w:name w:val="header"/>
    <w:basedOn w:val="Normln"/>
    <w:link w:val="ZhlavChar"/>
    <w:uiPriority w:val="99"/>
    <w:unhideWhenUsed/>
    <w:rsid w:val="004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3B2"/>
    <w:rPr>
      <w:rFonts w:eastAsiaTheme="minorEastAsia" w:cstheme="minorBidi"/>
      <w:bCs w:val="0"/>
      <w:sz w:val="24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4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3B2"/>
    <w:rPr>
      <w:rFonts w:eastAsiaTheme="minorEastAsia" w:cstheme="minorBidi"/>
      <w:bCs w:val="0"/>
      <w:sz w:val="24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1021</Words>
  <Characters>6235</Characters>
  <Application>Microsoft Office Word</Application>
  <DocSecurity>0</DocSecurity>
  <Lines>141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Lyžbická Gabriela, advokát</dc:creator>
  <dc:description/>
  <cp:lastModifiedBy>konference</cp:lastModifiedBy>
  <cp:revision>3</cp:revision>
  <cp:lastPrinted>2022-06-10T08:19:00Z</cp:lastPrinted>
  <dcterms:created xsi:type="dcterms:W3CDTF">2022-06-09T13:15:00Z</dcterms:created>
  <dcterms:modified xsi:type="dcterms:W3CDTF">2022-06-10T08:50:00Z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