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E1" w:rsidRDefault="005A32E1" w:rsidP="005A32E1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>
        <w:rPr>
          <w:rFonts w:ascii="Arial" w:eastAsiaTheme="minorHAnsi" w:hAnsi="Arial" w:cs="Arial"/>
          <w:b/>
          <w:szCs w:val="24"/>
          <w:lang w:eastAsia="en-US"/>
        </w:rPr>
        <w:t>1</w:t>
      </w:r>
    </w:p>
    <w:p w:rsidR="005A32E1" w:rsidRDefault="005A32E1" w:rsidP="00DC3BE3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Pr="00543498">
        <w:rPr>
          <w:rFonts w:ascii="Arial" w:eastAsiaTheme="minorHAnsi" w:hAnsi="Arial" w:cs="Arial"/>
          <w:b/>
          <w:sz w:val="20"/>
          <w:lang w:eastAsia="en-US"/>
        </w:rPr>
        <w:t xml:space="preserve">Smlouvě o poskytování </w:t>
      </w:r>
      <w:r>
        <w:rPr>
          <w:rFonts w:ascii="Arial" w:eastAsiaTheme="minorHAnsi" w:hAnsi="Arial" w:cs="Arial"/>
          <w:b/>
          <w:sz w:val="20"/>
          <w:lang w:eastAsia="en-US"/>
        </w:rPr>
        <w:t>datových</w:t>
      </w:r>
      <w:r w:rsidRPr="00543498">
        <w:rPr>
          <w:rFonts w:ascii="Arial" w:eastAsiaTheme="minorHAnsi" w:hAnsi="Arial" w:cs="Arial"/>
          <w:b/>
          <w:sz w:val="20"/>
          <w:lang w:eastAsia="en-US"/>
        </w:rPr>
        <w:t xml:space="preserve"> komunikačních služeb </w:t>
      </w:r>
      <w:r w:rsidRPr="00276932">
        <w:rPr>
          <w:rFonts w:ascii="Arial" w:eastAsiaTheme="minorHAnsi" w:hAnsi="Arial" w:cs="Arial"/>
          <w:b/>
          <w:sz w:val="20"/>
          <w:lang w:eastAsia="en-US"/>
        </w:rPr>
        <w:t>č. 2100044/4100057941</w:t>
      </w:r>
      <w:r w:rsidRPr="00D145EC">
        <w:rPr>
          <w:rFonts w:ascii="Arial" w:eastAsiaTheme="minorHAnsi" w:hAnsi="Arial" w:cs="Arial"/>
          <w:b/>
          <w:sz w:val="20"/>
          <w:lang w:eastAsia="en-US"/>
        </w:rPr>
        <w:cr/>
      </w:r>
      <w:r w:rsidRPr="00C33786">
        <w:rPr>
          <w:rFonts w:ascii="Arial" w:eastAsiaTheme="minorHAnsi" w:hAnsi="Arial" w:cs="Arial"/>
          <w:sz w:val="20"/>
          <w:lang w:eastAsia="en-US"/>
        </w:rPr>
        <w:t xml:space="preserve">uzavřené dne </w:t>
      </w:r>
      <w:r w:rsidR="00813C22">
        <w:rPr>
          <w:rFonts w:ascii="Arial" w:eastAsiaTheme="minorHAnsi" w:hAnsi="Arial" w:cs="Arial"/>
          <w:sz w:val="20"/>
          <w:lang w:eastAsia="en-US"/>
        </w:rPr>
        <w:t>23</w:t>
      </w:r>
      <w:r w:rsidRPr="00C33786">
        <w:rPr>
          <w:rFonts w:ascii="Arial" w:eastAsiaTheme="minorHAnsi" w:hAnsi="Arial" w:cs="Arial"/>
          <w:sz w:val="20"/>
          <w:lang w:eastAsia="en-US"/>
        </w:rPr>
        <w:t>. 11. 2021 mezi níže uvedenými smluvními stranami</w:t>
      </w:r>
    </w:p>
    <w:p w:rsidR="007B7EE9" w:rsidRPr="00C33786" w:rsidRDefault="007B7EE9" w:rsidP="00DC3BE3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5A32E1" w:rsidRPr="00046680" w:rsidRDefault="007B7EE9" w:rsidP="005A32E1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Evidováno VZP ČR pod </w:t>
      </w:r>
      <w:r w:rsidR="005A32E1" w:rsidRPr="00C33786">
        <w:rPr>
          <w:rFonts w:ascii="Arial" w:eastAsiaTheme="minorHAnsi" w:hAnsi="Arial" w:cs="Arial"/>
          <w:sz w:val="20"/>
          <w:lang w:eastAsia="en-US"/>
        </w:rPr>
        <w:t>ID VZ: 2</w:t>
      </w:r>
      <w:r>
        <w:rPr>
          <w:rFonts w:ascii="Arial" w:eastAsiaTheme="minorHAnsi" w:hAnsi="Arial" w:cs="Arial"/>
          <w:sz w:val="20"/>
          <w:lang w:eastAsia="en-US"/>
        </w:rPr>
        <w:t>2</w:t>
      </w:r>
      <w:r w:rsidR="005A32E1" w:rsidRPr="00C33786">
        <w:rPr>
          <w:rFonts w:ascii="Arial" w:eastAsiaTheme="minorHAnsi" w:hAnsi="Arial" w:cs="Arial"/>
          <w:sz w:val="20"/>
          <w:lang w:eastAsia="en-US"/>
        </w:rPr>
        <w:t>00</w:t>
      </w:r>
      <w:r>
        <w:rPr>
          <w:rFonts w:ascii="Arial" w:eastAsiaTheme="minorHAnsi" w:hAnsi="Arial" w:cs="Arial"/>
          <w:sz w:val="20"/>
          <w:lang w:eastAsia="en-US"/>
        </w:rPr>
        <w:t>236</w:t>
      </w:r>
    </w:p>
    <w:p w:rsidR="005A32E1" w:rsidRPr="00046680" w:rsidRDefault="005A32E1" w:rsidP="005A32E1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:rsidR="005A32E1" w:rsidRPr="00046680" w:rsidRDefault="005A32E1" w:rsidP="005A32E1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5A32E1" w:rsidRPr="00046680" w:rsidRDefault="005A32E1" w:rsidP="005A32E1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1110205001/0710</w:t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>
        <w:rPr>
          <w:rFonts w:ascii="Arial" w:eastAsiaTheme="minorHAnsi" w:hAnsi="Arial" w:cs="Arial"/>
          <w:sz w:val="20"/>
          <w:lang w:eastAsia="en-US"/>
        </w:rPr>
        <w:t>VZP ČR“)</w:t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T-Mobile Czech Republic a.s.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Tomíčkova 2144/1, Chodov, 148 00 Praha 4</w:t>
      </w:r>
    </w:p>
    <w:p w:rsidR="006B1C6F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</w:t>
      </w:r>
      <w:r>
        <w:rPr>
          <w:rFonts w:ascii="Arial" w:eastAsia="Calibri" w:hAnsi="Arial" w:cs="Arial"/>
          <w:sz w:val="20"/>
          <w:lang w:eastAsia="en-US"/>
        </w:rPr>
        <w:t>/jí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6B1C6F">
        <w:rPr>
          <w:rFonts w:ascii="Arial" w:eastAsia="Calibri" w:hAnsi="Arial" w:cs="Arial"/>
          <w:sz w:val="20"/>
          <w:lang w:eastAsia="en-US"/>
        </w:rPr>
        <w:t>XXXXXXXXXXXX</w:t>
      </w:r>
      <w:proofErr w:type="spellEnd"/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64949681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>
        <w:rPr>
          <w:rFonts w:ascii="Arial" w:eastAsia="Calibri" w:hAnsi="Arial" w:cs="Arial"/>
          <w:sz w:val="20"/>
          <w:lang w:eastAsia="en-US"/>
        </w:rPr>
        <w:t>64949681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Komerční banka, a.s., Praha 2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Pr="0054071E">
        <w:rPr>
          <w:rFonts w:ascii="Arial" w:eastAsia="Calibri" w:hAnsi="Arial" w:cs="Arial"/>
          <w:sz w:val="20"/>
          <w:lang w:eastAsia="en-US"/>
        </w:rPr>
        <w:t>19-2235210247/0100</w:t>
      </w:r>
    </w:p>
    <w:p w:rsidR="005A32E1" w:rsidRPr="00046680" w:rsidRDefault="005A32E1" w:rsidP="005A32E1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bookmarkStart w:id="0" w:name="_Hlk56762366"/>
      <w:r>
        <w:rPr>
          <w:rFonts w:ascii="Arial" w:eastAsia="Calibri" w:hAnsi="Arial" w:cs="Arial"/>
          <w:sz w:val="20"/>
          <w:lang w:eastAsia="en-US"/>
        </w:rPr>
        <w:t>Zapsaná v obchodním rejstříku vedeném Městským soudem v Praze, oddíl B vložka 3787</w:t>
      </w:r>
      <w:bookmarkEnd w:id="0"/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5A32E1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:rsidR="005A32E1" w:rsidRPr="00046680" w:rsidRDefault="005A32E1" w:rsidP="005A32E1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5A32E1" w:rsidRPr="00046680" w:rsidRDefault="005A32E1" w:rsidP="005A32E1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DC3BE3">
        <w:rPr>
          <w:rFonts w:ascii="Arial" w:eastAsiaTheme="minorHAnsi" w:hAnsi="Arial" w:cs="Arial"/>
          <w:sz w:val="20"/>
          <w:lang w:eastAsia="en-US"/>
        </w:rPr>
        <w:t>23</w:t>
      </w:r>
      <w:r>
        <w:rPr>
          <w:rFonts w:ascii="Arial" w:eastAsiaTheme="minorHAnsi" w:hAnsi="Arial" w:cs="Arial"/>
          <w:sz w:val="20"/>
          <w:lang w:eastAsia="en-US"/>
        </w:rPr>
        <w:t>. 11. 2021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>
        <w:rPr>
          <w:rFonts w:ascii="Arial" w:eastAsiaTheme="minorHAnsi" w:hAnsi="Arial" w:cs="Arial"/>
          <w:sz w:val="20"/>
          <w:lang w:eastAsia="en-US"/>
        </w:rPr>
        <w:t>1. 12. 2021</w:t>
      </w:r>
      <w:r w:rsidRPr="001F1155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Pr="0054071E">
        <w:rPr>
          <w:rFonts w:ascii="Helvetica" w:eastAsiaTheme="minorHAnsi" w:hAnsi="Helvetica" w:cs="Helvetica"/>
          <w:sz w:val="20"/>
          <w:lang w:eastAsia="en-US"/>
        </w:rPr>
        <w:t>otevřeného zadávacího řízení na nadlimitní veřejnou zakázku s názvem „Datová konektivita ve vybraných</w:t>
      </w:r>
      <w:r>
        <w:rPr>
          <w:rFonts w:ascii="Helvetica" w:eastAsiaTheme="minorHAnsi" w:hAnsi="Helvetica" w:cs="Helvetica"/>
          <w:sz w:val="20"/>
          <w:lang w:eastAsia="en-US"/>
        </w:rPr>
        <w:t xml:space="preserve"> </w:t>
      </w:r>
      <w:r w:rsidRPr="0054071E">
        <w:rPr>
          <w:rFonts w:ascii="Helvetica" w:eastAsiaTheme="minorHAnsi" w:hAnsi="Helvetica" w:cs="Helvetica"/>
          <w:sz w:val="20"/>
          <w:lang w:eastAsia="en-US"/>
        </w:rPr>
        <w:t>lokalitách VZP ČR“, evidovanou VZP ČR pod číslem ID VZ:</w:t>
      </w:r>
      <w:r w:rsidR="00DC3BE3">
        <w:rPr>
          <w:rFonts w:ascii="Helvetica" w:eastAsiaTheme="minorHAnsi" w:hAnsi="Helvetica" w:cs="Helvetica"/>
          <w:sz w:val="20"/>
          <w:lang w:eastAsia="en-US"/>
        </w:rPr>
        <w:t> </w:t>
      </w:r>
      <w:r w:rsidRPr="0054071E">
        <w:rPr>
          <w:rFonts w:ascii="Helvetica" w:eastAsiaTheme="minorHAnsi" w:hAnsi="Helvetica" w:cs="Helvetica"/>
          <w:sz w:val="20"/>
          <w:lang w:eastAsia="en-US"/>
        </w:rPr>
        <w:t>2100044 (dále jen „Veřejná zakázka“)</w:t>
      </w:r>
      <w:r>
        <w:rPr>
          <w:rFonts w:ascii="Arial" w:eastAsia="Calibri" w:hAnsi="Arial" w:cs="Arial"/>
          <w:sz w:val="20"/>
          <w:lang w:eastAsia="en-US"/>
        </w:rPr>
        <w:t xml:space="preserve">. 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Na základě ustanovení </w:t>
      </w:r>
      <w:r w:rsidRPr="00C33786">
        <w:rPr>
          <w:rFonts w:ascii="Arial" w:eastAsiaTheme="minorHAnsi" w:hAnsi="Arial" w:cs="Arial"/>
          <w:sz w:val="20"/>
          <w:lang w:eastAsia="en-US"/>
        </w:rPr>
        <w:t>článku VII.</w:t>
      </w:r>
      <w:r w:rsidR="00DC3BE3">
        <w:rPr>
          <w:rFonts w:ascii="Arial" w:eastAsiaTheme="minorHAnsi" w:hAnsi="Arial" w:cs="Arial"/>
          <w:sz w:val="20"/>
          <w:lang w:eastAsia="en-US"/>
        </w:rPr>
        <w:t>,</w:t>
      </w:r>
      <w:r w:rsidRPr="00C33786">
        <w:rPr>
          <w:rFonts w:ascii="Arial" w:eastAsiaTheme="minorHAnsi" w:hAnsi="Arial" w:cs="Arial"/>
          <w:sz w:val="20"/>
          <w:lang w:eastAsia="en-US"/>
        </w:rPr>
        <w:t xml:space="preserve"> </w:t>
      </w:r>
      <w:r w:rsidR="00DC3BE3">
        <w:rPr>
          <w:rFonts w:ascii="Arial" w:eastAsiaTheme="minorHAnsi" w:hAnsi="Arial" w:cs="Arial"/>
          <w:sz w:val="20"/>
          <w:lang w:eastAsia="en-US"/>
        </w:rPr>
        <w:t xml:space="preserve">odst. 1. </w:t>
      </w:r>
      <w:r w:rsidRPr="00C33786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>mluvní strany ke Smlouvě tento Dodatek č. 1.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5A32E1" w:rsidRDefault="005A32E1" w:rsidP="005A32E1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5A32E1" w:rsidRPr="00046680" w:rsidRDefault="005A32E1" w:rsidP="005A32E1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5A32E1" w:rsidRDefault="005A32E1" w:rsidP="005A32E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 se číslo účtu nahrazuje novým číslem účtu (již uvedeným v záhlaví tohoto Dodatku č. 1) následujícím způsobem:</w:t>
      </w:r>
    </w:p>
    <w:p w:rsidR="005A32E1" w:rsidRPr="00543498" w:rsidRDefault="005A32E1" w:rsidP="005A32E1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D1EB5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Pr="00543498">
        <w:rPr>
          <w:rFonts w:ascii="Arial" w:eastAsia="Calibri" w:hAnsi="Arial" w:cs="Arial"/>
          <w:sz w:val="20"/>
          <w:lang w:eastAsia="en-US"/>
        </w:rPr>
        <w:tab/>
      </w:r>
      <w:r w:rsidRPr="00EA78B2">
        <w:rPr>
          <w:rFonts w:ascii="Arial" w:eastAsia="Calibri" w:hAnsi="Arial" w:cs="Arial"/>
          <w:i/>
          <w:sz w:val="20"/>
          <w:lang w:eastAsia="en-US"/>
        </w:rPr>
        <w:t>994404-242097001/0800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9948BE">
        <w:rPr>
          <w:rFonts w:ascii="Arial" w:eastAsia="Calibri" w:hAnsi="Arial" w:cs="Arial"/>
          <w:sz w:val="20"/>
          <w:lang w:eastAsia="en-US"/>
        </w:rPr>
        <w:t>se nahrazuje</w:t>
      </w:r>
      <w:r>
        <w:rPr>
          <w:rFonts w:ascii="Arial" w:eastAsia="Calibri" w:hAnsi="Arial" w:cs="Arial"/>
          <w:sz w:val="20"/>
          <w:lang w:eastAsia="en-US"/>
        </w:rPr>
        <w:t xml:space="preserve"> číslem </w:t>
      </w:r>
      <w:r w:rsidRPr="00EA78B2">
        <w:rPr>
          <w:rFonts w:ascii="Arial" w:eastAsia="Calibri" w:hAnsi="Arial" w:cs="Arial"/>
          <w:i/>
          <w:sz w:val="20"/>
          <w:lang w:eastAsia="en-US"/>
        </w:rPr>
        <w:t>19-2235210247/0100</w:t>
      </w:r>
      <w:r w:rsidRPr="00543498">
        <w:rPr>
          <w:rFonts w:ascii="Arial" w:eastAsia="Calibri" w:hAnsi="Arial" w:cs="Arial"/>
          <w:sz w:val="20"/>
          <w:lang w:eastAsia="en-US"/>
        </w:rPr>
        <w:t>.</w:t>
      </w:r>
    </w:p>
    <w:p w:rsidR="005A32E1" w:rsidRDefault="005A32E1" w:rsidP="005A32E1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 V ostatním zůstávají identifikační údaje Poskytovatele beze změn.</w:t>
      </w:r>
    </w:p>
    <w:p w:rsidR="005A32E1" w:rsidRPr="00046680" w:rsidRDefault="005A32E1" w:rsidP="005A32E1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:rsidR="005A32E1" w:rsidRDefault="005A32E1" w:rsidP="005A32E1">
      <w:pPr>
        <w:numPr>
          <w:ilvl w:val="0"/>
          <w:numId w:val="2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5A32E1" w:rsidRDefault="005A32E1" w:rsidP="005A32E1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5A32E1" w:rsidRDefault="005A32E1" w:rsidP="005A32E1">
      <w:pPr>
        <w:pStyle w:val="Odrazkac"/>
        <w:numPr>
          <w:ilvl w:val="0"/>
          <w:numId w:val="3"/>
        </w:numPr>
        <w:spacing w:before="0" w:after="120" w:line="276" w:lineRule="auto"/>
        <w:rPr>
          <w:rFonts w:ascii="Arial" w:hAnsi="Arial" w:cs="Arial"/>
          <w:sz w:val="20"/>
        </w:rPr>
      </w:pPr>
      <w:r w:rsidRPr="000E3EAA">
        <w:rPr>
          <w:rFonts w:ascii="Arial" w:hAnsi="Arial" w:cs="Arial"/>
          <w:sz w:val="20"/>
        </w:rPr>
        <w:t xml:space="preserve">Tento Dodatek č. 1 se uzavírá písemně v elektronické podobě. Tento Dodatek č. 1 je podepsán elektronickým podpisem dle zákona č. 297/2016 Sb., o službách vytvářejících důvěru pro elektronické transakce, ve znění pozdějších předpisů (dále jen „ZSVD“). Smluvní strany se dohodly, že Poskytovatel podepíše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 xml:space="preserve">uznávaným elektronickým podpisem ve smyslu § 6 odst. 2 ZSVD; Objednatel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>podepíše v souladu s § 5 ZSVD kvalifikovaným elektronickým podpisem.</w:t>
      </w:r>
    </w:p>
    <w:p w:rsidR="005A32E1" w:rsidRPr="008615FE" w:rsidRDefault="005A32E1" w:rsidP="005A32E1">
      <w:pPr>
        <w:pStyle w:val="Odrazkac"/>
        <w:numPr>
          <w:ilvl w:val="0"/>
          <w:numId w:val="3"/>
        </w:numPr>
        <w:spacing w:before="0" w:after="120" w:line="276" w:lineRule="auto"/>
        <w:rPr>
          <w:rFonts w:ascii="Helvetica" w:eastAsiaTheme="minorHAnsi" w:hAnsi="Helvetica" w:cs="Helvetica"/>
          <w:sz w:val="20"/>
        </w:rPr>
      </w:pPr>
      <w:r w:rsidRPr="008615FE">
        <w:rPr>
          <w:rFonts w:ascii="Arial" w:hAnsi="Arial" w:cs="Arial"/>
          <w:sz w:val="20"/>
        </w:rPr>
        <w:t>Tento Dodatek č. 1 nabývá platnosti dnem podpisu poslední Smluvní stranou a účinnosti dnem uveřejnění tohoto Dodatku č. 1 prostřednictvím registru smluv v souladu se zákonem</w:t>
      </w:r>
      <w:r w:rsidRPr="008615FE">
        <w:rPr>
          <w:rFonts w:ascii="Helvetica" w:eastAsiaTheme="minorHAnsi" w:hAnsi="Helvetica" w:cs="Helvetica"/>
          <w:sz w:val="20"/>
        </w:rPr>
        <w:t xml:space="preserve"> </w:t>
      </w:r>
      <w:r w:rsidRPr="008615FE">
        <w:rPr>
          <w:rFonts w:ascii="Arial" w:eastAsiaTheme="minorHAnsi" w:hAnsi="Arial" w:cs="Arial"/>
          <w:sz w:val="20"/>
        </w:rPr>
        <w:t>č</w:t>
      </w:r>
      <w:r w:rsidRPr="008615FE">
        <w:rPr>
          <w:rFonts w:ascii="Helvetica" w:eastAsiaTheme="minorHAnsi" w:hAnsi="Helvetica" w:cs="Helvetica"/>
          <w:sz w:val="20"/>
        </w:rPr>
        <w:t>. 340/2015 Sb., o zvláštních podmínkách ú</w:t>
      </w:r>
      <w:r w:rsidRPr="008615FE">
        <w:rPr>
          <w:rFonts w:ascii="Arial" w:eastAsiaTheme="minorHAnsi" w:hAnsi="Arial" w:cs="Arial"/>
          <w:sz w:val="20"/>
        </w:rPr>
        <w:t>č</w:t>
      </w:r>
      <w:r w:rsidRPr="008615FE">
        <w:rPr>
          <w:rFonts w:ascii="Helvetica" w:eastAsiaTheme="minorHAnsi" w:hAnsi="Helvetica" w:cs="Helvetica"/>
          <w:sz w:val="20"/>
        </w:rPr>
        <w:t>innosti n</w:t>
      </w:r>
      <w:r w:rsidRPr="008615FE">
        <w:rPr>
          <w:rFonts w:ascii="Arial" w:eastAsiaTheme="minorHAnsi" w:hAnsi="Arial" w:cs="Arial"/>
          <w:sz w:val="20"/>
        </w:rPr>
        <w:t>ě</w:t>
      </w:r>
      <w:r w:rsidRPr="008615FE">
        <w:rPr>
          <w:rFonts w:ascii="Helvetica" w:eastAsiaTheme="minorHAnsi" w:hAnsi="Helvetica" w:cs="Helvetica"/>
          <w:sz w:val="20"/>
        </w:rPr>
        <w:t>kterých smluv, uve</w:t>
      </w:r>
      <w:r w:rsidRPr="008615FE">
        <w:rPr>
          <w:rFonts w:ascii="Arial" w:eastAsiaTheme="minorHAnsi" w:hAnsi="Arial" w:cs="Arial"/>
          <w:sz w:val="20"/>
        </w:rPr>
        <w:t>ř</w:t>
      </w:r>
      <w:r w:rsidRPr="008615FE">
        <w:rPr>
          <w:rFonts w:ascii="Helvetica" w:eastAsiaTheme="minorHAnsi" w:hAnsi="Helvetica" w:cs="Helvetica"/>
          <w:sz w:val="20"/>
        </w:rPr>
        <w:t>ej</w:t>
      </w:r>
      <w:r w:rsidRPr="008615FE">
        <w:rPr>
          <w:rFonts w:ascii="Arial" w:eastAsiaTheme="minorHAnsi" w:hAnsi="Arial" w:cs="Arial"/>
          <w:sz w:val="20"/>
        </w:rPr>
        <w:t>ň</w:t>
      </w:r>
      <w:r w:rsidRPr="008615FE">
        <w:rPr>
          <w:rFonts w:ascii="Helvetica" w:eastAsiaTheme="minorHAnsi" w:hAnsi="Helvetica" w:cs="Helvetica"/>
          <w:sz w:val="20"/>
        </w:rPr>
        <w:t>ování t</w:t>
      </w:r>
      <w:r w:rsidRPr="008615FE">
        <w:rPr>
          <w:rFonts w:ascii="Arial" w:eastAsiaTheme="minorHAnsi" w:hAnsi="Arial" w:cs="Arial"/>
          <w:sz w:val="20"/>
        </w:rPr>
        <w:t>ě</w:t>
      </w:r>
      <w:r w:rsidRPr="008615FE">
        <w:rPr>
          <w:rFonts w:ascii="Helvetica" w:eastAsiaTheme="minorHAnsi" w:hAnsi="Helvetica" w:cs="Helvetica"/>
          <w:sz w:val="20"/>
        </w:rPr>
        <w:t>chto smluv</w:t>
      </w:r>
      <w:r>
        <w:rPr>
          <w:rFonts w:ascii="Helvetica" w:eastAsiaTheme="minorHAnsi" w:hAnsi="Helvetica" w:cs="Helvetica"/>
          <w:sz w:val="20"/>
        </w:rPr>
        <w:t xml:space="preserve"> </w:t>
      </w:r>
      <w:r w:rsidRPr="00CB609C">
        <w:rPr>
          <w:rFonts w:ascii="Helvetica" w:eastAsiaTheme="minorHAnsi" w:hAnsi="Helvetica" w:cs="Helvetica"/>
          <w:sz w:val="20"/>
        </w:rPr>
        <w:t>a o registru smluv (zákon o registru smluv), ve zn</w:t>
      </w:r>
      <w:r w:rsidRPr="00CF2086">
        <w:rPr>
          <w:rFonts w:ascii="Arial" w:eastAsiaTheme="minorHAnsi" w:hAnsi="Arial" w:cs="Arial"/>
          <w:sz w:val="20"/>
        </w:rPr>
        <w:t>ě</w:t>
      </w:r>
      <w:r w:rsidRPr="00CF2086">
        <w:rPr>
          <w:rFonts w:ascii="Helvetica" w:eastAsiaTheme="minorHAnsi" w:hAnsi="Helvetica" w:cs="Helvetica"/>
          <w:sz w:val="20"/>
        </w:rPr>
        <w:t>ní pozd</w:t>
      </w:r>
      <w:r w:rsidRPr="00CB609C">
        <w:rPr>
          <w:rFonts w:ascii="Arial" w:eastAsiaTheme="minorHAnsi" w:hAnsi="Arial" w:cs="Arial"/>
          <w:sz w:val="20"/>
        </w:rPr>
        <w:t>ě</w:t>
      </w:r>
      <w:r w:rsidRPr="00CB609C">
        <w:rPr>
          <w:rFonts w:ascii="Helvetica" w:eastAsiaTheme="minorHAnsi" w:hAnsi="Helvetica" w:cs="Helvetica"/>
          <w:sz w:val="20"/>
        </w:rPr>
        <w:t>jších p</w:t>
      </w:r>
      <w:r w:rsidRPr="00CB609C">
        <w:rPr>
          <w:rFonts w:ascii="Arial" w:eastAsiaTheme="minorHAnsi" w:hAnsi="Arial" w:cs="Arial"/>
          <w:sz w:val="20"/>
        </w:rPr>
        <w:t>ř</w:t>
      </w:r>
      <w:r w:rsidRPr="00CB609C">
        <w:rPr>
          <w:rFonts w:ascii="Helvetica" w:eastAsiaTheme="minorHAnsi" w:hAnsi="Helvetica" w:cs="Helvetica"/>
          <w:sz w:val="20"/>
        </w:rPr>
        <w:t>edpis</w:t>
      </w:r>
      <w:r w:rsidRPr="00CB609C">
        <w:rPr>
          <w:rFonts w:ascii="Arial" w:eastAsiaTheme="minorHAnsi" w:hAnsi="Arial" w:cs="Arial"/>
          <w:sz w:val="20"/>
        </w:rPr>
        <w:t>ů</w:t>
      </w:r>
      <w:r w:rsidRPr="00CB609C">
        <w:rPr>
          <w:rFonts w:ascii="Arial" w:hAnsi="Arial" w:cs="Arial"/>
          <w:sz w:val="20"/>
        </w:rPr>
        <w:t>.</w:t>
      </w:r>
    </w:p>
    <w:p w:rsidR="005A32E1" w:rsidRDefault="005A32E1" w:rsidP="005A32E1">
      <w:pPr>
        <w:numPr>
          <w:ilvl w:val="0"/>
          <w:numId w:val="1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>
        <w:rPr>
          <w:rFonts w:ascii="Arial" w:eastAsiaTheme="minorHAnsi" w:hAnsi="Arial" w:cs="Arial"/>
          <w:sz w:val="20"/>
          <w:lang w:eastAsia="en-US"/>
        </w:rPr>
        <w:t>. 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5A32E1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5A32E1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5A32E1" w:rsidRDefault="005A32E1" w:rsidP="005A32E1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Všeobecná zdravotní pojiš</w:t>
      </w:r>
      <w:r>
        <w:rPr>
          <w:rFonts w:ascii="Arial" w:eastAsiaTheme="minorHAnsi" w:hAnsi="Arial" w:cs="Arial"/>
          <w:sz w:val="20"/>
          <w:lang w:eastAsia="en-US"/>
        </w:rPr>
        <w:t>ť</w:t>
      </w:r>
      <w:r>
        <w:rPr>
          <w:rFonts w:ascii="Helvetica" w:eastAsiaTheme="minorHAnsi" w:hAnsi="Helvetica" w:cs="Helvetica"/>
          <w:sz w:val="20"/>
          <w:lang w:eastAsia="en-US"/>
        </w:rPr>
        <w:t xml:space="preserve">ovna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  <w:t>T-Mobile Czech Republic a.s.</w:t>
      </w:r>
    </w:p>
    <w:p w:rsidR="005A32E1" w:rsidRDefault="005A32E1" w:rsidP="005A32E1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>eské republiky</w:t>
      </w:r>
    </w:p>
    <w:p w:rsidR="005A32E1" w:rsidRPr="00046680" w:rsidRDefault="005A32E1" w:rsidP="005A32E1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5A32E1" w:rsidRDefault="005A32E1" w:rsidP="005A32E1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:rsidR="005A32E1" w:rsidRDefault="005A32E1" w:rsidP="005A32E1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:rsidR="005A32E1" w:rsidRDefault="005A32E1" w:rsidP="005A32E1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:rsidR="006B1C6F" w:rsidRDefault="005A32E1" w:rsidP="006B1C6F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Ing. Zden</w:t>
      </w:r>
      <w:r>
        <w:rPr>
          <w:rFonts w:ascii="Arial" w:eastAsiaTheme="minorHAnsi" w:hAnsi="Arial" w:cs="Arial"/>
          <w:sz w:val="20"/>
          <w:lang w:eastAsia="en-US"/>
        </w:rPr>
        <w:t>ě</w:t>
      </w:r>
      <w:r>
        <w:rPr>
          <w:rFonts w:ascii="Helvetica" w:eastAsiaTheme="minorHAnsi" w:hAnsi="Helvetica" w:cs="Helvetica"/>
          <w:sz w:val="20"/>
          <w:lang w:eastAsia="en-US"/>
        </w:rPr>
        <w:t xml:space="preserve">k Kabátek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proofErr w:type="spellStart"/>
      <w:r w:rsidR="006B1C6F">
        <w:rPr>
          <w:rFonts w:ascii="Arial" w:eastAsia="Calibri" w:hAnsi="Arial" w:cs="Arial"/>
          <w:sz w:val="20"/>
          <w:lang w:eastAsia="en-US"/>
        </w:rPr>
        <w:t>XXXXXXXXXXXX</w:t>
      </w:r>
      <w:proofErr w:type="spellEnd"/>
    </w:p>
    <w:p w:rsidR="006B1C6F" w:rsidRDefault="005A32E1" w:rsidP="006B1C6F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ř</w:t>
      </w:r>
      <w:r>
        <w:rPr>
          <w:rFonts w:ascii="Helvetica" w:eastAsiaTheme="minorHAnsi" w:hAnsi="Helvetica" w:cs="Helvetica"/>
          <w:sz w:val="20"/>
          <w:lang w:eastAsia="en-US"/>
        </w:rPr>
        <w:t xml:space="preserve">editel VZP </w:t>
      </w: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 xml:space="preserve">R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proofErr w:type="spellStart"/>
      <w:r w:rsidR="006B1C6F">
        <w:rPr>
          <w:rFonts w:ascii="Arial" w:eastAsia="Calibri" w:hAnsi="Arial" w:cs="Arial"/>
          <w:sz w:val="20"/>
          <w:lang w:eastAsia="en-US"/>
        </w:rPr>
        <w:t>XXXXXXXXXXXX</w:t>
      </w:r>
      <w:proofErr w:type="spellEnd"/>
    </w:p>
    <w:p w:rsidR="005A32E1" w:rsidRDefault="005A32E1" w:rsidP="005A32E1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bookmarkStart w:id="1" w:name="_GoBack"/>
      <w:bookmarkEnd w:id="1"/>
    </w:p>
    <w:p w:rsidR="004648DD" w:rsidRDefault="004648DD"/>
    <w:sectPr w:rsidR="004648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62" w:rsidRDefault="00E36462" w:rsidP="005A32E1">
      <w:r>
        <w:separator/>
      </w:r>
    </w:p>
  </w:endnote>
  <w:endnote w:type="continuationSeparator" w:id="0">
    <w:p w:rsidR="00E36462" w:rsidRDefault="00E36462" w:rsidP="005A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2E1" w:rsidRDefault="005A32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62" w:rsidRDefault="00E36462" w:rsidP="005A32E1">
      <w:r>
        <w:separator/>
      </w:r>
    </w:p>
  </w:footnote>
  <w:footnote w:type="continuationSeparator" w:id="0">
    <w:p w:rsidR="00E36462" w:rsidRDefault="00E36462" w:rsidP="005A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E1"/>
    <w:rsid w:val="00276932"/>
    <w:rsid w:val="004648DD"/>
    <w:rsid w:val="005A32E1"/>
    <w:rsid w:val="006B1C6F"/>
    <w:rsid w:val="007A6DD8"/>
    <w:rsid w:val="007B7EE9"/>
    <w:rsid w:val="00813C22"/>
    <w:rsid w:val="009F01F7"/>
    <w:rsid w:val="00BE2E52"/>
    <w:rsid w:val="00BF11CD"/>
    <w:rsid w:val="00C33786"/>
    <w:rsid w:val="00DC3BE3"/>
    <w:rsid w:val="00E3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56CE"/>
  <w15:chartTrackingRefBased/>
  <w15:docId w15:val="{C82EB77B-310E-419B-BE99-0C8883A7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c">
    <w:name w:val="Odrazka c"/>
    <w:basedOn w:val="Normln"/>
    <w:qFormat/>
    <w:rsid w:val="005A32E1"/>
    <w:pPr>
      <w:keepLines/>
      <w:numPr>
        <w:numId w:val="1"/>
      </w:numPr>
      <w:spacing w:before="360"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32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2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2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2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E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E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Bláhová Marta Ing. (VZP ČR Ústředí)</dc:creator>
  <cp:keywords/>
  <dc:description/>
  <cp:lastModifiedBy>Pešková Václava (VZP ČR Ústředí)</cp:lastModifiedBy>
  <cp:revision>2</cp:revision>
  <dcterms:created xsi:type="dcterms:W3CDTF">2022-06-16T07:11:00Z</dcterms:created>
  <dcterms:modified xsi:type="dcterms:W3CDTF">2022-06-16T07:11:00Z</dcterms:modified>
</cp:coreProperties>
</file>