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EF7" w:rsidRDefault="00C257CC">
      <w:pPr>
        <w:pStyle w:val="Bodytext10"/>
        <w:spacing w:line="252" w:lineRule="auto"/>
        <w:ind w:left="400" w:firstLine="20"/>
      </w:pPr>
      <w:bookmarkStart w:id="0" w:name="_GoBack"/>
      <w:bookmarkEnd w:id="0"/>
      <w:r>
        <w:t>finančními aktivy a Národním fondem (vyhláška o finančním vypořádání), ve znění pozdějších předpisů.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328"/>
        </w:tabs>
        <w:spacing w:line="252" w:lineRule="auto"/>
        <w:ind w:left="400" w:hanging="400"/>
        <w:jc w:val="both"/>
      </w:pPr>
      <w:bookmarkStart w:id="1" w:name="bookmark0"/>
      <w:bookmarkEnd w:id="1"/>
      <w:r>
        <w:t>Jakákoliv změna díla bude Ministerstvu kultury písemně oznámena s uvedením důvodu bez zbytečného prodlení, nejpozději do 1. 12. 2022.</w:t>
      </w:r>
    </w:p>
    <w:p w:rsidR="00321EF7" w:rsidRDefault="00C257CC">
      <w:pPr>
        <w:pStyle w:val="Bodytext10"/>
        <w:spacing w:line="252" w:lineRule="auto"/>
        <w:ind w:left="400" w:firstLine="20"/>
        <w:jc w:val="both"/>
      </w:pPr>
      <w:r>
        <w:t>V případě, že se akce neuskuteční, příjemce příspěvku tuto skutečnost písemně oznámí Ministerstvu kultury bezodkladně poté, co tuto skutečnost zjistil a do 30 dnů od oznámení vrátí nepoužitý příspěvek nebo jeho část Ministerstvu kultury.</w:t>
      </w:r>
    </w:p>
    <w:p w:rsidR="00321EF7" w:rsidRDefault="00C257CC">
      <w:pPr>
        <w:pStyle w:val="Bodytext10"/>
        <w:spacing w:line="252" w:lineRule="auto"/>
        <w:ind w:left="400" w:firstLine="20"/>
        <w:jc w:val="both"/>
      </w:pPr>
      <w:r>
        <w:t>Změna identifikačních údajů uvedených v žádosti, k níž by došlo v období od podání žádosti až do skončení období, na které byl příspěvek poskytnut, musí být ohlášena příjemcem příspěvku Ministerstvu kultury do 14 dnů ode dne, kdy se o této změně dověděl.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328"/>
        </w:tabs>
        <w:spacing w:line="252" w:lineRule="auto"/>
        <w:ind w:left="400" w:hanging="400"/>
        <w:jc w:val="both"/>
      </w:pPr>
      <w:bookmarkStart w:id="2" w:name="bookmark1"/>
      <w:bookmarkEnd w:id="2"/>
      <w:r>
        <w:t>Příspěvek je příjemce povinen vést v účetní evidenci odděleně tak, aby tyto finanční prostředky a nakládání s nimi byly odděleny od ostatního majetku příjemce a v souladu se zákonem č. 563/1991 Sb., o účetnictví, ve zněm pozdějších předpisů.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328"/>
        </w:tabs>
        <w:spacing w:line="252" w:lineRule="auto"/>
        <w:ind w:left="400" w:hanging="400"/>
        <w:jc w:val="both"/>
      </w:pPr>
      <w:bookmarkStart w:id="3" w:name="bookmark2"/>
      <w:bookmarkEnd w:id="3"/>
      <w:r>
        <w:t>Příjemce příspěvku/dotace je povinen před případným zánikem vypořádat vztahy se státním rozpočtem.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328"/>
        </w:tabs>
        <w:spacing w:line="252" w:lineRule="auto"/>
        <w:ind w:left="400" w:hanging="400"/>
        <w:jc w:val="both"/>
      </w:pPr>
      <w:bookmarkStart w:id="4" w:name="bookmark3"/>
      <w:bookmarkEnd w:id="4"/>
      <w:r>
        <w:t>Na použití a čerpání příspěvku se vztahuje zákon č. 134/2016 Sb., o zadávání veřejných zakázek, v platném znění.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328"/>
        </w:tabs>
        <w:spacing w:after="240" w:line="252" w:lineRule="auto"/>
        <w:ind w:left="400" w:hanging="400"/>
        <w:jc w:val="both"/>
      </w:pPr>
      <w:bookmarkStart w:id="5" w:name="bookmark4"/>
      <w:bookmarkEnd w:id="5"/>
      <w:r>
        <w:t>Příjemce je povinen umožnit Ministerstvu kultury vykonání kontroly dodržování podmínek stanovených tímto rozhodnutím, poskytnout mu k tomu nezbytnou součinnost a umožnit vykonání veřejnosprávní kontroly na místě podle § 8 odst. 2 zákona č. 320/2001 Sb., o finanční kontrole ve veřejné správě a o změně některých zákonů (zákon o finanční kontrole), ve znění pozdějších předpisů, a v rozsahu podle ustanovení § 13 odst. 2 daného zákona.</w:t>
      </w:r>
    </w:p>
    <w:p w:rsidR="00321EF7" w:rsidRDefault="00C257CC">
      <w:pPr>
        <w:pStyle w:val="Bodytext10"/>
        <w:spacing w:after="240" w:line="240" w:lineRule="auto"/>
        <w:jc w:val="both"/>
      </w:pPr>
      <w:r>
        <w:t xml:space="preserve">Z příspěvku ani povinného podílu příjemce na obnově nemovité kulturní památky </w:t>
      </w:r>
      <w:r>
        <w:rPr>
          <w:b/>
          <w:bCs/>
        </w:rPr>
        <w:t xml:space="preserve">nelze hradit </w:t>
      </w:r>
      <w:r>
        <w:t>veškeré výdaje spojené s obnovou.</w:t>
      </w:r>
    </w:p>
    <w:p w:rsidR="00321EF7" w:rsidRDefault="00C257CC">
      <w:pPr>
        <w:pStyle w:val="Bodytext10"/>
        <w:spacing w:line="240" w:lineRule="auto"/>
        <w:jc w:val="both"/>
      </w:pPr>
      <w:r>
        <w:rPr>
          <w:b/>
          <w:bCs/>
        </w:rPr>
        <w:t xml:space="preserve">NEUZNATELNÉ </w:t>
      </w:r>
      <w:proofErr w:type="gramStart"/>
      <w:r>
        <w:rPr>
          <w:b/>
          <w:bCs/>
        </w:rPr>
        <w:t>NÁKLADY :</w:t>
      </w:r>
      <w:proofErr w:type="gramEnd"/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  <w:ind w:left="660" w:hanging="660"/>
        <w:jc w:val="both"/>
      </w:pPr>
      <w:bookmarkStart w:id="6" w:name="bookmark5"/>
      <w:bookmarkEnd w:id="6"/>
      <w:r>
        <w:t xml:space="preserve">modernizace objektů - zateplování, vytápění, </w:t>
      </w:r>
      <w:proofErr w:type="spellStart"/>
      <w:r>
        <w:t>vyvložkování</w:t>
      </w:r>
      <w:proofErr w:type="spellEnd"/>
      <w:r>
        <w:t xml:space="preserve"> komínů, elektroinstalace, rozvody vody, splašková kanalizace, plynofikace, vzduchotechnika, sanitární technika, výplně otvorů z plastu, nebo typu EURO (okna, dveře, výkladce), izolační dvojskla a trojskla, protipožární okna, dveře a stěny;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  <w:ind w:left="660" w:hanging="660"/>
        <w:jc w:val="both"/>
      </w:pPr>
      <w:bookmarkStart w:id="7" w:name="bookmark6"/>
      <w:bookmarkEnd w:id="7"/>
      <w:r>
        <w:t>nástavby a přístavby objektů, půdní vestavby, provizorní úpravy objektů (např. provizorní konstrukce krovu);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</w:pPr>
      <w:bookmarkStart w:id="8" w:name="bookmark7"/>
      <w:bookmarkEnd w:id="8"/>
      <w:r>
        <w:t>jiné úpravy prováděné v zájmu vlastníka;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</w:pPr>
      <w:bookmarkStart w:id="9" w:name="bookmark8"/>
      <w:bookmarkEnd w:id="9"/>
      <w:r>
        <w:t>hromosvody (pokud nejsou součástí obnov střešní krytiny), izolační střešní folie apod.;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</w:pPr>
      <w:bookmarkStart w:id="10" w:name="bookmark9"/>
      <w:bookmarkEnd w:id="10"/>
      <w:r>
        <w:t>protiradonová opatření;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</w:pPr>
      <w:bookmarkStart w:id="11" w:name="bookmark10"/>
      <w:bookmarkEnd w:id="11"/>
      <w:r>
        <w:t>pronájem lešení;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</w:pPr>
      <w:bookmarkStart w:id="12" w:name="bookmark11"/>
      <w:bookmarkEnd w:id="12"/>
      <w:r>
        <w:t>čištění a úklid budov;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</w:pPr>
      <w:bookmarkStart w:id="13" w:name="bookmark12"/>
      <w:bookmarkEnd w:id="13"/>
      <w:r>
        <w:t>stavebně-historické a restaurátorské průzkumy, záměry, zprávy, projektové dokumentace;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</w:pPr>
      <w:bookmarkStart w:id="14" w:name="bookmark13"/>
      <w:bookmarkEnd w:id="14"/>
      <w:r>
        <w:t>náklady na stavební/autorský dozor;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  <w:ind w:left="660" w:hanging="660"/>
      </w:pPr>
      <w:bookmarkStart w:id="15" w:name="bookmark14"/>
      <w:bookmarkEnd w:id="15"/>
      <w:r>
        <w:t>úpravy veřejných prostranství (cesty, ulice, chodníky), terénní úpravy, sadové a parkové úpravy zeleně;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</w:pPr>
      <w:bookmarkStart w:id="16" w:name="bookmark15"/>
      <w:bookmarkEnd w:id="16"/>
      <w:r>
        <w:t>kopie sochařských děl a výdusky;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</w:pPr>
      <w:bookmarkStart w:id="17" w:name="bookmark16"/>
      <w:bookmarkEnd w:id="17"/>
      <w:r>
        <w:t>archeologie;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</w:pPr>
      <w:bookmarkStart w:id="18" w:name="bookmark17"/>
      <w:bookmarkEnd w:id="18"/>
      <w:r>
        <w:t>veškeré vedlejší rozpočtové náklady (vyjma zařízení staveniště do 3,5 %);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</w:pPr>
      <w:bookmarkStart w:id="19" w:name="bookmark18"/>
      <w:bookmarkEnd w:id="19"/>
      <w:r>
        <w:t>položka v rozpočtu - rezerva;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line="240" w:lineRule="auto"/>
      </w:pPr>
      <w:bookmarkStart w:id="20" w:name="bookmark19"/>
      <w:bookmarkEnd w:id="20"/>
      <w:r>
        <w:t>DPH - v případě, že vlastník je plátcem;</w:t>
      </w:r>
    </w:p>
    <w:p w:rsidR="00321EF7" w:rsidRDefault="00C257CC">
      <w:pPr>
        <w:pStyle w:val="Bodytext10"/>
        <w:numPr>
          <w:ilvl w:val="0"/>
          <w:numId w:val="1"/>
        </w:numPr>
        <w:tabs>
          <w:tab w:val="left" w:pos="654"/>
        </w:tabs>
        <w:spacing w:after="240" w:line="240" w:lineRule="auto"/>
        <w:ind w:left="660" w:hanging="660"/>
      </w:pPr>
      <w:bookmarkStart w:id="21" w:name="bookmark20"/>
      <w:bookmarkEnd w:id="21"/>
      <w:r>
        <w:t>režijní náklady, cestovné, dopravné, revize, náklady za ubytování, koordinační činnost, zábory veřejného prostranství.</w:t>
      </w:r>
    </w:p>
    <w:sectPr w:rsidR="00321EF7">
      <w:footerReference w:type="default" r:id="rId7"/>
      <w:pgSz w:w="11900" w:h="16840"/>
      <w:pgMar w:top="1757" w:right="1494" w:bottom="1713" w:left="1602" w:header="132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D3B" w:rsidRDefault="00D54D3B">
      <w:r>
        <w:separator/>
      </w:r>
    </w:p>
  </w:endnote>
  <w:endnote w:type="continuationSeparator" w:id="0">
    <w:p w:rsidR="00D54D3B" w:rsidRDefault="00D5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EF7" w:rsidRDefault="00C257C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9732010</wp:posOffset>
              </wp:positionV>
              <wp:extent cx="11874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1EF7" w:rsidRDefault="00C257CC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80000000000001pt;margin-top:766.30000000000007pt;width:9.3499999999999996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cs-CZ" w:eastAsia="cs-CZ" w:bidi="cs-CZ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D3B" w:rsidRDefault="00D54D3B"/>
  </w:footnote>
  <w:footnote w:type="continuationSeparator" w:id="0">
    <w:p w:rsidR="00D54D3B" w:rsidRDefault="00D54D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52986"/>
    <w:multiLevelType w:val="multilevel"/>
    <w:tmpl w:val="5C26A44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F7"/>
    <w:rsid w:val="002A7CAC"/>
    <w:rsid w:val="00321EF7"/>
    <w:rsid w:val="006B64F9"/>
    <w:rsid w:val="00C257CC"/>
    <w:rsid w:val="00D5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AFC79-58D2-489A-ACAE-EAF90354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line="245" w:lineRule="auto"/>
    </w:pPr>
    <w:rPr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Nováková Pavlína</cp:lastModifiedBy>
  <cp:revision>2</cp:revision>
  <dcterms:created xsi:type="dcterms:W3CDTF">2022-06-16T10:43:00Z</dcterms:created>
  <dcterms:modified xsi:type="dcterms:W3CDTF">2022-06-16T10:43:00Z</dcterms:modified>
</cp:coreProperties>
</file>