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9E620" w14:textId="77777777" w:rsidR="00262521" w:rsidRDefault="00D90A50" w:rsidP="00D90A50">
      <w:pPr>
        <w:spacing w:before="120"/>
        <w:jc w:val="center"/>
        <w:rPr>
          <w:b/>
          <w:sz w:val="40"/>
          <w:szCs w:val="40"/>
        </w:rPr>
      </w:pPr>
      <w:r w:rsidRPr="00D445D1">
        <w:rPr>
          <w:b/>
          <w:sz w:val="40"/>
          <w:szCs w:val="40"/>
        </w:rPr>
        <w:t xml:space="preserve">Smlouva o </w:t>
      </w:r>
      <w:r w:rsidR="00ED60DB">
        <w:rPr>
          <w:b/>
          <w:sz w:val="40"/>
          <w:szCs w:val="40"/>
        </w:rPr>
        <w:t>dílo</w:t>
      </w:r>
      <w:r w:rsidRPr="00D445D1">
        <w:rPr>
          <w:b/>
          <w:sz w:val="40"/>
          <w:szCs w:val="40"/>
        </w:rPr>
        <w:t xml:space="preserve"> </w:t>
      </w:r>
    </w:p>
    <w:p w14:paraId="6C2E041B" w14:textId="7A457C75" w:rsidR="00D90A50" w:rsidRDefault="00ED60DB" w:rsidP="00D90A50">
      <w:pPr>
        <w:spacing w:before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5130C3">
        <w:rPr>
          <w:b/>
          <w:sz w:val="40"/>
          <w:szCs w:val="40"/>
        </w:rPr>
        <w:t xml:space="preserve">implementace </w:t>
      </w:r>
      <w:r w:rsidR="003017A6">
        <w:rPr>
          <w:b/>
          <w:sz w:val="40"/>
          <w:szCs w:val="40"/>
        </w:rPr>
        <w:t>Zeleného software</w:t>
      </w:r>
    </w:p>
    <w:p w14:paraId="4317AD34" w14:textId="77777777" w:rsidR="00054E4C" w:rsidRPr="00054E4C" w:rsidRDefault="00054E4C" w:rsidP="00D90A50">
      <w:pPr>
        <w:spacing w:before="120"/>
        <w:jc w:val="center"/>
        <w:rPr>
          <w:bCs/>
          <w:sz w:val="32"/>
          <w:szCs w:val="32"/>
        </w:rPr>
      </w:pPr>
      <w:r w:rsidRPr="00054E4C">
        <w:rPr>
          <w:bCs/>
          <w:sz w:val="32"/>
          <w:szCs w:val="32"/>
        </w:rPr>
        <w:t>dle veřejné zakázky malého rozsahu</w:t>
      </w:r>
    </w:p>
    <w:p w14:paraId="56C4978D" w14:textId="66BEDC56" w:rsidR="00054E4C" w:rsidRPr="00054E4C" w:rsidRDefault="00054E4C" w:rsidP="00D90A50">
      <w:pPr>
        <w:spacing w:before="120"/>
        <w:jc w:val="center"/>
        <w:rPr>
          <w:bCs/>
          <w:sz w:val="32"/>
          <w:szCs w:val="32"/>
        </w:rPr>
      </w:pPr>
      <w:r w:rsidRPr="00054E4C">
        <w:rPr>
          <w:bCs/>
          <w:sz w:val="32"/>
          <w:szCs w:val="32"/>
        </w:rPr>
        <w:t>„Software a hardware pro zahradnickou výrobu a prodejny“</w:t>
      </w:r>
    </w:p>
    <w:p w14:paraId="3F7B07A5" w14:textId="77777777" w:rsidR="00054E4C" w:rsidRDefault="00054E4C" w:rsidP="00D90A50">
      <w:pPr>
        <w:spacing w:before="120"/>
      </w:pPr>
    </w:p>
    <w:p w14:paraId="3C607FA3" w14:textId="7E5C8C30" w:rsidR="00D90A50" w:rsidRPr="002F312D" w:rsidRDefault="00D90A50" w:rsidP="00D90A50">
      <w:pPr>
        <w:spacing w:before="120"/>
      </w:pPr>
      <w:r>
        <w:t>u</w:t>
      </w:r>
      <w:r w:rsidRPr="002F312D">
        <w:t xml:space="preserve">zavřená dnešního dne </w:t>
      </w:r>
      <w:proofErr w:type="gramStart"/>
      <w:r w:rsidRPr="002F312D">
        <w:t>mezi</w:t>
      </w:r>
      <w:proofErr w:type="gramEnd"/>
    </w:p>
    <w:p w14:paraId="5D0D658F" w14:textId="77777777" w:rsidR="00D90A50" w:rsidRDefault="00D90A50" w:rsidP="00D90A50">
      <w:pPr>
        <w:spacing w:before="120"/>
      </w:pPr>
    </w:p>
    <w:p w14:paraId="7619DDCB" w14:textId="77777777" w:rsidR="003017A6" w:rsidRPr="002F312D" w:rsidRDefault="003017A6" w:rsidP="003017A6">
      <w:pPr>
        <w:spacing w:line="240" w:lineRule="auto"/>
        <w:jc w:val="both"/>
      </w:pPr>
      <w:r w:rsidRPr="002F312D">
        <w:t>firma</w:t>
      </w:r>
      <w:r w:rsidRPr="002F312D">
        <w:tab/>
      </w:r>
      <w:r w:rsidRPr="002F312D">
        <w:tab/>
      </w:r>
      <w:r w:rsidRPr="002F312D">
        <w:tab/>
      </w:r>
      <w:proofErr w:type="spellStart"/>
      <w:r>
        <w:rPr>
          <w:b/>
        </w:rPr>
        <w:t>GSoft</w:t>
      </w:r>
      <w:proofErr w:type="spellEnd"/>
      <w:r>
        <w:rPr>
          <w:b/>
        </w:rPr>
        <w:t xml:space="preserve"> Society s.r.o.</w:t>
      </w:r>
    </w:p>
    <w:p w14:paraId="595EB2B3" w14:textId="77777777" w:rsidR="003017A6" w:rsidRDefault="003017A6" w:rsidP="003017A6">
      <w:pPr>
        <w:spacing w:line="240" w:lineRule="auto"/>
        <w:jc w:val="both"/>
      </w:pPr>
      <w:r w:rsidRPr="002F312D">
        <w:t xml:space="preserve">se sídlem </w:t>
      </w:r>
      <w:r w:rsidRPr="002F312D">
        <w:tab/>
      </w:r>
      <w:r w:rsidRPr="002F312D">
        <w:tab/>
      </w:r>
      <w:r>
        <w:t>Pod Lipami 2511/64</w:t>
      </w:r>
      <w:r w:rsidRPr="002F312D">
        <w:t>, 1</w:t>
      </w:r>
      <w:r>
        <w:t>30</w:t>
      </w:r>
      <w:r w:rsidRPr="002F312D">
        <w:t xml:space="preserve"> 00 Praha </w:t>
      </w:r>
      <w:r>
        <w:t>3</w:t>
      </w:r>
      <w:r w:rsidRPr="002F312D">
        <w:rPr>
          <w:rStyle w:val="Siln"/>
        </w:rPr>
        <w:t xml:space="preserve"> – </w:t>
      </w:r>
      <w:r>
        <w:t>Žižkov</w:t>
      </w:r>
    </w:p>
    <w:p w14:paraId="20FA63E8" w14:textId="77777777" w:rsidR="003017A6" w:rsidRDefault="003017A6" w:rsidP="003017A6">
      <w:pPr>
        <w:spacing w:line="240" w:lineRule="auto"/>
        <w:jc w:val="both"/>
      </w:pPr>
      <w:r>
        <w:t>zapsána</w:t>
      </w:r>
      <w:r>
        <w:tab/>
      </w:r>
      <w:r>
        <w:tab/>
        <w:t xml:space="preserve">v živnostenském rejstříku, úřad příslušný podle §71 odst. 2 </w:t>
      </w:r>
    </w:p>
    <w:p w14:paraId="40D77DD1" w14:textId="77777777" w:rsidR="003017A6" w:rsidRPr="002F312D" w:rsidRDefault="003017A6" w:rsidP="003017A6">
      <w:pPr>
        <w:spacing w:line="240" w:lineRule="auto"/>
        <w:jc w:val="both"/>
      </w:pPr>
      <w:r>
        <w:tab/>
      </w:r>
      <w:r>
        <w:tab/>
      </w:r>
      <w:r>
        <w:tab/>
        <w:t>živnostenského zákona: Úřad městské části Praha 3</w:t>
      </w:r>
    </w:p>
    <w:p w14:paraId="2602A028" w14:textId="316B3E65" w:rsidR="003017A6" w:rsidRPr="002F312D" w:rsidRDefault="003017A6" w:rsidP="003017A6">
      <w:pPr>
        <w:spacing w:line="240" w:lineRule="auto"/>
        <w:jc w:val="both"/>
      </w:pPr>
      <w:r w:rsidRPr="002F312D">
        <w:t>zastoupená</w:t>
      </w:r>
      <w:r w:rsidRPr="002F312D">
        <w:tab/>
      </w:r>
      <w:r w:rsidRPr="002F312D">
        <w:tab/>
      </w:r>
      <w:r>
        <w:t>Ing.</w:t>
      </w:r>
      <w:r w:rsidRPr="002F312D">
        <w:t xml:space="preserve"> </w:t>
      </w:r>
      <w:r>
        <w:t>Dan</w:t>
      </w:r>
      <w:r w:rsidR="00054E4C">
        <w:t>a</w:t>
      </w:r>
      <w:r>
        <w:t xml:space="preserve"> Gabrielov</w:t>
      </w:r>
      <w:r w:rsidR="00054E4C">
        <w:t>á, jednatel</w:t>
      </w:r>
    </w:p>
    <w:p w14:paraId="4DC6E138" w14:textId="77777777" w:rsidR="003017A6" w:rsidRPr="002F312D" w:rsidRDefault="003017A6" w:rsidP="003017A6">
      <w:pPr>
        <w:spacing w:line="240" w:lineRule="auto"/>
        <w:jc w:val="both"/>
      </w:pPr>
      <w:r w:rsidRPr="002F312D">
        <w:t>IČ</w:t>
      </w:r>
      <w:r>
        <w:t>O</w:t>
      </w:r>
      <w:r w:rsidRPr="002F312D">
        <w:t>:</w:t>
      </w:r>
      <w:r w:rsidRPr="002F312D">
        <w:tab/>
      </w:r>
      <w:r w:rsidRPr="002F312D">
        <w:tab/>
      </w:r>
      <w:r w:rsidRPr="002F312D">
        <w:tab/>
      </w:r>
      <w:r>
        <w:t>14889358</w:t>
      </w:r>
    </w:p>
    <w:p w14:paraId="61BAEE25" w14:textId="77777777" w:rsidR="003017A6" w:rsidRPr="002F312D" w:rsidRDefault="003017A6" w:rsidP="003017A6">
      <w:pPr>
        <w:spacing w:line="240" w:lineRule="auto"/>
        <w:jc w:val="both"/>
        <w:rPr>
          <w:color w:val="008000"/>
        </w:rPr>
      </w:pPr>
      <w:r w:rsidRPr="002F312D">
        <w:t>DIČ:</w:t>
      </w:r>
      <w:r w:rsidRPr="002F312D">
        <w:tab/>
      </w:r>
      <w:r w:rsidRPr="002F312D">
        <w:tab/>
      </w:r>
      <w:r w:rsidRPr="002F312D">
        <w:tab/>
        <w:t>CZ</w:t>
      </w:r>
      <w:r>
        <w:t>14889358</w:t>
      </w:r>
    </w:p>
    <w:p w14:paraId="5B4EE23F" w14:textId="33B0F302" w:rsidR="003017A6" w:rsidRPr="00E462CD" w:rsidRDefault="003017A6" w:rsidP="003017A6">
      <w:pPr>
        <w:spacing w:line="240" w:lineRule="auto"/>
        <w:jc w:val="both"/>
        <w:rPr>
          <w:b/>
          <w:bCs/>
        </w:rPr>
      </w:pPr>
      <w:r w:rsidRPr="002F312D">
        <w:t>Bankovní spojení</w:t>
      </w:r>
      <w:r w:rsidRPr="002F312D">
        <w:tab/>
      </w:r>
    </w:p>
    <w:p w14:paraId="7C4A7ECC" w14:textId="77777777" w:rsidR="003017A6" w:rsidRPr="002F312D" w:rsidRDefault="003017A6" w:rsidP="003017A6">
      <w:pPr>
        <w:spacing w:line="240" w:lineRule="auto"/>
        <w:jc w:val="both"/>
        <w:rPr>
          <w:color w:val="008000"/>
        </w:rPr>
      </w:pPr>
      <w:r>
        <w:t>(</w:t>
      </w:r>
      <w:r w:rsidRPr="002F312D">
        <w:t>dále jen dodavatel</w:t>
      </w:r>
      <w:r>
        <w:t>)</w:t>
      </w:r>
    </w:p>
    <w:p w14:paraId="50EF583C" w14:textId="77777777" w:rsidR="003017A6" w:rsidRPr="002F312D" w:rsidRDefault="003017A6" w:rsidP="003017A6">
      <w:pPr>
        <w:spacing w:line="240" w:lineRule="auto"/>
        <w:jc w:val="both"/>
      </w:pPr>
    </w:p>
    <w:p w14:paraId="0918E704" w14:textId="77777777" w:rsidR="003017A6" w:rsidRPr="002F312D" w:rsidRDefault="003017A6" w:rsidP="003017A6">
      <w:pPr>
        <w:spacing w:line="240" w:lineRule="auto"/>
        <w:jc w:val="both"/>
      </w:pPr>
      <w:r w:rsidRPr="002F312D">
        <w:t>a</w:t>
      </w:r>
    </w:p>
    <w:p w14:paraId="4D4E3820" w14:textId="77777777" w:rsidR="00D90A50" w:rsidRPr="002F312D" w:rsidRDefault="00D90A50" w:rsidP="00932F6D">
      <w:pPr>
        <w:spacing w:line="240" w:lineRule="auto"/>
        <w:jc w:val="both"/>
      </w:pPr>
    </w:p>
    <w:p w14:paraId="4CCC08B4" w14:textId="737BD920" w:rsidR="00E123D7" w:rsidRPr="008B4871" w:rsidRDefault="00D90A50" w:rsidP="00932F6D">
      <w:pPr>
        <w:spacing w:line="240" w:lineRule="auto"/>
        <w:jc w:val="both"/>
      </w:pPr>
      <w:r w:rsidRPr="008B4871">
        <w:t>organizace</w:t>
      </w:r>
      <w:r w:rsidRPr="008B4871">
        <w:tab/>
      </w:r>
      <w:r w:rsidRPr="008B4871">
        <w:tab/>
      </w:r>
      <w:r w:rsidR="00332E2F">
        <w:rPr>
          <w:b/>
        </w:rPr>
        <w:t>Střední odborná škola Jarov</w:t>
      </w:r>
    </w:p>
    <w:p w14:paraId="1FFA2557" w14:textId="156CD92E" w:rsidR="005130C3" w:rsidRPr="008B4871" w:rsidRDefault="00D90A50" w:rsidP="00932F6D">
      <w:pPr>
        <w:spacing w:line="240" w:lineRule="auto"/>
        <w:jc w:val="both"/>
      </w:pPr>
      <w:r w:rsidRPr="008B4871">
        <w:t>se sídlem</w:t>
      </w:r>
      <w:r w:rsidRPr="008B4871">
        <w:tab/>
      </w:r>
      <w:r w:rsidRPr="008B4871">
        <w:tab/>
      </w:r>
      <w:r w:rsidR="00332E2F">
        <w:t>Učňovská 100/1, Praha 9, 190 00</w:t>
      </w:r>
    </w:p>
    <w:p w14:paraId="5A774F33" w14:textId="3A7D6779" w:rsidR="005130C3" w:rsidRPr="008B4871" w:rsidRDefault="00054E4C" w:rsidP="00932F6D">
      <w:pPr>
        <w:spacing w:line="240" w:lineRule="auto"/>
        <w:jc w:val="both"/>
      </w:pPr>
      <w:r>
        <w:t>zastoupený</w:t>
      </w:r>
      <w:r w:rsidR="00D90A50" w:rsidRPr="008B4871">
        <w:tab/>
      </w:r>
      <w:r w:rsidR="00D90A50" w:rsidRPr="008B4871">
        <w:tab/>
      </w:r>
      <w:r>
        <w:t>Mgr. Miloslav Janeček, ředitel</w:t>
      </w:r>
    </w:p>
    <w:p w14:paraId="2E263424" w14:textId="77777777" w:rsidR="005130C3" w:rsidRPr="008B4871" w:rsidRDefault="005130C3" w:rsidP="00932F6D">
      <w:pPr>
        <w:spacing w:line="240" w:lineRule="auto"/>
        <w:jc w:val="both"/>
      </w:pPr>
    </w:p>
    <w:p w14:paraId="0AAB100A" w14:textId="2ABC99AC" w:rsidR="00D90A50" w:rsidRPr="008B4871" w:rsidRDefault="00D90A50" w:rsidP="00932F6D">
      <w:pPr>
        <w:spacing w:line="240" w:lineRule="auto"/>
        <w:jc w:val="both"/>
      </w:pPr>
      <w:r w:rsidRPr="008B4871">
        <w:t>IČ:</w:t>
      </w:r>
      <w:r w:rsidRPr="008B4871">
        <w:tab/>
      </w:r>
      <w:r w:rsidRPr="008B4871">
        <w:tab/>
      </w:r>
      <w:r w:rsidRPr="008B4871">
        <w:tab/>
      </w:r>
      <w:r w:rsidR="00332E2F">
        <w:t>00300268</w:t>
      </w:r>
    </w:p>
    <w:p w14:paraId="5F9303A2" w14:textId="10BE62E7" w:rsidR="00D90A50" w:rsidRPr="008B4871" w:rsidRDefault="00D90A50" w:rsidP="00932F6D">
      <w:pPr>
        <w:spacing w:line="240" w:lineRule="auto"/>
        <w:jc w:val="both"/>
      </w:pPr>
      <w:r w:rsidRPr="008B4871">
        <w:t>DIČ:</w:t>
      </w:r>
      <w:r w:rsidRPr="008B4871">
        <w:tab/>
      </w:r>
      <w:r w:rsidRPr="008B4871">
        <w:tab/>
      </w:r>
      <w:r w:rsidRPr="008B4871">
        <w:tab/>
      </w:r>
      <w:r w:rsidR="00332E2F">
        <w:t>CZ00300268</w:t>
      </w:r>
    </w:p>
    <w:p w14:paraId="25FF39F1" w14:textId="7C2EEC66" w:rsidR="00D90A50" w:rsidRPr="00044484" w:rsidRDefault="00982C2A" w:rsidP="00932F6D">
      <w:pPr>
        <w:spacing w:line="240" w:lineRule="auto"/>
        <w:jc w:val="both"/>
      </w:pPr>
      <w:r>
        <w:t>Bankovní spojení</w:t>
      </w:r>
    </w:p>
    <w:p w14:paraId="4B5E8F18" w14:textId="77777777" w:rsidR="00D90A50" w:rsidRPr="008B4871" w:rsidRDefault="00D90A50" w:rsidP="00932F6D">
      <w:pPr>
        <w:spacing w:line="240" w:lineRule="auto"/>
        <w:jc w:val="both"/>
      </w:pPr>
      <w:r w:rsidRPr="008B4871">
        <w:t>(dále jen odběratel)</w:t>
      </w:r>
    </w:p>
    <w:p w14:paraId="05A45C92" w14:textId="5E8A8C29" w:rsidR="00D90A50" w:rsidRDefault="00D90A50" w:rsidP="00500CF1"/>
    <w:p w14:paraId="042FEEBE" w14:textId="3DE6AD70" w:rsidR="007078F7" w:rsidRDefault="007078F7" w:rsidP="00500CF1"/>
    <w:p w14:paraId="3ED25710" w14:textId="77777777" w:rsidR="00B937E0" w:rsidRDefault="00B937E0" w:rsidP="00500CF1"/>
    <w:p w14:paraId="2662CD2B" w14:textId="77777777" w:rsidR="00ED60DB" w:rsidRPr="00ED60DB" w:rsidRDefault="00ED60DB" w:rsidP="00ED60DB">
      <w:pPr>
        <w:rPr>
          <w:b/>
        </w:rPr>
      </w:pPr>
      <w:r w:rsidRPr="00ED60DB">
        <w:rPr>
          <w:b/>
        </w:rPr>
        <w:t>1</w:t>
      </w:r>
      <w:r w:rsidRPr="00ED60DB">
        <w:rPr>
          <w:b/>
        </w:rPr>
        <w:tab/>
        <w:t>Předmět smlouvy</w:t>
      </w:r>
    </w:p>
    <w:p w14:paraId="3765B89F" w14:textId="7F1AFF68" w:rsidR="00ED60DB" w:rsidRDefault="00ED60DB" w:rsidP="002E7292">
      <w:pPr>
        <w:ind w:left="709" w:hanging="709"/>
      </w:pPr>
      <w:r>
        <w:t>1.1</w:t>
      </w:r>
      <w:r>
        <w:tab/>
      </w:r>
      <w:r w:rsidRPr="00501CD1">
        <w:t>Předmětem smlouvy je</w:t>
      </w:r>
      <w:r w:rsidR="00185B5F">
        <w:t xml:space="preserve"> dodávka software </w:t>
      </w:r>
      <w:r w:rsidR="00EE4E57">
        <w:t xml:space="preserve">a hardware </w:t>
      </w:r>
      <w:r w:rsidR="00D574DE">
        <w:t>pro zahradnické firmy/školy</w:t>
      </w:r>
      <w:r w:rsidR="00BA192D">
        <w:t xml:space="preserve"> dle zadání veřejné zakázky vyhlášené 14.</w:t>
      </w:r>
      <w:r w:rsidR="005B0FF6">
        <w:t xml:space="preserve"> </w:t>
      </w:r>
      <w:r w:rsidR="00BA192D">
        <w:t>4.</w:t>
      </w:r>
      <w:r w:rsidR="005B0FF6">
        <w:t xml:space="preserve"> </w:t>
      </w:r>
      <w:r w:rsidR="00BA192D">
        <w:t>2022.</w:t>
      </w:r>
    </w:p>
    <w:p w14:paraId="546888F9" w14:textId="0EB14049" w:rsidR="00E47B63" w:rsidRDefault="00E47B63" w:rsidP="00E47B63"/>
    <w:p w14:paraId="495B90CC" w14:textId="77777777" w:rsidR="007D4C9C" w:rsidRDefault="00E47B63" w:rsidP="00A926E7">
      <w:pPr>
        <w:ind w:left="709" w:hanging="709"/>
        <w:rPr>
          <w:b/>
        </w:rPr>
      </w:pPr>
      <w:r>
        <w:tab/>
      </w:r>
    </w:p>
    <w:p w14:paraId="58CEC1DE" w14:textId="77777777" w:rsidR="00ED60DB" w:rsidRPr="00ED60DB" w:rsidRDefault="00ED60DB" w:rsidP="00ED60DB">
      <w:pPr>
        <w:rPr>
          <w:b/>
        </w:rPr>
      </w:pPr>
      <w:r w:rsidRPr="00ED60DB">
        <w:rPr>
          <w:b/>
        </w:rPr>
        <w:t>2</w:t>
      </w:r>
      <w:r w:rsidRPr="00ED60DB">
        <w:rPr>
          <w:b/>
        </w:rPr>
        <w:tab/>
      </w:r>
      <w:r w:rsidR="000137DA">
        <w:rPr>
          <w:b/>
        </w:rPr>
        <w:t xml:space="preserve">Cena díla a </w:t>
      </w:r>
      <w:r w:rsidR="00A926E7">
        <w:rPr>
          <w:b/>
        </w:rPr>
        <w:t>termín</w:t>
      </w:r>
      <w:r w:rsidR="000137DA">
        <w:rPr>
          <w:b/>
        </w:rPr>
        <w:t xml:space="preserve"> dodání</w:t>
      </w:r>
    </w:p>
    <w:p w14:paraId="0EF040BC" w14:textId="151569BA" w:rsidR="000137DA" w:rsidRDefault="00ED60DB" w:rsidP="00900CE4">
      <w:pPr>
        <w:ind w:left="709" w:hanging="709"/>
      </w:pPr>
      <w:r>
        <w:t>2.1</w:t>
      </w:r>
      <w:r>
        <w:tab/>
      </w:r>
      <w:r w:rsidR="000137DA">
        <w:t xml:space="preserve">Celková cena díla činí </w:t>
      </w:r>
      <w:r w:rsidR="00D71303">
        <w:t>204 860</w:t>
      </w:r>
      <w:r w:rsidR="000137DA">
        <w:t>,- Kč (bez DPH), slovy:</w:t>
      </w:r>
      <w:r w:rsidR="0073601F">
        <w:t xml:space="preserve"> </w:t>
      </w:r>
      <w:r w:rsidR="00D71303">
        <w:t>dvě stě čtyři tisíc osm set šedesát</w:t>
      </w:r>
      <w:r w:rsidR="0073601F" w:rsidRPr="0073601F">
        <w:t xml:space="preserve"> </w:t>
      </w:r>
      <w:r w:rsidR="000137DA" w:rsidRPr="0073601F">
        <w:t>korun českých (</w:t>
      </w:r>
      <w:r w:rsidR="000137DA">
        <w:t xml:space="preserve">bez DPH). Tato cena je pevná a jsou v ní zahrnuty veškeré náklady dodavatele s plněním této smlouvy. </w:t>
      </w:r>
    </w:p>
    <w:p w14:paraId="31F03308" w14:textId="3A4C0760" w:rsidR="00900CE4" w:rsidRDefault="00900CE4" w:rsidP="00900CE4">
      <w:pPr>
        <w:ind w:left="709" w:hanging="709"/>
      </w:pPr>
      <w:r>
        <w:lastRenderedPageBreak/>
        <w:tab/>
      </w:r>
      <w:r w:rsidR="000137DA">
        <w:t xml:space="preserve">Jakákoliv změna ceny díla je možná pouze se souhlasem obou smluvních stran formou písemného dodatku k této smlouvě. </w:t>
      </w:r>
      <w:r w:rsidR="007D4C9C">
        <w:t>Cen</w:t>
      </w:r>
      <w:r w:rsidR="00AB3D19">
        <w:t>y</w:t>
      </w:r>
      <w:r w:rsidR="007D4C9C">
        <w:t xml:space="preserve"> jednotlivých částí díla jsou</w:t>
      </w:r>
      <w:r w:rsidR="000137DA">
        <w:t xml:space="preserve"> uveden</w:t>
      </w:r>
      <w:r w:rsidR="007D4C9C">
        <w:t>y</w:t>
      </w:r>
      <w:r w:rsidR="000137DA">
        <w:t xml:space="preserve"> v odst. 2.2 tohoto článku.</w:t>
      </w:r>
    </w:p>
    <w:p w14:paraId="11C3BCED" w14:textId="31D89732" w:rsidR="00381372" w:rsidRDefault="00381372" w:rsidP="00900CE4">
      <w:pPr>
        <w:ind w:left="709" w:hanging="709"/>
      </w:pPr>
      <w:r>
        <w:tab/>
        <w:t xml:space="preserve">Cena měsíčního </w:t>
      </w:r>
      <w:r w:rsidR="00D71303">
        <w:t>paušálu zahrnující 3 hodiny podporu a provoz aplikací na zabezpečeném serveru v </w:t>
      </w:r>
      <w:proofErr w:type="spellStart"/>
      <w:r w:rsidR="00D71303">
        <w:t>datacentru</w:t>
      </w:r>
      <w:proofErr w:type="spellEnd"/>
      <w:r w:rsidR="00D71303">
        <w:t xml:space="preserve"> 2 000,- Kč (bez DPH), slovy: dva tisíce korun českých (bez DPH).</w:t>
      </w:r>
    </w:p>
    <w:p w14:paraId="66E27F5D" w14:textId="77777777" w:rsidR="00B937E0" w:rsidRDefault="00B937E0" w:rsidP="00900CE4">
      <w:pPr>
        <w:ind w:left="709" w:hanging="709"/>
      </w:pPr>
    </w:p>
    <w:p w14:paraId="1A3CFB3D" w14:textId="77777777" w:rsidR="00B937E0" w:rsidRDefault="00B937E0" w:rsidP="00900CE4">
      <w:pPr>
        <w:ind w:left="709" w:hanging="709"/>
      </w:pPr>
    </w:p>
    <w:p w14:paraId="307F0E94" w14:textId="103156E6" w:rsidR="00ED60DB" w:rsidRDefault="00900CE4" w:rsidP="00900CE4">
      <w:pPr>
        <w:ind w:left="709" w:hanging="709"/>
      </w:pPr>
      <w:r>
        <w:t>2.2</w:t>
      </w:r>
      <w:r>
        <w:tab/>
      </w:r>
      <w:r w:rsidR="00ED60DB">
        <w:t xml:space="preserve">Dodavatel </w:t>
      </w:r>
      <w:r w:rsidR="000137DA">
        <w:t>se zavazuje provést jed</w:t>
      </w:r>
      <w:r w:rsidR="00657AE5">
        <w:t>notlivé etapy díla v</w:t>
      </w:r>
      <w:r w:rsidR="00021503">
        <w:t xml:space="preserve"> rozsahu a </w:t>
      </w:r>
      <w:r w:rsidR="00657AE5">
        <w:t>termínech</w:t>
      </w:r>
      <w:r w:rsidR="000137DA">
        <w:t> </w:t>
      </w:r>
      <w:r w:rsidR="007D4C9C">
        <w:t>uvedených</w:t>
      </w:r>
      <w:r w:rsidR="000137DA">
        <w:t> níže</w:t>
      </w:r>
      <w:r w:rsidR="007D4C9C">
        <w:t xml:space="preserve"> v</w:t>
      </w:r>
      <w:r w:rsidR="000137DA">
        <w:t xml:space="preserve"> tabul</w:t>
      </w:r>
      <w:r w:rsidR="00021503">
        <w:t>kách</w:t>
      </w:r>
      <w:r w:rsidR="000137DA">
        <w:t xml:space="preserve">. </w:t>
      </w:r>
    </w:p>
    <w:p w14:paraId="155F1F2E" w14:textId="51B0A82C" w:rsidR="00473F04" w:rsidRDefault="00473F04" w:rsidP="00ED60DB"/>
    <w:p w14:paraId="3993DD21" w14:textId="4BB93344" w:rsidR="00021503" w:rsidRPr="00021503" w:rsidRDefault="00021503" w:rsidP="00021503">
      <w:pPr>
        <w:rPr>
          <w:b/>
          <w:bCs/>
        </w:rPr>
      </w:pPr>
      <w:r w:rsidRPr="00021503">
        <w:rPr>
          <w:b/>
          <w:bCs/>
        </w:rPr>
        <w:t>Cena jednotlivých součástí řešení pro 4 výrobní a 4 prodejní místa:</w:t>
      </w:r>
    </w:p>
    <w:p w14:paraId="7896FD12" w14:textId="77777777" w:rsidR="00021503" w:rsidRPr="00CB33C0" w:rsidRDefault="00021503" w:rsidP="00021503">
      <w:pPr>
        <w:rPr>
          <w:rFonts w:cs="Calibri"/>
          <w:lang w:eastAsia="x-none"/>
        </w:rPr>
      </w:pPr>
      <w:r w:rsidRPr="00CB33C0">
        <w:rPr>
          <w:rFonts w:cs="Calibri"/>
          <w:lang w:eastAsia="x-none"/>
        </w:rPr>
        <w:t xml:space="preserve">(neobsahuje spotřební materiál) </w:t>
      </w:r>
    </w:p>
    <w:p w14:paraId="5377A3AF" w14:textId="77777777" w:rsidR="00021503" w:rsidRDefault="00021503" w:rsidP="00021503">
      <w:pPr>
        <w:rPr>
          <w:rFonts w:cs="Calibri"/>
          <w:lang w:eastAsia="x-none"/>
        </w:rPr>
      </w:pPr>
    </w:p>
    <w:tbl>
      <w:tblPr>
        <w:tblW w:w="925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1"/>
        <w:gridCol w:w="1275"/>
        <w:gridCol w:w="1843"/>
      </w:tblGrid>
      <w:tr w:rsidR="00021503" w:rsidRPr="00CB33C0" w14:paraId="4D496421" w14:textId="77777777" w:rsidTr="003E236C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CF4C10" w14:textId="77777777" w:rsidR="00021503" w:rsidRPr="00F07675" w:rsidRDefault="00021503" w:rsidP="003E236C">
            <w:pPr>
              <w:spacing w:before="60" w:after="60"/>
              <w:rPr>
                <w:rFonts w:cs="Calibri"/>
                <w:b/>
                <w:bCs/>
                <w:color w:val="FFFFFF"/>
              </w:rPr>
            </w:pPr>
            <w:r w:rsidRPr="00F07675">
              <w:rPr>
                <w:rFonts w:cs="Calibri"/>
                <w:b/>
                <w:bCs/>
                <w:color w:val="FFFFFF"/>
              </w:rPr>
              <w:t>Položka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EA5D356" w14:textId="77777777" w:rsidR="00021503" w:rsidRPr="00CB33C0" w:rsidRDefault="00021503" w:rsidP="003E236C">
            <w:pPr>
              <w:spacing w:before="60" w:after="60"/>
              <w:rPr>
                <w:rFonts w:cs="Calibri"/>
                <w:b/>
                <w:bCs/>
                <w:color w:val="FFFFFF"/>
              </w:rPr>
            </w:pPr>
            <w:r w:rsidRPr="00CB33C0">
              <w:rPr>
                <w:rFonts w:cs="Calibri"/>
                <w:b/>
                <w:bCs/>
                <w:color w:val="FFFFFF"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AA955B1" w14:textId="0651B2F4" w:rsidR="00021503" w:rsidRPr="00CB33C0" w:rsidRDefault="00021503" w:rsidP="003E236C">
            <w:pPr>
              <w:spacing w:before="60" w:after="60"/>
              <w:jc w:val="right"/>
              <w:rPr>
                <w:rFonts w:cs="Calibri"/>
                <w:b/>
                <w:bCs/>
                <w:color w:val="FFFFFF"/>
              </w:rPr>
            </w:pPr>
            <w:r w:rsidRPr="00CB33C0">
              <w:rPr>
                <w:rFonts w:cs="Calibri"/>
                <w:b/>
                <w:bCs/>
                <w:color w:val="FFFFFF"/>
              </w:rPr>
              <w:t xml:space="preserve"> Cena</w:t>
            </w:r>
            <w:r>
              <w:rPr>
                <w:rFonts w:cs="Calibri"/>
                <w:b/>
                <w:bCs/>
                <w:color w:val="FFFFFF"/>
              </w:rPr>
              <w:t xml:space="preserve"> bez DPH</w:t>
            </w:r>
          </w:p>
        </w:tc>
      </w:tr>
      <w:tr w:rsidR="00021503" w:rsidRPr="00EF4D99" w14:paraId="66D97AD0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3782" w14:textId="43D93AFF" w:rsidR="00021503" w:rsidRPr="002E64C1" w:rsidRDefault="00021503" w:rsidP="003E236C">
            <w:pPr>
              <w:tabs>
                <w:tab w:val="left" w:pos="4977"/>
              </w:tabs>
              <w:spacing w:before="60" w:after="60"/>
              <w:rPr>
                <w:rFonts w:cs="Calibri"/>
              </w:rPr>
            </w:pPr>
            <w:r w:rsidRPr="002E64C1">
              <w:rPr>
                <w:rFonts w:cs="Calibri"/>
                <w:bCs/>
              </w:rPr>
              <w:t>Aplikace Zeleného software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30D3" w14:textId="77777777" w:rsidR="00021503" w:rsidRPr="002E64C1" w:rsidRDefault="00021503" w:rsidP="003E236C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4*)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C3C7" w14:textId="77777777" w:rsidR="00021503" w:rsidRPr="002E64C1" w:rsidRDefault="00021503" w:rsidP="003E236C">
            <w:pPr>
              <w:tabs>
                <w:tab w:val="center" w:pos="530"/>
                <w:tab w:val="right" w:pos="1060"/>
              </w:tabs>
              <w:spacing w:before="60" w:after="60"/>
              <w:jc w:val="right"/>
              <w:rPr>
                <w:rFonts w:cs="Calibri"/>
              </w:rPr>
            </w:pPr>
            <w:r w:rsidRPr="002E64C1">
              <w:rPr>
                <w:rFonts w:cs="Calibri"/>
              </w:rPr>
              <w:tab/>
            </w:r>
            <w:r>
              <w:rPr>
                <w:rFonts w:cs="Calibri"/>
                <w:bCs/>
              </w:rPr>
              <w:t>30.000,-</w:t>
            </w:r>
          </w:p>
        </w:tc>
      </w:tr>
      <w:tr w:rsidR="00021503" w:rsidRPr="00EF4D99" w14:paraId="612DA97F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6F61" w14:textId="4E1D0924" w:rsidR="00021503" w:rsidRPr="002E64C1" w:rsidRDefault="00021503" w:rsidP="003E236C">
            <w:pPr>
              <w:spacing w:before="60" w:after="60"/>
              <w:rPr>
                <w:rFonts w:cs="Calibri"/>
              </w:rPr>
            </w:pPr>
            <w:r w:rsidRPr="002E64C1">
              <w:rPr>
                <w:rFonts w:cs="Calibri"/>
                <w:bCs/>
              </w:rPr>
              <w:t>Programátorské práce a služby</w:t>
            </w:r>
            <w:r>
              <w:rPr>
                <w:rFonts w:cs="Calibri"/>
                <w:bCs/>
              </w:rPr>
              <w:t xml:space="preserve"> - komunikace s </w:t>
            </w:r>
            <w:proofErr w:type="gramStart"/>
            <w:r>
              <w:rPr>
                <w:rFonts w:cs="Calibri"/>
                <w:bCs/>
              </w:rPr>
              <w:t>MÚZO</w:t>
            </w:r>
            <w:proofErr w:type="gramEnd"/>
            <w:r>
              <w:rPr>
                <w:rFonts w:cs="Calibri"/>
                <w:bCs/>
              </w:rPr>
              <w:t>, úpravy výrobních procesů na míru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B2B4" w14:textId="77777777" w:rsidR="00021503" w:rsidRPr="002E64C1" w:rsidRDefault="00021503" w:rsidP="003E236C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70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94C3" w14:textId="77777777" w:rsidR="00021503" w:rsidRPr="002E64C1" w:rsidRDefault="00021503" w:rsidP="003E236C">
            <w:pPr>
              <w:spacing w:before="60" w:after="60"/>
              <w:jc w:val="right"/>
              <w:rPr>
                <w:rFonts w:cs="Calibri"/>
              </w:rPr>
            </w:pPr>
            <w:r>
              <w:rPr>
                <w:rFonts w:cs="Calibri"/>
                <w:bCs/>
              </w:rPr>
              <w:t>40.000</w:t>
            </w:r>
            <w:r w:rsidRPr="002E64C1">
              <w:rPr>
                <w:rFonts w:cs="Calibri"/>
                <w:bCs/>
              </w:rPr>
              <w:t>,-</w:t>
            </w:r>
          </w:p>
        </w:tc>
      </w:tr>
      <w:tr w:rsidR="00021503" w:rsidRPr="00EF4D99" w14:paraId="4805493F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50DE" w14:textId="27602738" w:rsidR="00021503" w:rsidRDefault="00021503" w:rsidP="003E236C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Instalace a zaškolení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256C" w14:textId="77777777" w:rsidR="00021503" w:rsidRDefault="00021503" w:rsidP="003E236C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70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72BB" w14:textId="77777777" w:rsidR="00021503" w:rsidRDefault="00021503" w:rsidP="003E236C">
            <w:pPr>
              <w:spacing w:before="60" w:after="6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30.000,-</w:t>
            </w:r>
          </w:p>
        </w:tc>
      </w:tr>
      <w:tr w:rsidR="00021503" w:rsidRPr="00EF4D99" w14:paraId="0AAE4FC4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E383" w14:textId="77777777" w:rsidR="00021503" w:rsidRPr="002E64C1" w:rsidRDefault="00021503" w:rsidP="003E236C">
            <w:pPr>
              <w:spacing w:before="60" w:after="60"/>
              <w:rPr>
                <w:rFonts w:cs="Calibri"/>
              </w:rPr>
            </w:pPr>
            <w:proofErr w:type="spellStart"/>
            <w:r>
              <w:rPr>
                <w:rFonts w:cs="Calibri"/>
                <w:bCs/>
              </w:rPr>
              <w:t>Termotransferové</w:t>
            </w:r>
            <w:proofErr w:type="spellEnd"/>
            <w:r>
              <w:rPr>
                <w:rFonts w:cs="Calibri"/>
                <w:bCs/>
              </w:rPr>
              <w:t xml:space="preserve"> tiskárny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C21A" w14:textId="77777777" w:rsidR="00021503" w:rsidRPr="003129E9" w:rsidRDefault="00021503" w:rsidP="003E236C">
            <w:pPr>
              <w:spacing w:before="60" w:after="60"/>
              <w:rPr>
                <w:rFonts w:cs="Calibri"/>
              </w:rPr>
            </w:pPr>
            <w:r w:rsidRPr="003129E9">
              <w:rPr>
                <w:rFonts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B0C" w14:textId="77777777" w:rsidR="00021503" w:rsidRPr="000B1D5A" w:rsidRDefault="00021503" w:rsidP="003E236C">
            <w:pPr>
              <w:spacing w:before="60" w:after="6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61.046,</w:t>
            </w:r>
            <w:r w:rsidRPr="003129E9">
              <w:rPr>
                <w:rFonts w:cs="Calibri"/>
                <w:bCs/>
              </w:rPr>
              <w:t>-</w:t>
            </w:r>
          </w:p>
        </w:tc>
      </w:tr>
      <w:tr w:rsidR="00021503" w:rsidRPr="00EF4D99" w14:paraId="24E8F15D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D4F6" w14:textId="77777777" w:rsidR="00021503" w:rsidRDefault="00021503" w:rsidP="003E236C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Pokladní tiskárny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DB80" w14:textId="77777777" w:rsidR="00021503" w:rsidRPr="003129E9" w:rsidRDefault="00021503" w:rsidP="003E236C">
            <w:pPr>
              <w:spacing w:before="60" w:after="60"/>
              <w:rPr>
                <w:rFonts w:cs="Calibri"/>
              </w:rPr>
            </w:pPr>
            <w:r w:rsidRPr="003129E9">
              <w:rPr>
                <w:rFonts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9A2F" w14:textId="77777777" w:rsidR="00021503" w:rsidRPr="003129E9" w:rsidRDefault="00021503" w:rsidP="003E236C">
            <w:pPr>
              <w:spacing w:before="60" w:after="60"/>
              <w:jc w:val="right"/>
              <w:rPr>
                <w:rFonts w:cs="Calibri"/>
                <w:bCs/>
              </w:rPr>
            </w:pPr>
            <w:r w:rsidRPr="003129E9">
              <w:rPr>
                <w:rFonts w:cs="Calibri"/>
                <w:bCs/>
              </w:rPr>
              <w:t>13.</w:t>
            </w:r>
            <w:r>
              <w:rPr>
                <w:rFonts w:cs="Calibri"/>
                <w:bCs/>
              </w:rPr>
              <w:t>972</w:t>
            </w:r>
            <w:r w:rsidRPr="003129E9">
              <w:rPr>
                <w:rFonts w:cs="Calibri"/>
                <w:bCs/>
              </w:rPr>
              <w:t>,-</w:t>
            </w:r>
          </w:p>
        </w:tc>
      </w:tr>
      <w:tr w:rsidR="00021503" w:rsidRPr="00EF4D99" w14:paraId="56ECE2FE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5308" w14:textId="77777777" w:rsidR="00021503" w:rsidRDefault="00021503" w:rsidP="003E236C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Čtečky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1001" w14:textId="77777777" w:rsidR="00021503" w:rsidRPr="003129E9" w:rsidRDefault="00021503" w:rsidP="003E236C">
            <w:pPr>
              <w:spacing w:before="60" w:after="60"/>
              <w:rPr>
                <w:rFonts w:cs="Calibri"/>
              </w:rPr>
            </w:pPr>
            <w:r w:rsidRPr="003129E9">
              <w:rPr>
                <w:rFonts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D5C0" w14:textId="77777777" w:rsidR="00021503" w:rsidRPr="000B1D5A" w:rsidRDefault="00021503" w:rsidP="003E236C">
            <w:pPr>
              <w:spacing w:before="60" w:after="60"/>
              <w:jc w:val="right"/>
              <w:rPr>
                <w:rFonts w:cs="Calibri"/>
                <w:bCs/>
                <w:color w:val="FF0000"/>
              </w:rPr>
            </w:pPr>
            <w:r>
              <w:rPr>
                <w:rFonts w:cs="Calibri"/>
                <w:bCs/>
              </w:rPr>
              <w:t>10.066,-</w:t>
            </w:r>
            <w:r w:rsidRPr="000B1D5A">
              <w:rPr>
                <w:rFonts w:cs="Calibri"/>
                <w:bCs/>
                <w:color w:val="FF0000"/>
              </w:rPr>
              <w:t xml:space="preserve"> </w:t>
            </w:r>
          </w:p>
        </w:tc>
      </w:tr>
      <w:tr w:rsidR="00021503" w:rsidRPr="00EF4D99" w14:paraId="3F423C39" w14:textId="77777777" w:rsidTr="00B57CDF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059C" w14:textId="77777777" w:rsidR="00021503" w:rsidRDefault="00021503" w:rsidP="003E236C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Pokladní zásuvky, zákaznické displeje – dle domluvy (cena v případě plného vybavení – zásuvka, držák, displej)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1B9F" w14:textId="77777777" w:rsidR="00021503" w:rsidRPr="003129E9" w:rsidRDefault="00021503" w:rsidP="003E236C">
            <w:pPr>
              <w:spacing w:before="60" w:after="60"/>
              <w:rPr>
                <w:rFonts w:cs="Calibri"/>
              </w:rPr>
            </w:pPr>
            <w:r w:rsidRPr="003129E9">
              <w:rPr>
                <w:rFonts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7675" w14:textId="77777777" w:rsidR="00021503" w:rsidRPr="003129E9" w:rsidRDefault="00021503" w:rsidP="003E236C">
            <w:pPr>
              <w:spacing w:before="60" w:after="6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19</w:t>
            </w:r>
            <w:r w:rsidRPr="003129E9">
              <w:rPr>
                <w:rFonts w:cs="Calibri"/>
                <w:bCs/>
              </w:rPr>
              <w:t>.</w:t>
            </w:r>
            <w:r>
              <w:rPr>
                <w:rFonts w:cs="Calibri"/>
                <w:bCs/>
              </w:rPr>
              <w:t>776</w:t>
            </w:r>
            <w:r w:rsidRPr="003129E9">
              <w:rPr>
                <w:rFonts w:cs="Calibri"/>
                <w:bCs/>
              </w:rPr>
              <w:t>,-</w:t>
            </w:r>
          </w:p>
        </w:tc>
      </w:tr>
      <w:tr w:rsidR="00021503" w:rsidRPr="00EF4D99" w14:paraId="77C5B90F" w14:textId="77777777" w:rsidTr="003E236C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D28C0" w14:textId="77777777" w:rsidR="00021503" w:rsidRPr="00C74ABF" w:rsidRDefault="00021503" w:rsidP="003E236C">
            <w:pPr>
              <w:spacing w:before="60" w:after="60"/>
              <w:rPr>
                <w:rFonts w:cs="Calibri"/>
                <w:b/>
              </w:rPr>
            </w:pPr>
            <w:r w:rsidRPr="00C74ABF">
              <w:rPr>
                <w:rFonts w:cs="Calibri"/>
                <w:b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149FA" w14:textId="77777777" w:rsidR="00021503" w:rsidRPr="003129E9" w:rsidRDefault="00021503" w:rsidP="003E236C">
            <w:pPr>
              <w:spacing w:before="60" w:after="6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00251" w14:textId="77777777" w:rsidR="00021503" w:rsidRPr="00D62877" w:rsidRDefault="00021503" w:rsidP="003E236C">
            <w:pPr>
              <w:spacing w:before="60" w:after="60"/>
              <w:jc w:val="right"/>
              <w:rPr>
                <w:rFonts w:cs="Calibri"/>
                <w:b/>
              </w:rPr>
            </w:pPr>
            <w:r w:rsidRPr="00D62877">
              <w:rPr>
                <w:rFonts w:cs="Calibri"/>
                <w:b/>
              </w:rPr>
              <w:t>204.860,-</w:t>
            </w:r>
          </w:p>
        </w:tc>
      </w:tr>
    </w:tbl>
    <w:p w14:paraId="77597A45" w14:textId="77777777" w:rsidR="00021503" w:rsidRDefault="00021503" w:rsidP="00021503">
      <w:pPr>
        <w:spacing w:line="240" w:lineRule="auto"/>
        <w:rPr>
          <w:rFonts w:cs="Calibri"/>
          <w:b/>
          <w:bCs/>
        </w:rPr>
      </w:pPr>
    </w:p>
    <w:p w14:paraId="3EB492CA" w14:textId="77777777" w:rsidR="00021503" w:rsidRDefault="00021503" w:rsidP="00021503">
      <w:pPr>
        <w:rPr>
          <w:rFonts w:cs="Calibri"/>
          <w:lang w:eastAsia="x-none"/>
        </w:rPr>
      </w:pPr>
      <w:r>
        <w:rPr>
          <w:rFonts w:cs="Calibri"/>
          <w:lang w:eastAsia="x-none"/>
        </w:rPr>
        <w:t>*) Licence budou k dispozici v množství, které budete potřebovat, kalkulace je vytvořena pro 4 uživatele.</w:t>
      </w:r>
    </w:p>
    <w:p w14:paraId="01306E10" w14:textId="77777777" w:rsidR="002A0585" w:rsidRDefault="002A0585" w:rsidP="00ED60DB"/>
    <w:p w14:paraId="127831E5" w14:textId="3A875376" w:rsidR="002A0585" w:rsidRPr="00021503" w:rsidRDefault="002A0585" w:rsidP="00ED60DB">
      <w:pPr>
        <w:rPr>
          <w:b/>
          <w:bCs/>
        </w:rPr>
      </w:pPr>
      <w:r w:rsidRPr="00021503">
        <w:rPr>
          <w:b/>
          <w:bCs/>
        </w:rPr>
        <w:t>Harmonogram spuštění a fakturace</w:t>
      </w:r>
      <w:r w:rsidR="00021503">
        <w:rPr>
          <w:b/>
          <w:bCs/>
        </w:rPr>
        <w:t>:</w:t>
      </w:r>
    </w:p>
    <w:p w14:paraId="18B38879" w14:textId="77777777" w:rsidR="00021503" w:rsidRDefault="00021503" w:rsidP="00ED60DB"/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977"/>
      </w:tblGrid>
      <w:tr w:rsidR="00B57CDF" w:rsidRPr="00B57CDF" w14:paraId="002D7C0A" w14:textId="77777777" w:rsidTr="00B57CDF">
        <w:trPr>
          <w:trHeight w:val="412"/>
        </w:trPr>
        <w:tc>
          <w:tcPr>
            <w:tcW w:w="6124" w:type="dxa"/>
            <w:shd w:val="clear" w:color="auto" w:fill="006600"/>
            <w:vAlign w:val="center"/>
          </w:tcPr>
          <w:p w14:paraId="7D3BF243" w14:textId="77777777" w:rsidR="00473F04" w:rsidRPr="00B57CDF" w:rsidRDefault="00473F04" w:rsidP="00B57CDF">
            <w:pPr>
              <w:rPr>
                <w:b/>
                <w:color w:val="FFFFFF" w:themeColor="background1"/>
              </w:rPr>
            </w:pPr>
            <w:r w:rsidRPr="00B57CDF">
              <w:rPr>
                <w:b/>
                <w:color w:val="FFFFFF" w:themeColor="background1"/>
              </w:rPr>
              <w:t>Etapa</w:t>
            </w:r>
          </w:p>
        </w:tc>
        <w:tc>
          <w:tcPr>
            <w:tcW w:w="2977" w:type="dxa"/>
            <w:shd w:val="clear" w:color="auto" w:fill="006600"/>
            <w:vAlign w:val="center"/>
          </w:tcPr>
          <w:p w14:paraId="7FC9EA46" w14:textId="470EE241" w:rsidR="00473F04" w:rsidRPr="00B57CDF" w:rsidRDefault="00473F04" w:rsidP="00B57CDF">
            <w:pPr>
              <w:rPr>
                <w:b/>
                <w:color w:val="FFFFFF" w:themeColor="background1"/>
              </w:rPr>
            </w:pPr>
            <w:r w:rsidRPr="00B57CDF">
              <w:rPr>
                <w:b/>
                <w:color w:val="FFFFFF" w:themeColor="background1"/>
              </w:rPr>
              <w:t>Plánované datum</w:t>
            </w:r>
            <w:r w:rsidR="00CB1028" w:rsidRPr="00B57CDF">
              <w:rPr>
                <w:b/>
                <w:color w:val="FFFFFF" w:themeColor="background1"/>
              </w:rPr>
              <w:t xml:space="preserve"> dokončení</w:t>
            </w:r>
          </w:p>
        </w:tc>
      </w:tr>
      <w:tr w:rsidR="00473F04" w:rsidRPr="008C764A" w14:paraId="7D44B84E" w14:textId="77777777" w:rsidTr="00B57CDF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5DB91EC5" w14:textId="1E0DBC47" w:rsidR="003B7FB2" w:rsidRDefault="003B7FB2" w:rsidP="00B57CDF">
            <w:r>
              <w:t>Vytvoření virtuálního serveru v</w:t>
            </w:r>
            <w:r w:rsidR="00595CB7">
              <w:t> </w:t>
            </w:r>
            <w:proofErr w:type="spellStart"/>
            <w:r>
              <w:t>datacentru</w:t>
            </w:r>
            <w:proofErr w:type="spellEnd"/>
          </w:p>
          <w:p w14:paraId="6BFC41CE" w14:textId="25197C0F" w:rsidR="00473F04" w:rsidRPr="008C764A" w:rsidRDefault="00473F04" w:rsidP="00B57CDF">
            <w:r w:rsidRPr="008C764A">
              <w:t>Vzdálená příprava prostředí a instalace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7756230" w14:textId="7ABFEC2C" w:rsidR="00473F04" w:rsidRPr="008B4871" w:rsidRDefault="003B7FB2" w:rsidP="00B57CDF">
            <w:proofErr w:type="gramStart"/>
            <w:r>
              <w:t>31.5.2022</w:t>
            </w:r>
            <w:proofErr w:type="gramEnd"/>
          </w:p>
        </w:tc>
      </w:tr>
      <w:tr w:rsidR="00473F04" w:rsidRPr="008C764A" w14:paraId="3CE0817D" w14:textId="77777777" w:rsidTr="00B57CDF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1C1D9E67" w14:textId="5DC40AE2" w:rsidR="00473F04" w:rsidRDefault="003B7FB2" w:rsidP="00B57CDF">
            <w:r>
              <w:t>Instalace tenk</w:t>
            </w:r>
            <w:r w:rsidR="007134D8">
              <w:t>ých</w:t>
            </w:r>
            <w:r>
              <w:t xml:space="preserve"> klient</w:t>
            </w:r>
            <w:r w:rsidR="007134D8">
              <w:t>ů</w:t>
            </w:r>
            <w:r>
              <w:t xml:space="preserve"> pro </w:t>
            </w:r>
            <w:r w:rsidR="00054E4C">
              <w:t xml:space="preserve">4 </w:t>
            </w:r>
            <w:r>
              <w:t>výrob</w:t>
            </w:r>
            <w:r w:rsidR="00054E4C">
              <w:t>ní místa</w:t>
            </w:r>
          </w:p>
          <w:p w14:paraId="505F859E" w14:textId="677F6C8E" w:rsidR="003B7FB2" w:rsidRPr="008C764A" w:rsidRDefault="003B7FB2" w:rsidP="00B57CDF">
            <w:r>
              <w:t>Zprovoznění TT tisku a školení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95CCD8" w14:textId="06842906" w:rsidR="00473F04" w:rsidRDefault="007134D8" w:rsidP="00B57CDF">
            <w:proofErr w:type="gramStart"/>
            <w:r>
              <w:t>14.</w:t>
            </w:r>
            <w:r w:rsidR="00022ADF">
              <w:t>7</w:t>
            </w:r>
            <w:r>
              <w:t>.2022</w:t>
            </w:r>
            <w:proofErr w:type="gramEnd"/>
          </w:p>
        </w:tc>
      </w:tr>
      <w:tr w:rsidR="005D762A" w:rsidRPr="008C764A" w14:paraId="259640FB" w14:textId="77777777" w:rsidTr="00B57CDF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3204C1E0" w14:textId="404E66DC" w:rsidR="005D762A" w:rsidRDefault="005D762A" w:rsidP="00B57CDF">
            <w:r>
              <w:t xml:space="preserve">1. </w:t>
            </w:r>
            <w:r w:rsidR="00AA6CF7">
              <w:t xml:space="preserve">etapa </w:t>
            </w:r>
            <w:r>
              <w:t>fakturace</w:t>
            </w:r>
            <w:r w:rsidR="00AA6CF7">
              <w:t xml:space="preserve"> – hardware pro výrobní místa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8E8521" w14:textId="73C81399" w:rsidR="005D762A" w:rsidRDefault="005D762A" w:rsidP="00B57CDF">
            <w:proofErr w:type="gramStart"/>
            <w:r>
              <w:t>14.7.2022</w:t>
            </w:r>
            <w:proofErr w:type="gramEnd"/>
          </w:p>
        </w:tc>
      </w:tr>
      <w:tr w:rsidR="00CB1028" w:rsidRPr="008C764A" w14:paraId="71CC78B0" w14:textId="77777777" w:rsidTr="00B57CDF">
        <w:tc>
          <w:tcPr>
            <w:tcW w:w="6124" w:type="dxa"/>
            <w:vAlign w:val="center"/>
          </w:tcPr>
          <w:p w14:paraId="2894AA34" w14:textId="6F4E6D06" w:rsidR="00CB1028" w:rsidRDefault="00CB1028" w:rsidP="00B57CDF">
            <w:r>
              <w:t>Komunikace s</w:t>
            </w:r>
            <w:r w:rsidR="00595CB7">
              <w:t> </w:t>
            </w:r>
            <w:proofErr w:type="gramStart"/>
            <w:r>
              <w:t>MÚZO</w:t>
            </w:r>
            <w:proofErr w:type="gramEnd"/>
          </w:p>
        </w:tc>
        <w:tc>
          <w:tcPr>
            <w:tcW w:w="2977" w:type="dxa"/>
            <w:vAlign w:val="center"/>
          </w:tcPr>
          <w:p w14:paraId="6A524921" w14:textId="08ED0AAE" w:rsidR="00CB1028" w:rsidRDefault="00CB1028" w:rsidP="00B57CDF">
            <w:proofErr w:type="gramStart"/>
            <w:r>
              <w:t>30.7.2022</w:t>
            </w:r>
            <w:proofErr w:type="gramEnd"/>
          </w:p>
        </w:tc>
      </w:tr>
      <w:tr w:rsidR="00F047BA" w:rsidRPr="008C764A" w14:paraId="52B4A16C" w14:textId="77777777" w:rsidTr="00B57CDF">
        <w:tc>
          <w:tcPr>
            <w:tcW w:w="6124" w:type="dxa"/>
            <w:vAlign w:val="center"/>
          </w:tcPr>
          <w:p w14:paraId="29E742CE" w14:textId="5AB7D749" w:rsidR="00F047BA" w:rsidRPr="008C764A" w:rsidRDefault="00F047BA" w:rsidP="00B57CDF">
            <w:r>
              <w:t xml:space="preserve">Instalace tenkého klienta pro </w:t>
            </w:r>
            <w:r w:rsidR="00AA6CF7">
              <w:t xml:space="preserve">pilotní </w:t>
            </w:r>
            <w:r>
              <w:t>prodejní místo</w:t>
            </w:r>
          </w:p>
        </w:tc>
        <w:tc>
          <w:tcPr>
            <w:tcW w:w="2977" w:type="dxa"/>
            <w:vAlign w:val="center"/>
          </w:tcPr>
          <w:p w14:paraId="27FA91B5" w14:textId="6946F02E" w:rsidR="00F047BA" w:rsidRPr="008B4871" w:rsidRDefault="00F047BA" w:rsidP="00B57CDF">
            <w:proofErr w:type="gramStart"/>
            <w:r>
              <w:t>30.8.2022</w:t>
            </w:r>
            <w:proofErr w:type="gramEnd"/>
          </w:p>
        </w:tc>
      </w:tr>
      <w:tr w:rsidR="00F047BA" w:rsidRPr="008C764A" w14:paraId="487B7BA2" w14:textId="77777777" w:rsidTr="00B57CDF">
        <w:tc>
          <w:tcPr>
            <w:tcW w:w="6124" w:type="dxa"/>
            <w:shd w:val="clear" w:color="auto" w:fill="auto"/>
            <w:vAlign w:val="center"/>
          </w:tcPr>
          <w:p w14:paraId="1E517FFF" w14:textId="396272F7" w:rsidR="00F047BA" w:rsidRDefault="00F047BA" w:rsidP="00B57CDF">
            <w:r>
              <w:t xml:space="preserve">Instalace tenkých klientů pro další 3 prodejní místa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A8240B" w14:textId="6884B80F" w:rsidR="00F047BA" w:rsidRDefault="00F047BA" w:rsidP="00B57CDF">
            <w:proofErr w:type="gramStart"/>
            <w:r>
              <w:t>30.9.2022</w:t>
            </w:r>
            <w:proofErr w:type="gramEnd"/>
          </w:p>
        </w:tc>
      </w:tr>
      <w:tr w:rsidR="00F047BA" w:rsidRPr="008C764A" w14:paraId="0C3A00CE" w14:textId="77777777" w:rsidTr="00B57CDF">
        <w:tc>
          <w:tcPr>
            <w:tcW w:w="6124" w:type="dxa"/>
            <w:vAlign w:val="center"/>
          </w:tcPr>
          <w:p w14:paraId="5238D82E" w14:textId="3DC1B45E" w:rsidR="00F047BA" w:rsidRPr="008C764A" w:rsidRDefault="00F047BA" w:rsidP="00B57CDF">
            <w:r>
              <w:t>Školení prodeje</w:t>
            </w:r>
          </w:p>
        </w:tc>
        <w:tc>
          <w:tcPr>
            <w:tcW w:w="2977" w:type="dxa"/>
            <w:vAlign w:val="center"/>
          </w:tcPr>
          <w:p w14:paraId="69CA2D55" w14:textId="79A606AC" w:rsidR="00F047BA" w:rsidRPr="008B4871" w:rsidRDefault="00F047BA" w:rsidP="00B57CDF">
            <w:proofErr w:type="gramStart"/>
            <w:r>
              <w:t>30.9.2022</w:t>
            </w:r>
            <w:proofErr w:type="gramEnd"/>
          </w:p>
        </w:tc>
      </w:tr>
      <w:tr w:rsidR="00F047BA" w:rsidRPr="008C764A" w14:paraId="7B36186C" w14:textId="77777777" w:rsidTr="00B57CDF">
        <w:tc>
          <w:tcPr>
            <w:tcW w:w="6124" w:type="dxa"/>
            <w:vAlign w:val="center"/>
          </w:tcPr>
          <w:p w14:paraId="283D9A08" w14:textId="667A4273" w:rsidR="00F047BA" w:rsidRPr="008C764A" w:rsidRDefault="00F047BA" w:rsidP="00B57CDF">
            <w:r>
              <w:t>Dodávka hardware pro prodejní místa</w:t>
            </w:r>
          </w:p>
        </w:tc>
        <w:tc>
          <w:tcPr>
            <w:tcW w:w="2977" w:type="dxa"/>
            <w:vAlign w:val="center"/>
          </w:tcPr>
          <w:p w14:paraId="5E4AEB6A" w14:textId="4E2E4E77" w:rsidR="00F047BA" w:rsidRPr="008B4871" w:rsidRDefault="00F047BA" w:rsidP="00B57CDF">
            <w:proofErr w:type="gramStart"/>
            <w:r>
              <w:t>30.9.2022</w:t>
            </w:r>
            <w:proofErr w:type="gramEnd"/>
          </w:p>
        </w:tc>
      </w:tr>
      <w:tr w:rsidR="00F047BA" w:rsidRPr="008C764A" w14:paraId="1CC9A34F" w14:textId="77777777" w:rsidTr="00B57CDF">
        <w:tc>
          <w:tcPr>
            <w:tcW w:w="6124" w:type="dxa"/>
            <w:vAlign w:val="center"/>
          </w:tcPr>
          <w:p w14:paraId="6FB0BAED" w14:textId="149CE3CE" w:rsidR="00F047BA" w:rsidRDefault="00F047BA" w:rsidP="00B57CDF">
            <w:r>
              <w:lastRenderedPageBreak/>
              <w:t xml:space="preserve">2. </w:t>
            </w:r>
            <w:r w:rsidR="00AA6CF7">
              <w:t xml:space="preserve">etapa </w:t>
            </w:r>
            <w:r>
              <w:t xml:space="preserve">fakturace – </w:t>
            </w:r>
            <w:r w:rsidR="00AA6CF7">
              <w:t>hardware pro prodejní místa</w:t>
            </w:r>
          </w:p>
        </w:tc>
        <w:tc>
          <w:tcPr>
            <w:tcW w:w="2977" w:type="dxa"/>
            <w:vAlign w:val="center"/>
          </w:tcPr>
          <w:p w14:paraId="69FFFE3F" w14:textId="6E831746" w:rsidR="00F047BA" w:rsidRDefault="00CB1028" w:rsidP="00B57CDF">
            <w:proofErr w:type="gramStart"/>
            <w:r>
              <w:t>30.9.2022</w:t>
            </w:r>
            <w:proofErr w:type="gramEnd"/>
          </w:p>
        </w:tc>
      </w:tr>
      <w:tr w:rsidR="00F047BA" w:rsidRPr="008C764A" w14:paraId="22997652" w14:textId="77777777" w:rsidTr="00B57CDF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0F5C4307" w14:textId="2EFB0FFF" w:rsidR="00F047BA" w:rsidRDefault="00F047BA" w:rsidP="00B57CDF">
            <w:r>
              <w:t xml:space="preserve">3. </w:t>
            </w:r>
            <w:r w:rsidR="00AA6CF7">
              <w:t xml:space="preserve">etapa </w:t>
            </w:r>
            <w:r>
              <w:t xml:space="preserve">fakturace </w:t>
            </w:r>
            <w:r w:rsidR="00CB1028">
              <w:t>–</w:t>
            </w:r>
            <w:r w:rsidR="00AA6CF7">
              <w:t xml:space="preserve"> </w:t>
            </w:r>
            <w:r>
              <w:t xml:space="preserve">licence, </w:t>
            </w:r>
            <w:r w:rsidR="00AA6CF7">
              <w:t xml:space="preserve">školení, vývoj komunikace s </w:t>
            </w:r>
            <w:proofErr w:type="gramStart"/>
            <w:r w:rsidR="00AA6CF7">
              <w:t>MÚZO</w:t>
            </w:r>
            <w:proofErr w:type="gram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841153" w14:textId="40F30E66" w:rsidR="00F047BA" w:rsidRDefault="00AA6CF7" w:rsidP="00B57CDF">
            <w:r>
              <w:t xml:space="preserve">Po spuštění ostrého provozu, nejpozději však </w:t>
            </w:r>
            <w:proofErr w:type="gramStart"/>
            <w:r>
              <w:t>1.3.2023</w:t>
            </w:r>
            <w:proofErr w:type="gramEnd"/>
          </w:p>
        </w:tc>
      </w:tr>
    </w:tbl>
    <w:p w14:paraId="6553DC0C" w14:textId="77777777" w:rsidR="00473F04" w:rsidRDefault="00473F04" w:rsidP="00ED60DB"/>
    <w:p w14:paraId="0BA825B5" w14:textId="77777777" w:rsidR="007078F7" w:rsidRDefault="007078F7" w:rsidP="009A4E11">
      <w:pPr>
        <w:ind w:left="709" w:hanging="709"/>
      </w:pPr>
    </w:p>
    <w:p w14:paraId="5D2D9917" w14:textId="578B0769" w:rsidR="00003178" w:rsidRDefault="00786DB1" w:rsidP="009A4E11">
      <w:pPr>
        <w:ind w:left="709" w:hanging="709"/>
      </w:pPr>
      <w:r>
        <w:t>2.3</w:t>
      </w:r>
      <w:r w:rsidR="00003178">
        <w:tab/>
        <w:t xml:space="preserve">Dodavatel je povinen po ukončení </w:t>
      </w:r>
      <w:r w:rsidR="00B9601D">
        <w:t>dodávky</w:t>
      </w:r>
      <w:r>
        <w:t xml:space="preserve"> vyzvat odběratele k převzetí díla</w:t>
      </w:r>
      <w:r w:rsidR="0060702D">
        <w:t xml:space="preserve"> a k podpisu </w:t>
      </w:r>
      <w:r w:rsidR="00332E2F">
        <w:t>pracovního listu</w:t>
      </w:r>
      <w:r w:rsidR="006C3083">
        <w:t xml:space="preserve">. </w:t>
      </w:r>
      <w:r>
        <w:t xml:space="preserve">V případě, že </w:t>
      </w:r>
      <w:r w:rsidR="006C3083">
        <w:t xml:space="preserve">odběratel </w:t>
      </w:r>
      <w:r w:rsidR="006E024B">
        <w:t>nalezne</w:t>
      </w:r>
      <w:r>
        <w:t xml:space="preserve"> nedostatky</w:t>
      </w:r>
      <w:r w:rsidR="006C3083">
        <w:t>,</w:t>
      </w:r>
      <w:r>
        <w:t xml:space="preserve"> je oprávněn odmítnout převzetí a dodavatel je povinen neprodleně vady odstranit.</w:t>
      </w:r>
    </w:p>
    <w:p w14:paraId="3956F44D" w14:textId="77777777" w:rsidR="000D4C27" w:rsidRDefault="000D4C27" w:rsidP="009A4E11">
      <w:pPr>
        <w:ind w:left="709" w:hanging="709"/>
      </w:pPr>
      <w:r>
        <w:t>2.4</w:t>
      </w:r>
      <w:r w:rsidR="000A5E76">
        <w:tab/>
      </w:r>
      <w:r w:rsidR="00786DB1">
        <w:t xml:space="preserve">Dodavatel je oprávněn vystavit fakturu, kterou bude vyúčtována cena za provedení </w:t>
      </w:r>
      <w:r w:rsidR="00572471">
        <w:t>odsouhlaseného díla.</w:t>
      </w:r>
      <w:r w:rsidR="00786DB1">
        <w:t xml:space="preserve"> </w:t>
      </w:r>
      <w:r w:rsidR="000A5E76">
        <w:t>Faktur</w:t>
      </w:r>
      <w:r w:rsidR="0073601F">
        <w:t>a</w:t>
      </w:r>
      <w:r w:rsidR="000A5E76">
        <w:t xml:space="preserve"> bud</w:t>
      </w:r>
      <w:r w:rsidR="0073601F">
        <w:t>e</w:t>
      </w:r>
      <w:r w:rsidR="000A5E76">
        <w:t xml:space="preserve"> obsahovat veškeré náležitosti dle platných zákonů o účetnictví a dani z přidané hodnoty</w:t>
      </w:r>
      <w:r>
        <w:t>.</w:t>
      </w:r>
      <w:r w:rsidR="000A5E76">
        <w:t xml:space="preserve"> </w:t>
      </w:r>
    </w:p>
    <w:p w14:paraId="57E70BDB" w14:textId="77777777" w:rsidR="000D4C27" w:rsidRDefault="000D4C27" w:rsidP="009A4E11">
      <w:pPr>
        <w:ind w:left="709" w:hanging="709"/>
      </w:pPr>
      <w:r>
        <w:t>2.5</w:t>
      </w:r>
      <w:r w:rsidR="00900CE4">
        <w:tab/>
        <w:t xml:space="preserve">Při </w:t>
      </w:r>
      <w:r w:rsidR="009A4E11">
        <w:t>nedodržení termínů</w:t>
      </w:r>
      <w:r w:rsidR="00786DB1">
        <w:t xml:space="preserve"> provedení jednotlivých etap uvedených v odst. 2.2 tohoto článku</w:t>
      </w:r>
      <w:r w:rsidR="009A4E11">
        <w:t xml:space="preserve"> může odběratel po dod</w:t>
      </w:r>
      <w:r w:rsidR="00786DB1">
        <w:t>avateli vyžadovat smluvní pokutu ve výši  0,05% denně z ceny</w:t>
      </w:r>
      <w:r>
        <w:t xml:space="preserve">, </w:t>
      </w:r>
      <w:r w:rsidR="007D4C9C">
        <w:t xml:space="preserve">a to </w:t>
      </w:r>
      <w:r>
        <w:t xml:space="preserve">do </w:t>
      </w:r>
      <w:r w:rsidR="007D4C9C">
        <w:t xml:space="preserve">doby </w:t>
      </w:r>
      <w:r>
        <w:t>řádného provedení díla</w:t>
      </w:r>
      <w:r w:rsidR="006E1805">
        <w:t>, maximálně však do výšky 30% ceny díla</w:t>
      </w:r>
      <w:r>
        <w:t>.</w:t>
      </w:r>
      <w:r w:rsidR="006E024B">
        <w:t xml:space="preserve"> </w:t>
      </w:r>
      <w:r>
        <w:t xml:space="preserve"> </w:t>
      </w:r>
    </w:p>
    <w:p w14:paraId="55BEC140" w14:textId="77777777" w:rsidR="00B937E0" w:rsidRPr="009A4E11" w:rsidRDefault="00B937E0" w:rsidP="009A4E11">
      <w:pPr>
        <w:ind w:left="709" w:hanging="709"/>
      </w:pPr>
    </w:p>
    <w:p w14:paraId="12089549" w14:textId="77777777" w:rsidR="008333C9" w:rsidRDefault="008333C9" w:rsidP="009A4E11">
      <w:pPr>
        <w:ind w:left="709" w:hanging="709"/>
        <w:rPr>
          <w:b/>
        </w:rPr>
      </w:pPr>
    </w:p>
    <w:p w14:paraId="6E53CD9C" w14:textId="77777777" w:rsidR="00ED60DB" w:rsidRPr="00ED60DB" w:rsidRDefault="00ED60DB" w:rsidP="009A4E11">
      <w:pPr>
        <w:ind w:left="709" w:hanging="709"/>
        <w:rPr>
          <w:b/>
        </w:rPr>
      </w:pPr>
      <w:r w:rsidRPr="00ED60DB">
        <w:rPr>
          <w:b/>
        </w:rPr>
        <w:t>3</w:t>
      </w:r>
      <w:r w:rsidRPr="00ED60DB">
        <w:rPr>
          <w:b/>
        </w:rPr>
        <w:tab/>
        <w:t>Závazky odběratele plynoucí z předmětu smlouvy</w:t>
      </w:r>
    </w:p>
    <w:p w14:paraId="2003CD70" w14:textId="0642FA9C" w:rsidR="00ED60DB" w:rsidRDefault="00ED60DB" w:rsidP="009A4E11">
      <w:pPr>
        <w:ind w:left="709" w:hanging="709"/>
      </w:pPr>
      <w:r>
        <w:t>3.1</w:t>
      </w:r>
      <w:r>
        <w:tab/>
        <w:t xml:space="preserve">Odběratel je povinen </w:t>
      </w:r>
      <w:r w:rsidR="00003178">
        <w:t xml:space="preserve">seznámit dodavatele s okolnostmi, </w:t>
      </w:r>
      <w:r w:rsidR="000E305F">
        <w:t>kter</w:t>
      </w:r>
      <w:r w:rsidR="00003178">
        <w:t>é</w:t>
      </w:r>
      <w:r w:rsidR="000E305F">
        <w:t xml:space="preserve"> by </w:t>
      </w:r>
      <w:r w:rsidR="00003178">
        <w:t>znemožňovaly dodržení harmonogramu</w:t>
      </w:r>
      <w:r>
        <w:t xml:space="preserve"> a to vždy písemně formou na mailovou adresu </w:t>
      </w:r>
      <w:r w:rsidR="00982C2A">
        <w:t>……..</w:t>
      </w:r>
      <w:r w:rsidR="00003178">
        <w:t xml:space="preserve"> </w:t>
      </w:r>
      <w:r>
        <w:t>Tento mail bude doprovázen telefonát</w:t>
      </w:r>
      <w:r w:rsidR="00982C2A">
        <w:t xml:space="preserve">em na </w:t>
      </w:r>
      <w:proofErr w:type="spellStart"/>
      <w:r w:rsidR="00982C2A">
        <w:t>hotline</w:t>
      </w:r>
      <w:proofErr w:type="spellEnd"/>
      <w:r w:rsidR="00982C2A">
        <w:t xml:space="preserve"> číslo ……</w:t>
      </w:r>
      <w:bookmarkStart w:id="0" w:name="_GoBack"/>
      <w:bookmarkEnd w:id="0"/>
    </w:p>
    <w:p w14:paraId="4CED0D97" w14:textId="77777777" w:rsidR="000A5E76" w:rsidRDefault="008333C9" w:rsidP="009A4E11">
      <w:pPr>
        <w:ind w:left="709" w:hanging="709"/>
      </w:pPr>
      <w:r>
        <w:t>3.2</w:t>
      </w:r>
      <w:r>
        <w:tab/>
        <w:t>Odbě</w:t>
      </w:r>
      <w:r w:rsidR="007F7FC1">
        <w:t>ratel je povinen uhradit fakturu</w:t>
      </w:r>
      <w:r>
        <w:t xml:space="preserve"> v zákonem dané lhůtě</w:t>
      </w:r>
      <w:r w:rsidR="000D4C27">
        <w:t xml:space="preserve"> tj. </w:t>
      </w:r>
      <w:r w:rsidR="0060702D">
        <w:t>14</w:t>
      </w:r>
      <w:r w:rsidR="000D4C27">
        <w:t xml:space="preserve"> dnů </w:t>
      </w:r>
      <w:r w:rsidR="00F56EBE">
        <w:t xml:space="preserve">ode </w:t>
      </w:r>
      <w:r w:rsidR="000D4C27">
        <w:t>d</w:t>
      </w:r>
      <w:r w:rsidR="007D4C9C">
        <w:t>n</w:t>
      </w:r>
      <w:r w:rsidR="000D4C27">
        <w:t xml:space="preserve">e </w:t>
      </w:r>
      <w:r w:rsidR="00F56EBE">
        <w:t>doručení</w:t>
      </w:r>
      <w:r>
        <w:t>.</w:t>
      </w:r>
      <w:r w:rsidR="009A4E11">
        <w:t xml:space="preserve"> Při nedodržení termínu plateb bude účtována odběrateli pokuta ve výši 0,</w:t>
      </w:r>
      <w:r w:rsidR="00A81A35">
        <w:t>05</w:t>
      </w:r>
      <w:r w:rsidR="000D4C27">
        <w:t>% denně z částky</w:t>
      </w:r>
      <w:r w:rsidR="009A4E11">
        <w:t>, se kterou bude odběratel v prodlení.</w:t>
      </w:r>
    </w:p>
    <w:p w14:paraId="3D2F33C5" w14:textId="77777777" w:rsidR="00B937E0" w:rsidRDefault="00B937E0" w:rsidP="009A4E11">
      <w:pPr>
        <w:ind w:left="709" w:hanging="709"/>
      </w:pPr>
    </w:p>
    <w:p w14:paraId="56E1E535" w14:textId="77777777" w:rsidR="00B937E0" w:rsidRDefault="00B937E0" w:rsidP="009A4E11">
      <w:pPr>
        <w:ind w:left="709" w:hanging="709"/>
      </w:pPr>
    </w:p>
    <w:p w14:paraId="3322F786" w14:textId="77777777" w:rsidR="0060702D" w:rsidRPr="00ED60DB" w:rsidRDefault="0060702D" w:rsidP="0060702D">
      <w:pPr>
        <w:ind w:left="709" w:hanging="709"/>
        <w:rPr>
          <w:b/>
        </w:rPr>
      </w:pPr>
      <w:r>
        <w:rPr>
          <w:b/>
        </w:rPr>
        <w:t>4</w:t>
      </w:r>
      <w:r w:rsidRPr="00ED60DB">
        <w:rPr>
          <w:b/>
        </w:rPr>
        <w:tab/>
      </w:r>
      <w:r w:rsidR="00B937E0">
        <w:rPr>
          <w:b/>
        </w:rPr>
        <w:t>Ochrana důvěrných skutečností</w:t>
      </w:r>
    </w:p>
    <w:p w14:paraId="5F7E9E47" w14:textId="77777777" w:rsidR="008333C9" w:rsidRDefault="0060702D" w:rsidP="009A4E11">
      <w:pPr>
        <w:ind w:left="709" w:hanging="709"/>
      </w:pPr>
      <w:r>
        <w:t>4.1</w:t>
      </w:r>
      <w:r>
        <w:tab/>
      </w:r>
      <w:r w:rsidR="00B937E0">
        <w:t>Smluvní strany se zavazují, že budou zachovávat mlčenlivost o všech důvěrných informacích druhé smluvní strany, o který</w:t>
      </w:r>
      <w:r w:rsidR="00F56EBE">
        <w:t>ch</w:t>
      </w:r>
      <w:r w:rsidR="00B937E0">
        <w:t xml:space="preserve"> se dozví v souvislosti s plněním této smlouvy, a bez písemného so</w:t>
      </w:r>
      <w:r w:rsidR="00DF3662">
        <w:t>u</w:t>
      </w:r>
      <w:r w:rsidR="00B937E0">
        <w:t>hlasu druhé smluvní strany je nebudou sdělovat žádným třetím osobám. Za porušení závazku důvěrnosti informací podle této smlouvy nebude považováno zveřejnění d</w:t>
      </w:r>
      <w:r w:rsidR="00F56EBE">
        <w:t>ů</w:t>
      </w:r>
      <w:r w:rsidR="00B937E0">
        <w:t>věrných informací jakékoliv ze smluvních stran, ke kterému dojde na základě zákona, soudního, správního či jiného obdobného rozhodnutí. Povinnosti uvedené v tomto článku smlouvy platí i po ukončení této smlouvy.</w:t>
      </w:r>
    </w:p>
    <w:p w14:paraId="178AF864" w14:textId="77777777" w:rsidR="0060702D" w:rsidRDefault="0060702D" w:rsidP="009A4E11">
      <w:pPr>
        <w:ind w:left="709" w:hanging="709"/>
      </w:pPr>
    </w:p>
    <w:p w14:paraId="4967CBB3" w14:textId="77777777" w:rsidR="00B937E0" w:rsidRDefault="00B937E0" w:rsidP="009A4E11">
      <w:pPr>
        <w:ind w:left="709" w:hanging="709"/>
      </w:pPr>
    </w:p>
    <w:p w14:paraId="2DFE74C9" w14:textId="77777777" w:rsidR="00ED60DB" w:rsidRPr="00ED60DB" w:rsidRDefault="0060702D" w:rsidP="009A4E11">
      <w:pPr>
        <w:ind w:left="709" w:hanging="709"/>
        <w:rPr>
          <w:b/>
        </w:rPr>
      </w:pPr>
      <w:r>
        <w:rPr>
          <w:b/>
        </w:rPr>
        <w:t>5</w:t>
      </w:r>
      <w:r w:rsidR="00ED60DB" w:rsidRPr="00ED60DB">
        <w:rPr>
          <w:b/>
        </w:rPr>
        <w:tab/>
        <w:t>Odstoupení od smlouvy</w:t>
      </w:r>
    </w:p>
    <w:p w14:paraId="15D305EF" w14:textId="77777777" w:rsidR="00ED60DB" w:rsidRDefault="0060702D" w:rsidP="009A4E11">
      <w:pPr>
        <w:ind w:left="709" w:hanging="709"/>
      </w:pPr>
      <w:r>
        <w:t>5</w:t>
      </w:r>
      <w:r w:rsidR="00ED60DB">
        <w:t>.1</w:t>
      </w:r>
      <w:r w:rsidR="00ED60DB">
        <w:tab/>
        <w:t>Odběratel může smlouvu kdykoliv vypovědět. Výpověď je účinná po uplynu</w:t>
      </w:r>
      <w:r w:rsidR="00A23AB8">
        <w:t xml:space="preserve">tí výpovědní lhůty, která činí dva </w:t>
      </w:r>
      <w:r w:rsidR="00ED60DB">
        <w:t xml:space="preserve">měsíce a počíná běžet od prvého dne měsíce následujícího po doručení výpovědi dodavateli, nedohodnou-li se zúčastněné strany jinak. Odběratel je oprávněn od smlouvy odstoupit zejména, dojde-li k porušení podmínek podle této smlouvy. </w:t>
      </w:r>
    </w:p>
    <w:p w14:paraId="5B975D2B" w14:textId="77777777" w:rsidR="00ED60DB" w:rsidRDefault="0060702D" w:rsidP="009A4E11">
      <w:pPr>
        <w:ind w:left="709" w:hanging="709"/>
      </w:pPr>
      <w:r>
        <w:t>5</w:t>
      </w:r>
      <w:r w:rsidR="00ED60DB">
        <w:t>.2</w:t>
      </w:r>
      <w:r w:rsidR="00ED60DB">
        <w:tab/>
        <w:t xml:space="preserve">Dodavatel je oprávněn od smlouvy odstoupit zejména, dojde-li k porušení podmínek podle této smlouvy. </w:t>
      </w:r>
    </w:p>
    <w:p w14:paraId="58DE0F10" w14:textId="77777777" w:rsidR="007A1F51" w:rsidRDefault="007A1F51" w:rsidP="009A4E11">
      <w:pPr>
        <w:ind w:left="709" w:hanging="709"/>
      </w:pPr>
    </w:p>
    <w:p w14:paraId="59F4CDD9" w14:textId="77777777" w:rsidR="00B937E0" w:rsidRDefault="00B937E0" w:rsidP="009A4E11">
      <w:pPr>
        <w:ind w:left="709" w:hanging="709"/>
      </w:pPr>
    </w:p>
    <w:p w14:paraId="1F89F366" w14:textId="77777777" w:rsidR="00ED60DB" w:rsidRPr="00ED60DB" w:rsidRDefault="0060702D" w:rsidP="009A4E11">
      <w:pPr>
        <w:ind w:left="709" w:hanging="709"/>
        <w:rPr>
          <w:b/>
        </w:rPr>
      </w:pPr>
      <w:r>
        <w:rPr>
          <w:b/>
        </w:rPr>
        <w:lastRenderedPageBreak/>
        <w:t>6</w:t>
      </w:r>
      <w:r w:rsidR="00ED60DB" w:rsidRPr="00ED60DB">
        <w:rPr>
          <w:b/>
        </w:rPr>
        <w:tab/>
        <w:t>Závěrečná ustanovení</w:t>
      </w:r>
    </w:p>
    <w:p w14:paraId="0A4B434F" w14:textId="77777777" w:rsidR="00ED60DB" w:rsidRDefault="0060702D" w:rsidP="009A4E11">
      <w:pPr>
        <w:ind w:left="709" w:hanging="709"/>
      </w:pPr>
      <w:r>
        <w:t>6</w:t>
      </w:r>
      <w:r w:rsidR="00ED60DB">
        <w:t>.</w:t>
      </w:r>
      <w:r w:rsidR="00FB306E">
        <w:t>1</w:t>
      </w:r>
      <w:r w:rsidR="00ED60DB">
        <w:tab/>
        <w:t>Smlouva nabývá platnosti a účinnosti dnem podpisu účastníků.</w:t>
      </w:r>
    </w:p>
    <w:p w14:paraId="0461EA78" w14:textId="77777777" w:rsidR="00ED60DB" w:rsidRDefault="0060702D" w:rsidP="009A4E11">
      <w:pPr>
        <w:ind w:left="709" w:hanging="709"/>
      </w:pPr>
      <w:r>
        <w:t>6</w:t>
      </w:r>
      <w:r w:rsidR="00FB306E">
        <w:t>.2</w:t>
      </w:r>
      <w:r w:rsidR="00ED60DB">
        <w:tab/>
        <w:t>Vztahy mezi smluvními stranami touto smlouvou neupravené se řídí obecně závaznými právními předpisy, zejména obchodním zákoníkem v platném znění.</w:t>
      </w:r>
    </w:p>
    <w:p w14:paraId="3B6CBCFC" w14:textId="4ED9610E" w:rsidR="00F56EBE" w:rsidRDefault="0060702D" w:rsidP="009A4E11">
      <w:pPr>
        <w:ind w:left="709" w:hanging="709"/>
      </w:pPr>
      <w:r>
        <w:t>6</w:t>
      </w:r>
      <w:r w:rsidR="00FB306E">
        <w:t>.3</w:t>
      </w:r>
      <w:r w:rsidR="00ED60DB">
        <w:tab/>
        <w:t xml:space="preserve">Místem plnění této smlouvy je sídlo </w:t>
      </w:r>
      <w:r w:rsidR="00BA192D">
        <w:t>Pod Táborem 17/4 Praha 9, Učňovská 100/1, Praha 9, Jungmannova 35/29, Praha 1</w:t>
      </w:r>
      <w:r w:rsidR="00F56EBE">
        <w:t>.</w:t>
      </w:r>
    </w:p>
    <w:p w14:paraId="559ADCA6" w14:textId="77777777" w:rsidR="00ED60DB" w:rsidRDefault="0060702D" w:rsidP="009A4E11">
      <w:pPr>
        <w:ind w:left="709" w:hanging="709"/>
      </w:pPr>
      <w:r>
        <w:t>6</w:t>
      </w:r>
      <w:r w:rsidR="00FB306E">
        <w:t>.4</w:t>
      </w:r>
      <w:r w:rsidR="00ED60DB">
        <w:tab/>
        <w:t>Tato smlouva je vypracována ve dvou exemplářích stejné právní síly, z nichž každá strana obdrží jedno vyhotovení.</w:t>
      </w:r>
    </w:p>
    <w:p w14:paraId="310FA2A0" w14:textId="6DD5EAE9" w:rsidR="00ED60DB" w:rsidRDefault="0060702D" w:rsidP="009A4E11">
      <w:pPr>
        <w:ind w:left="709" w:hanging="709"/>
      </w:pPr>
      <w:r>
        <w:t>6</w:t>
      </w:r>
      <w:r w:rsidR="00FB306E">
        <w:t>.5</w:t>
      </w:r>
      <w:r w:rsidR="00ED60DB">
        <w:tab/>
        <w:t>Jakoukoliv změnu týkající se této smlouvy lze provézt pouze na základě oboustranně odsouhlaseného a podpisem stvrzeného písemného dodatku.</w:t>
      </w:r>
    </w:p>
    <w:p w14:paraId="6C7E27AC" w14:textId="492CD4A5" w:rsidR="00044484" w:rsidRPr="00F27F55" w:rsidRDefault="00044484" w:rsidP="00044484">
      <w:pPr>
        <w:spacing w:before="120"/>
        <w:jc w:val="both"/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6.6</w:t>
      </w:r>
      <w:proofErr w:type="gramEnd"/>
      <w:r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ab/>
      </w:r>
      <w:r w:rsidRPr="000B4FD6">
        <w:rPr>
          <w:iCs/>
          <w:sz w:val="24"/>
          <w:szCs w:val="24"/>
        </w:rPr>
        <w:t xml:space="preserve">Smluvní strany shodně konstatují, že tato smlouva podléhá režimu zákona č. 340/2015 Sb. </w:t>
      </w:r>
      <w:r>
        <w:rPr>
          <w:iCs/>
          <w:sz w:val="24"/>
          <w:szCs w:val="24"/>
        </w:rPr>
        <w:tab/>
      </w:r>
      <w:r w:rsidRPr="000B4FD6">
        <w:rPr>
          <w:iCs/>
          <w:sz w:val="24"/>
          <w:szCs w:val="24"/>
        </w:rPr>
        <w:t xml:space="preserve">o zvláštních podmínkách účinnosti některých smluv, uveřejňování těchto smluv a o registru </w:t>
      </w:r>
      <w:r>
        <w:rPr>
          <w:iCs/>
          <w:sz w:val="24"/>
          <w:szCs w:val="24"/>
        </w:rPr>
        <w:tab/>
      </w:r>
      <w:r w:rsidRPr="000B4FD6">
        <w:rPr>
          <w:iCs/>
          <w:sz w:val="24"/>
          <w:szCs w:val="24"/>
        </w:rPr>
        <w:t xml:space="preserve">smluv (zákon o registru smluv). Zveřejnění této smlouvy v registru smluv provede Střední </w:t>
      </w:r>
      <w:r>
        <w:rPr>
          <w:iCs/>
          <w:sz w:val="24"/>
          <w:szCs w:val="24"/>
        </w:rPr>
        <w:tab/>
      </w:r>
      <w:r w:rsidRPr="000B4FD6">
        <w:rPr>
          <w:iCs/>
          <w:sz w:val="24"/>
          <w:szCs w:val="24"/>
        </w:rPr>
        <w:t xml:space="preserve">odborná škola </w:t>
      </w:r>
      <w:r>
        <w:rPr>
          <w:iCs/>
          <w:sz w:val="24"/>
          <w:szCs w:val="24"/>
        </w:rPr>
        <w:t>Jarov</w:t>
      </w:r>
      <w:r w:rsidRPr="000B4FD6">
        <w:rPr>
          <w:iCs/>
          <w:sz w:val="24"/>
          <w:szCs w:val="24"/>
        </w:rPr>
        <w:t>, IČ 00300268.</w:t>
      </w:r>
    </w:p>
    <w:p w14:paraId="42A1E43B" w14:textId="77777777" w:rsidR="00044484" w:rsidRDefault="00044484" w:rsidP="009A4E11">
      <w:pPr>
        <w:ind w:left="709" w:hanging="709"/>
      </w:pPr>
    </w:p>
    <w:p w14:paraId="3FDE9131" w14:textId="77777777" w:rsidR="00ED60DB" w:rsidRDefault="00ED60DB" w:rsidP="009A4E11">
      <w:pPr>
        <w:ind w:left="709" w:hanging="709"/>
      </w:pPr>
    </w:p>
    <w:p w14:paraId="5874E010" w14:textId="77777777" w:rsidR="00B937E0" w:rsidRDefault="00B937E0" w:rsidP="009A4E11">
      <w:pPr>
        <w:ind w:left="709" w:hanging="709"/>
      </w:pPr>
    </w:p>
    <w:p w14:paraId="16C4A8CC" w14:textId="77777777" w:rsidR="00ED60DB" w:rsidRPr="00ED60DB" w:rsidRDefault="0060702D" w:rsidP="009A4E11">
      <w:pPr>
        <w:ind w:left="709" w:hanging="709"/>
        <w:rPr>
          <w:b/>
        </w:rPr>
      </w:pPr>
      <w:r>
        <w:rPr>
          <w:b/>
        </w:rPr>
        <w:t>7</w:t>
      </w:r>
      <w:r w:rsidR="00ED60DB" w:rsidRPr="00ED60DB">
        <w:rPr>
          <w:b/>
        </w:rPr>
        <w:tab/>
        <w:t>Podpisy smluvních stran</w:t>
      </w:r>
    </w:p>
    <w:p w14:paraId="118C4B91" w14:textId="77777777" w:rsidR="00ED60DB" w:rsidRDefault="0060702D" w:rsidP="009A4E11">
      <w:pPr>
        <w:ind w:left="709" w:hanging="709"/>
      </w:pPr>
      <w:r>
        <w:t>7</w:t>
      </w:r>
      <w:r w:rsidR="00ED60DB">
        <w:t>.1</w:t>
      </w:r>
      <w:r w:rsidR="00ED60DB">
        <w:tab/>
        <w:t>Smluvní strany prohlašují, že si tuto smlouvu před jejím podpisem přečetly, že byla uzavřena po vzájemném projednání a z jejich výslovné, vážné a svobodné vůle, nikoli v tísni či za nevýhodných podmínek. Autentičnost této smlouvy potvrzují smluvní strany svými podpisy.</w:t>
      </w:r>
    </w:p>
    <w:p w14:paraId="4E3BA8A8" w14:textId="77777777" w:rsidR="00ED60DB" w:rsidRDefault="00ED60DB" w:rsidP="009A4E11">
      <w:pPr>
        <w:ind w:left="709" w:hanging="709"/>
      </w:pPr>
    </w:p>
    <w:p w14:paraId="61C20A99" w14:textId="77777777" w:rsidR="007A1F51" w:rsidRDefault="007A1F51" w:rsidP="009A4E11">
      <w:pPr>
        <w:ind w:left="709" w:hanging="709"/>
      </w:pPr>
    </w:p>
    <w:p w14:paraId="6C1D7A0E" w14:textId="6DB0754B" w:rsidR="0060702D" w:rsidRPr="00044484" w:rsidRDefault="00044484" w:rsidP="009A4E11">
      <w:pPr>
        <w:ind w:left="709" w:hanging="709"/>
      </w:pPr>
      <w:r>
        <w:t xml:space="preserve">V Praze, dne </w:t>
      </w:r>
      <w:proofErr w:type="gramStart"/>
      <w:r>
        <w:t>30.5.2022</w:t>
      </w:r>
      <w:proofErr w:type="gramEnd"/>
      <w:r w:rsidR="0060702D">
        <w:tab/>
      </w:r>
      <w:r w:rsidR="0060702D">
        <w:tab/>
      </w:r>
      <w:r w:rsidR="0060702D">
        <w:tab/>
      </w:r>
      <w:r w:rsidR="0060702D">
        <w:tab/>
      </w:r>
      <w:r w:rsidR="00473F04">
        <w:tab/>
        <w:t>V</w:t>
      </w:r>
      <w:r w:rsidR="00595CB7">
        <w:t xml:space="preserve"> Praze</w:t>
      </w:r>
      <w:r w:rsidR="0060702D">
        <w:t>, dne</w:t>
      </w:r>
      <w:r w:rsidR="00595CB7">
        <w:t xml:space="preserve"> </w:t>
      </w:r>
      <w:r w:rsidRPr="00044484">
        <w:t>30.5.2022</w:t>
      </w:r>
    </w:p>
    <w:p w14:paraId="41E04932" w14:textId="77777777" w:rsidR="00ED60DB" w:rsidRDefault="0060702D" w:rsidP="009A4E11">
      <w:pPr>
        <w:ind w:left="709" w:hanging="709"/>
      </w:pPr>
      <w:r>
        <w:tab/>
      </w:r>
      <w:r>
        <w:tab/>
      </w:r>
    </w:p>
    <w:p w14:paraId="5464E266" w14:textId="77777777" w:rsidR="007A1F51" w:rsidRDefault="007A1F51" w:rsidP="009A4E11">
      <w:pPr>
        <w:ind w:left="709" w:hanging="709"/>
      </w:pPr>
    </w:p>
    <w:p w14:paraId="3D4E37B9" w14:textId="77777777" w:rsidR="00ED60DB" w:rsidRDefault="00ED60DB" w:rsidP="009A4E11">
      <w:pPr>
        <w:ind w:left="709" w:hanging="709"/>
      </w:pPr>
      <w:r>
        <w:t>…………………………</w:t>
      </w:r>
      <w:r>
        <w:tab/>
      </w:r>
      <w:r>
        <w:tab/>
      </w:r>
      <w:r>
        <w:tab/>
      </w:r>
      <w:r>
        <w:tab/>
      </w:r>
      <w:r w:rsidR="008333C9">
        <w:tab/>
      </w:r>
      <w:r>
        <w:t>…………………………</w:t>
      </w:r>
    </w:p>
    <w:p w14:paraId="7CBC97C9" w14:textId="77777777" w:rsidR="00ED60DB" w:rsidRDefault="00ED60DB" w:rsidP="00A81A35">
      <w:pPr>
        <w:ind w:left="709" w:hanging="709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sectPr w:rsidR="00ED60DB" w:rsidSect="00B519AD">
      <w:headerReference w:type="default" r:id="rId8"/>
      <w:footerReference w:type="default" r:id="rId9"/>
      <w:pgSz w:w="11906" w:h="16838"/>
      <w:pgMar w:top="1985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0199" w14:textId="77777777" w:rsidR="00816D29" w:rsidRDefault="00816D29" w:rsidP="00960B04">
      <w:pPr>
        <w:spacing w:line="240" w:lineRule="auto"/>
      </w:pPr>
      <w:r>
        <w:separator/>
      </w:r>
    </w:p>
  </w:endnote>
  <w:endnote w:type="continuationSeparator" w:id="0">
    <w:p w14:paraId="38A2B791" w14:textId="77777777" w:rsidR="00816D29" w:rsidRDefault="00816D29" w:rsidP="00960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4A54" w14:textId="08208323" w:rsidR="00F56EBE" w:rsidRDefault="00F56EBE" w:rsidP="00DF06EC">
    <w:pPr>
      <w:pStyle w:val="Zpat"/>
      <w:tabs>
        <w:tab w:val="clear" w:pos="4536"/>
        <w:tab w:val="clear" w:pos="9072"/>
        <w:tab w:val="left" w:pos="3495"/>
        <w:tab w:val="center" w:pos="4607"/>
      </w:tabs>
    </w:pPr>
    <w:r>
      <w:tab/>
    </w:r>
    <w:r w:rsidR="003017A6">
      <w:rPr>
        <w:noProof/>
        <w:lang w:eastAsia="cs-CZ"/>
      </w:rPr>
      <w:drawing>
        <wp:inline distT="0" distB="0" distL="0" distR="0" wp14:anchorId="62537A21" wp14:editId="37812878">
          <wp:extent cx="5848350" cy="180975"/>
          <wp:effectExtent l="0" t="0" r="0" b="9525"/>
          <wp:docPr id="2" name="obrázek 2" descr="Paticka_GSoftSociety_20170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icka_GSoftSociety_201703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FA5D" w14:textId="77777777" w:rsidR="00816D29" w:rsidRDefault="00816D29" w:rsidP="00960B04">
      <w:pPr>
        <w:spacing w:line="240" w:lineRule="auto"/>
      </w:pPr>
      <w:r>
        <w:separator/>
      </w:r>
    </w:p>
  </w:footnote>
  <w:footnote w:type="continuationSeparator" w:id="0">
    <w:p w14:paraId="266E4641" w14:textId="77777777" w:rsidR="00816D29" w:rsidRDefault="00816D29" w:rsidP="00960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8A658" w14:textId="77777777" w:rsidR="00F56EBE" w:rsidRPr="00960B04" w:rsidRDefault="00F56EBE" w:rsidP="00F651C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B35B73F" wp14:editId="16C3C966">
          <wp:extent cx="5845810" cy="533400"/>
          <wp:effectExtent l="1905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800"/>
    <w:multiLevelType w:val="hybridMultilevel"/>
    <w:tmpl w:val="70504D74"/>
    <w:lvl w:ilvl="0" w:tplc="E382A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7A0"/>
    <w:multiLevelType w:val="hybridMultilevel"/>
    <w:tmpl w:val="65D4D6A6"/>
    <w:lvl w:ilvl="0" w:tplc="C22A6F1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40CFF"/>
    <w:multiLevelType w:val="hybridMultilevel"/>
    <w:tmpl w:val="2C145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3E"/>
    <w:rsid w:val="00003178"/>
    <w:rsid w:val="000137DA"/>
    <w:rsid w:val="00014167"/>
    <w:rsid w:val="00016645"/>
    <w:rsid w:val="00021503"/>
    <w:rsid w:val="00022ADF"/>
    <w:rsid w:val="000417D4"/>
    <w:rsid w:val="00044484"/>
    <w:rsid w:val="00054E4C"/>
    <w:rsid w:val="00072BAC"/>
    <w:rsid w:val="000A5E76"/>
    <w:rsid w:val="000B013E"/>
    <w:rsid w:val="000C5536"/>
    <w:rsid w:val="000C659B"/>
    <w:rsid w:val="000C6735"/>
    <w:rsid w:val="000D4C27"/>
    <w:rsid w:val="000D6D7D"/>
    <w:rsid w:val="000E305F"/>
    <w:rsid w:val="001218B2"/>
    <w:rsid w:val="00140E05"/>
    <w:rsid w:val="0015407B"/>
    <w:rsid w:val="001760BC"/>
    <w:rsid w:val="0018101B"/>
    <w:rsid w:val="00185B5F"/>
    <w:rsid w:val="00191605"/>
    <w:rsid w:val="00192E90"/>
    <w:rsid w:val="001C0B55"/>
    <w:rsid w:val="0020323E"/>
    <w:rsid w:val="00207C84"/>
    <w:rsid w:val="0023665E"/>
    <w:rsid w:val="00262521"/>
    <w:rsid w:val="002671A7"/>
    <w:rsid w:val="002A0585"/>
    <w:rsid w:val="002E7292"/>
    <w:rsid w:val="002F1539"/>
    <w:rsid w:val="003017A6"/>
    <w:rsid w:val="00332E2F"/>
    <w:rsid w:val="00364259"/>
    <w:rsid w:val="00364EA2"/>
    <w:rsid w:val="00377B46"/>
    <w:rsid w:val="00381372"/>
    <w:rsid w:val="00386B56"/>
    <w:rsid w:val="003B5E7F"/>
    <w:rsid w:val="003B7FB2"/>
    <w:rsid w:val="003C1FBE"/>
    <w:rsid w:val="003E089C"/>
    <w:rsid w:val="003E48D4"/>
    <w:rsid w:val="0042491F"/>
    <w:rsid w:val="00426CF7"/>
    <w:rsid w:val="004343AF"/>
    <w:rsid w:val="00441828"/>
    <w:rsid w:val="004437C8"/>
    <w:rsid w:val="00473F04"/>
    <w:rsid w:val="004B0408"/>
    <w:rsid w:val="004B050F"/>
    <w:rsid w:val="004F2AD1"/>
    <w:rsid w:val="004F5113"/>
    <w:rsid w:val="00500CF1"/>
    <w:rsid w:val="00501CD1"/>
    <w:rsid w:val="005130C3"/>
    <w:rsid w:val="00546D77"/>
    <w:rsid w:val="00557395"/>
    <w:rsid w:val="0056172C"/>
    <w:rsid w:val="00572471"/>
    <w:rsid w:val="005738F7"/>
    <w:rsid w:val="00595CB7"/>
    <w:rsid w:val="005960B3"/>
    <w:rsid w:val="005B0FF6"/>
    <w:rsid w:val="005D473C"/>
    <w:rsid w:val="005D762A"/>
    <w:rsid w:val="005E18E3"/>
    <w:rsid w:val="005E5FBE"/>
    <w:rsid w:val="005F6FE7"/>
    <w:rsid w:val="0060118C"/>
    <w:rsid w:val="00601696"/>
    <w:rsid w:val="0060702D"/>
    <w:rsid w:val="0064056F"/>
    <w:rsid w:val="00657AE5"/>
    <w:rsid w:val="00671FA9"/>
    <w:rsid w:val="00683DB7"/>
    <w:rsid w:val="00684556"/>
    <w:rsid w:val="006C3083"/>
    <w:rsid w:val="006D4A33"/>
    <w:rsid w:val="006E024B"/>
    <w:rsid w:val="006E1805"/>
    <w:rsid w:val="006F2749"/>
    <w:rsid w:val="007034BD"/>
    <w:rsid w:val="007078F7"/>
    <w:rsid w:val="00710691"/>
    <w:rsid w:val="007134D8"/>
    <w:rsid w:val="0073601F"/>
    <w:rsid w:val="0076187C"/>
    <w:rsid w:val="00786DB1"/>
    <w:rsid w:val="007A1F51"/>
    <w:rsid w:val="007D4C9C"/>
    <w:rsid w:val="007F7FC1"/>
    <w:rsid w:val="00811524"/>
    <w:rsid w:val="00816D29"/>
    <w:rsid w:val="008264A8"/>
    <w:rsid w:val="008333C9"/>
    <w:rsid w:val="00872C56"/>
    <w:rsid w:val="00883A0F"/>
    <w:rsid w:val="008B4871"/>
    <w:rsid w:val="008C764A"/>
    <w:rsid w:val="008D2CD3"/>
    <w:rsid w:val="00900CE4"/>
    <w:rsid w:val="009165AF"/>
    <w:rsid w:val="0091732F"/>
    <w:rsid w:val="00932F6D"/>
    <w:rsid w:val="00960B04"/>
    <w:rsid w:val="00974D33"/>
    <w:rsid w:val="00982C2A"/>
    <w:rsid w:val="009A4E11"/>
    <w:rsid w:val="009D1AFE"/>
    <w:rsid w:val="009F0FB1"/>
    <w:rsid w:val="00A23AB8"/>
    <w:rsid w:val="00A715D6"/>
    <w:rsid w:val="00A736A3"/>
    <w:rsid w:val="00A81A35"/>
    <w:rsid w:val="00A926E7"/>
    <w:rsid w:val="00A93542"/>
    <w:rsid w:val="00AA110B"/>
    <w:rsid w:val="00AA6CF7"/>
    <w:rsid w:val="00AB3D19"/>
    <w:rsid w:val="00AC3E0B"/>
    <w:rsid w:val="00AE76A4"/>
    <w:rsid w:val="00B140FE"/>
    <w:rsid w:val="00B15123"/>
    <w:rsid w:val="00B519AD"/>
    <w:rsid w:val="00B57CDF"/>
    <w:rsid w:val="00B937E0"/>
    <w:rsid w:val="00B9601D"/>
    <w:rsid w:val="00BA192D"/>
    <w:rsid w:val="00BD50E0"/>
    <w:rsid w:val="00BF6985"/>
    <w:rsid w:val="00C10C85"/>
    <w:rsid w:val="00C15419"/>
    <w:rsid w:val="00C2272F"/>
    <w:rsid w:val="00CB1028"/>
    <w:rsid w:val="00CD6056"/>
    <w:rsid w:val="00D56909"/>
    <w:rsid w:val="00D574DE"/>
    <w:rsid w:val="00D71303"/>
    <w:rsid w:val="00D77F27"/>
    <w:rsid w:val="00D90A50"/>
    <w:rsid w:val="00D97FE4"/>
    <w:rsid w:val="00DB1132"/>
    <w:rsid w:val="00DB2201"/>
    <w:rsid w:val="00DF06EC"/>
    <w:rsid w:val="00DF3662"/>
    <w:rsid w:val="00E0207C"/>
    <w:rsid w:val="00E123D7"/>
    <w:rsid w:val="00E410DA"/>
    <w:rsid w:val="00E4794C"/>
    <w:rsid w:val="00E47B63"/>
    <w:rsid w:val="00E56256"/>
    <w:rsid w:val="00EB0EDD"/>
    <w:rsid w:val="00ED60DB"/>
    <w:rsid w:val="00EE4E57"/>
    <w:rsid w:val="00F047BA"/>
    <w:rsid w:val="00F34A81"/>
    <w:rsid w:val="00F5526C"/>
    <w:rsid w:val="00F56EBE"/>
    <w:rsid w:val="00F651CD"/>
    <w:rsid w:val="00F721BC"/>
    <w:rsid w:val="00F81BE4"/>
    <w:rsid w:val="00F84A4D"/>
    <w:rsid w:val="00F86AD0"/>
    <w:rsid w:val="00FB306E"/>
    <w:rsid w:val="00FB34C1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58A60"/>
  <w15:docId w15:val="{E2BD055A-9BBC-422F-8A6F-6108576D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01B"/>
    <w:pPr>
      <w:spacing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10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10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794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810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1810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437C8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E4794C"/>
    <w:rPr>
      <w:rFonts w:ascii="Cambria" w:eastAsia="Times New Roman" w:hAnsi="Cambria" w:cs="Times New Roman"/>
      <w:b/>
      <w:b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960B0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B04"/>
  </w:style>
  <w:style w:type="paragraph" w:styleId="Zpat">
    <w:name w:val="footer"/>
    <w:basedOn w:val="Normln"/>
    <w:link w:val="ZpatChar"/>
    <w:uiPriority w:val="99"/>
    <w:unhideWhenUsed/>
    <w:rsid w:val="00960B0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B04"/>
  </w:style>
  <w:style w:type="paragraph" w:styleId="Textbubliny">
    <w:name w:val="Balloon Text"/>
    <w:basedOn w:val="Normln"/>
    <w:link w:val="TextbublinyChar"/>
    <w:uiPriority w:val="99"/>
    <w:semiHidden/>
    <w:unhideWhenUsed/>
    <w:rsid w:val="00960B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B0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7B"/>
    <w:rPr>
      <w:color w:val="0000FF"/>
      <w:u w:val="single"/>
    </w:rPr>
  </w:style>
  <w:style w:type="table" w:styleId="Mkatabulky">
    <w:name w:val="Table Grid"/>
    <w:basedOn w:val="Normlntabulka"/>
    <w:uiPriority w:val="59"/>
    <w:rsid w:val="000B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D90A5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36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6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6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65E"/>
    <w:rPr>
      <w:b/>
      <w:bCs/>
      <w:lang w:eastAsia="en-US"/>
    </w:rPr>
  </w:style>
  <w:style w:type="paragraph" w:styleId="Revize">
    <w:name w:val="Revision"/>
    <w:hidden/>
    <w:uiPriority w:val="99"/>
    <w:semiHidden/>
    <w:rsid w:val="002366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riel\Data%20aplikac&#237;\Microsoft\&#352;ablony\GSoft_hlavickovy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5AFE-3637-4759-AB34-9BB83266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GSoft_hlavickovy_papir</Template>
  <TotalTime>3</TotalTime>
  <Pages>1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Gabriel</dc:creator>
  <cp:lastModifiedBy>Jaroslava Krejzová</cp:lastModifiedBy>
  <cp:revision>4</cp:revision>
  <cp:lastPrinted>2022-06-07T15:07:00Z</cp:lastPrinted>
  <dcterms:created xsi:type="dcterms:W3CDTF">2022-06-07T15:08:00Z</dcterms:created>
  <dcterms:modified xsi:type="dcterms:W3CDTF">2022-06-16T09:50:00Z</dcterms:modified>
</cp:coreProperties>
</file>