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0545" w14:textId="06ED112E" w:rsidR="00844AAA" w:rsidRPr="00285FCD" w:rsidRDefault="00C57D77" w:rsidP="00844AAA">
      <w:pPr>
        <w:tabs>
          <w:tab w:val="left" w:pos="1134"/>
        </w:tabs>
        <w:rPr>
          <w:rFonts w:ascii="Arial" w:hAnsi="Arial" w:cs="Arial"/>
          <w:caps/>
        </w:rPr>
      </w:pPr>
      <w:r w:rsidRPr="00285FCD">
        <w:rPr>
          <w:rFonts w:ascii="Arial" w:hAnsi="Arial" w:cs="Arial"/>
        </w:rPr>
        <w:t>Č. smlouvy MZe</w:t>
      </w:r>
      <w:r w:rsidR="00500ED2" w:rsidRPr="00285FCD">
        <w:rPr>
          <w:rFonts w:ascii="Arial" w:hAnsi="Arial" w:cs="Arial"/>
        </w:rPr>
        <w:t>:</w:t>
      </w:r>
      <w:r w:rsidRPr="00285FCD">
        <w:rPr>
          <w:rFonts w:ascii="Arial" w:hAnsi="Arial" w:cs="Arial"/>
          <w:caps/>
        </w:rPr>
        <w:tab/>
      </w:r>
      <w:r w:rsidR="00483C44">
        <w:rPr>
          <w:rFonts w:ascii="Arial" w:hAnsi="Arial" w:cs="Arial"/>
          <w:caps/>
        </w:rPr>
        <w:t>322</w:t>
      </w:r>
      <w:r w:rsidR="008F630F">
        <w:rPr>
          <w:rFonts w:ascii="Arial" w:hAnsi="Arial" w:cs="Arial"/>
          <w:caps/>
        </w:rPr>
        <w:t>-202</w:t>
      </w:r>
      <w:r w:rsidR="00D75879">
        <w:rPr>
          <w:rFonts w:ascii="Arial" w:hAnsi="Arial" w:cs="Arial"/>
          <w:caps/>
        </w:rPr>
        <w:t>2</w:t>
      </w:r>
      <w:r w:rsidR="008F630F">
        <w:rPr>
          <w:rFonts w:ascii="Arial" w:hAnsi="Arial" w:cs="Arial"/>
          <w:caps/>
        </w:rPr>
        <w:t>-18111</w:t>
      </w:r>
      <w:r w:rsidR="00DD2146" w:rsidRPr="00285FCD">
        <w:rPr>
          <w:rFonts w:ascii="Arial" w:hAnsi="Arial" w:cs="Arial"/>
          <w:caps/>
        </w:rPr>
        <w:tab/>
      </w:r>
      <w:r w:rsidR="00844AAA">
        <w:rPr>
          <w:rFonts w:ascii="Arial" w:hAnsi="Arial" w:cs="Arial"/>
          <w:caps/>
        </w:rPr>
        <w:tab/>
      </w:r>
      <w:r w:rsidR="00844AAA">
        <w:rPr>
          <w:rFonts w:ascii="Arial" w:hAnsi="Arial" w:cs="Arial"/>
          <w:caps/>
        </w:rPr>
        <w:tab/>
      </w:r>
      <w:r w:rsidR="00844AAA">
        <w:rPr>
          <w:rFonts w:ascii="Arial" w:hAnsi="Arial" w:cs="Arial"/>
        </w:rPr>
        <w:t xml:space="preserve">Č. j. </w:t>
      </w:r>
      <w:r w:rsidR="00483C44">
        <w:rPr>
          <w:rFonts w:ascii="Arial" w:hAnsi="Arial" w:cs="Arial"/>
        </w:rPr>
        <w:t>21552</w:t>
      </w:r>
      <w:r w:rsidR="00844AAA">
        <w:rPr>
          <w:rFonts w:ascii="Arial" w:hAnsi="Arial" w:cs="Arial"/>
        </w:rPr>
        <w:t>/202</w:t>
      </w:r>
      <w:r w:rsidR="00D75879">
        <w:rPr>
          <w:rFonts w:ascii="Arial" w:hAnsi="Arial" w:cs="Arial"/>
        </w:rPr>
        <w:t>2</w:t>
      </w:r>
      <w:r w:rsidR="00844AAA">
        <w:rPr>
          <w:rFonts w:ascii="Arial" w:hAnsi="Arial" w:cs="Arial"/>
        </w:rPr>
        <w:t>-MZE-18111</w:t>
      </w:r>
    </w:p>
    <w:p w14:paraId="7CE1AC8A" w14:textId="28EE8DA3" w:rsidR="008F1FA9" w:rsidRPr="00285FCD" w:rsidRDefault="00844AAA" w:rsidP="00DF56F0">
      <w:pPr>
        <w:tabs>
          <w:tab w:val="left" w:pos="1134"/>
        </w:tabs>
        <w:rPr>
          <w:rFonts w:ascii="Arial" w:hAnsi="Arial" w:cs="Arial"/>
          <w:caps/>
        </w:rPr>
      </w:pPr>
      <w:r w:rsidRPr="00285FCD">
        <w:rPr>
          <w:rFonts w:ascii="Arial" w:hAnsi="Arial" w:cs="Arial"/>
        </w:rPr>
        <w:t>Č. smlouvy SZÚ:</w:t>
      </w:r>
      <w:r w:rsidRPr="008F1FA9">
        <w:rPr>
          <w:rFonts w:ascii="Arial" w:hAnsi="Arial" w:cs="Arial"/>
        </w:rPr>
        <w:t xml:space="preserve"> </w:t>
      </w:r>
      <w:r w:rsidR="00D75879">
        <w:rPr>
          <w:rFonts w:ascii="Arial" w:hAnsi="Arial" w:cs="Arial"/>
        </w:rPr>
        <w:t xml:space="preserve"> </w:t>
      </w:r>
      <w:r w:rsidR="00483C44">
        <w:rPr>
          <w:rFonts w:ascii="Arial" w:hAnsi="Arial" w:cs="Arial"/>
        </w:rPr>
        <w:tab/>
      </w:r>
      <w:r w:rsidR="0006486E">
        <w:rPr>
          <w:rFonts w:ascii="Arial" w:hAnsi="Arial" w:cs="Arial"/>
        </w:rPr>
        <w:t>106</w:t>
      </w:r>
      <w:r>
        <w:rPr>
          <w:rFonts w:ascii="Arial" w:hAnsi="Arial" w:cs="Arial"/>
        </w:rPr>
        <w:t>/202</w:t>
      </w:r>
      <w:r w:rsidR="00D75879">
        <w:rPr>
          <w:rFonts w:ascii="Arial" w:hAnsi="Arial" w:cs="Arial"/>
        </w:rPr>
        <w:t>2</w:t>
      </w:r>
    </w:p>
    <w:p w14:paraId="5403137A" w14:textId="77777777" w:rsidR="0063154F" w:rsidRPr="00285FCD" w:rsidRDefault="0063154F" w:rsidP="0063154F">
      <w:pPr>
        <w:pStyle w:val="Nzev"/>
        <w:ind w:left="540"/>
        <w:jc w:val="both"/>
      </w:pPr>
    </w:p>
    <w:p w14:paraId="150F04D1" w14:textId="290E35EA" w:rsidR="0063154F" w:rsidRDefault="0063154F" w:rsidP="0063154F">
      <w:pPr>
        <w:pStyle w:val="Nzev"/>
        <w:ind w:left="540"/>
      </w:pPr>
    </w:p>
    <w:p w14:paraId="21372495" w14:textId="77777777" w:rsidR="00FC3C6E" w:rsidRPr="00285FCD" w:rsidRDefault="00FC3C6E" w:rsidP="0063154F">
      <w:pPr>
        <w:pStyle w:val="Nzev"/>
        <w:ind w:left="540"/>
      </w:pPr>
    </w:p>
    <w:p w14:paraId="7C388310" w14:textId="05F49652"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w:t>
      </w:r>
      <w:r w:rsidR="00EA4DAD">
        <w:rPr>
          <w:i w:val="0"/>
          <w:sz w:val="28"/>
          <w:szCs w:val="28"/>
        </w:rPr>
        <w:t>2</w:t>
      </w:r>
      <w:r w:rsidR="00D75879">
        <w:rPr>
          <w:i w:val="0"/>
          <w:sz w:val="28"/>
          <w:szCs w:val="28"/>
        </w:rPr>
        <w:t>2</w:t>
      </w:r>
    </w:p>
    <w:p w14:paraId="1F090569" w14:textId="77777777" w:rsidR="004C2911" w:rsidRPr="00285FCD" w:rsidRDefault="004C2911" w:rsidP="0063154F">
      <w:pPr>
        <w:pStyle w:val="Nzev"/>
        <w:ind w:left="540"/>
      </w:pPr>
    </w:p>
    <w:p w14:paraId="382145B7" w14:textId="77777777"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14:paraId="6F7C5CA3" w14:textId="13335FDD" w:rsidR="0063154F" w:rsidRDefault="0063154F" w:rsidP="0063154F">
      <w:pPr>
        <w:ind w:left="540"/>
        <w:jc w:val="both"/>
        <w:rPr>
          <w:rFonts w:ascii="Arial" w:hAnsi="Arial" w:cs="Arial"/>
        </w:rPr>
      </w:pPr>
    </w:p>
    <w:p w14:paraId="10FACD48" w14:textId="77777777" w:rsidR="00766E32" w:rsidRPr="00285FCD" w:rsidRDefault="00766E32" w:rsidP="00E20198">
      <w:pPr>
        <w:jc w:val="center"/>
        <w:rPr>
          <w:rFonts w:ascii="Arial" w:hAnsi="Arial" w:cs="Arial"/>
          <w:b/>
        </w:rPr>
      </w:pPr>
    </w:p>
    <w:p w14:paraId="00A20493" w14:textId="77777777" w:rsidR="00E20198" w:rsidRPr="00285FCD" w:rsidRDefault="00E20198" w:rsidP="00E20198">
      <w:pPr>
        <w:jc w:val="center"/>
        <w:rPr>
          <w:rFonts w:ascii="Arial" w:hAnsi="Arial" w:cs="Arial"/>
          <w:b/>
        </w:rPr>
      </w:pPr>
      <w:r w:rsidRPr="00285FCD">
        <w:rPr>
          <w:rFonts w:ascii="Arial" w:hAnsi="Arial" w:cs="Arial"/>
          <w:b/>
        </w:rPr>
        <w:t>Článek I.</w:t>
      </w:r>
    </w:p>
    <w:p w14:paraId="62961E78" w14:textId="77777777" w:rsidR="00E20198" w:rsidRPr="00285FCD" w:rsidRDefault="00E20198" w:rsidP="00E20198">
      <w:pPr>
        <w:jc w:val="center"/>
        <w:rPr>
          <w:rFonts w:ascii="Arial" w:hAnsi="Arial" w:cs="Arial"/>
          <w:b/>
        </w:rPr>
      </w:pPr>
      <w:r w:rsidRPr="00285FCD">
        <w:rPr>
          <w:rFonts w:ascii="Arial" w:hAnsi="Arial" w:cs="Arial"/>
          <w:b/>
        </w:rPr>
        <w:t>Smluvní strany</w:t>
      </w:r>
    </w:p>
    <w:p w14:paraId="341BBBBC" w14:textId="77777777" w:rsidR="00E20198" w:rsidRPr="00285FCD" w:rsidRDefault="00E20198" w:rsidP="00E20198">
      <w:pPr>
        <w:jc w:val="both"/>
        <w:rPr>
          <w:rFonts w:ascii="Arial" w:hAnsi="Arial" w:cs="Arial"/>
        </w:rPr>
      </w:pPr>
    </w:p>
    <w:p w14:paraId="26FDEDF2" w14:textId="77777777"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eská republika</w:t>
      </w:r>
      <w:r w:rsidRPr="00285FCD">
        <w:rPr>
          <w:rFonts w:ascii="Arial" w:hAnsi="Arial" w:cs="Arial"/>
          <w:b/>
        </w:rPr>
        <w:t xml:space="preserve"> - Ministerstvo zemědělství</w:t>
      </w:r>
    </w:p>
    <w:p w14:paraId="769E1DCD"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r>
      <w:proofErr w:type="spellStart"/>
      <w:r w:rsidRPr="00285FCD">
        <w:rPr>
          <w:rFonts w:ascii="Arial" w:hAnsi="Arial" w:cs="Arial"/>
        </w:rPr>
        <w:t>Těšnov</w:t>
      </w:r>
      <w:proofErr w:type="spellEnd"/>
      <w:r w:rsidRPr="00285FCD">
        <w:rPr>
          <w:rFonts w:ascii="Arial" w:hAnsi="Arial" w:cs="Arial"/>
        </w:rPr>
        <w:t xml:space="preserve">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14:paraId="2AEA26DA" w14:textId="2063CCDA"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544525" w:rsidRPr="00544525">
        <w:rPr>
          <w:rFonts w:ascii="Arial" w:hAnsi="Arial" w:cs="Arial"/>
        </w:rPr>
        <w:t>XXXX</w:t>
      </w:r>
    </w:p>
    <w:p w14:paraId="73E149E4" w14:textId="77777777" w:rsidR="00E20198" w:rsidRPr="00285FCD" w:rsidRDefault="008049F6" w:rsidP="00E20198">
      <w:pPr>
        <w:ind w:left="3540"/>
        <w:jc w:val="both"/>
        <w:rPr>
          <w:rFonts w:ascii="Arial" w:hAnsi="Arial" w:cs="Arial"/>
        </w:rPr>
      </w:pPr>
      <w:r>
        <w:rPr>
          <w:rFonts w:ascii="Arial" w:hAnsi="Arial" w:cs="Arial"/>
        </w:rPr>
        <w:t>ředitelkou odboru bezpečnosti potravin</w:t>
      </w:r>
    </w:p>
    <w:p w14:paraId="24DCA1B9" w14:textId="53C0B491"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544525" w:rsidRPr="00544525">
        <w:rPr>
          <w:rFonts w:ascii="Arial" w:hAnsi="Arial" w:cs="Arial"/>
        </w:rPr>
        <w:t>XXXX</w:t>
      </w:r>
    </w:p>
    <w:p w14:paraId="3F34ED48" w14:textId="77777777"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14:paraId="6C7FAA09" w14:textId="77777777"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14:paraId="78AB1506" w14:textId="77777777"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14:paraId="56528DD3" w14:textId="2C36570E"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544525" w:rsidRPr="00544525">
        <w:rPr>
          <w:rFonts w:ascii="Arial" w:hAnsi="Arial" w:cs="Arial"/>
        </w:rPr>
        <w:t>XXXX</w:t>
      </w:r>
    </w:p>
    <w:p w14:paraId="3817C13A" w14:textId="77777777" w:rsidR="00E20198" w:rsidRPr="00285FCD" w:rsidRDefault="00E20198" w:rsidP="00E20198">
      <w:pPr>
        <w:jc w:val="both"/>
        <w:rPr>
          <w:rFonts w:ascii="Arial" w:hAnsi="Arial" w:cs="Arial"/>
          <w:b/>
        </w:rPr>
      </w:pPr>
    </w:p>
    <w:p w14:paraId="025CA54A"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14:paraId="373DCBD8" w14:textId="77777777" w:rsidR="0063154F" w:rsidRPr="00285FCD" w:rsidRDefault="0063154F" w:rsidP="0063154F">
      <w:pPr>
        <w:pStyle w:val="Zkladntext"/>
        <w:spacing w:after="0"/>
        <w:rPr>
          <w:rFonts w:ascii="Arial" w:hAnsi="Arial" w:cs="Arial"/>
        </w:rPr>
      </w:pPr>
    </w:p>
    <w:p w14:paraId="58C1EDA5" w14:textId="77777777"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14:paraId="22C6AB0F" w14:textId="77777777" w:rsidR="00E20198" w:rsidRPr="00285FCD" w:rsidRDefault="00E20198" w:rsidP="00E20198">
      <w:pPr>
        <w:jc w:val="both"/>
        <w:rPr>
          <w:rFonts w:ascii="Arial" w:hAnsi="Arial" w:cs="Arial"/>
        </w:rPr>
      </w:pPr>
    </w:p>
    <w:p w14:paraId="3A9D294E" w14:textId="77777777"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Státní zdravotní ústav</w:t>
      </w:r>
    </w:p>
    <w:p w14:paraId="3A465A6C"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14:paraId="3807A6D8" w14:textId="37C6F9B9"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544525" w:rsidRPr="00544525">
        <w:rPr>
          <w:rFonts w:ascii="Arial" w:hAnsi="Arial" w:cs="Arial"/>
        </w:rPr>
        <w:t>XXXX</w:t>
      </w:r>
    </w:p>
    <w:p w14:paraId="18987C7F" w14:textId="17E1419C" w:rsidR="00E20198" w:rsidRPr="00285FCD" w:rsidRDefault="00C415E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844AAA">
        <w:rPr>
          <w:rFonts w:ascii="Arial" w:hAnsi="Arial" w:cs="Arial"/>
        </w:rPr>
        <w:t>ředitelkou</w:t>
      </w:r>
      <w:r>
        <w:rPr>
          <w:rFonts w:ascii="Arial" w:hAnsi="Arial" w:cs="Arial"/>
        </w:rPr>
        <w:t xml:space="preserve"> </w:t>
      </w:r>
      <w:r w:rsidR="008049F6">
        <w:rPr>
          <w:rFonts w:ascii="Arial" w:hAnsi="Arial" w:cs="Arial"/>
        </w:rPr>
        <w:t>Státního zdravotního ústavu</w:t>
      </w:r>
    </w:p>
    <w:p w14:paraId="2CECC750" w14:textId="2A62F6A2"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544525" w:rsidRPr="00544525">
        <w:rPr>
          <w:rFonts w:ascii="Arial" w:hAnsi="Arial" w:cs="Arial"/>
        </w:rPr>
        <w:t>XXXX</w:t>
      </w:r>
      <w:r w:rsidRPr="00285FCD">
        <w:rPr>
          <w:rFonts w:ascii="Arial" w:hAnsi="Arial" w:cs="Arial"/>
        </w:rPr>
        <w:t xml:space="preserve"> </w:t>
      </w:r>
    </w:p>
    <w:p w14:paraId="12A7243A"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14:paraId="31258895" w14:textId="77777777"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14:paraId="07F588DC" w14:textId="77777777"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14:paraId="71901365" w14:textId="77777777"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0E0B9B" w:rsidRPr="00285FCD">
        <w:rPr>
          <w:rFonts w:ascii="Arial" w:hAnsi="Arial" w:cs="Arial"/>
        </w:rPr>
        <w:t>Je plátcem DPH.</w:t>
      </w:r>
    </w:p>
    <w:p w14:paraId="3F4501BA" w14:textId="34FC114F"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544525" w:rsidRPr="00544525">
        <w:rPr>
          <w:rFonts w:ascii="Arial" w:hAnsi="Arial" w:cs="Arial"/>
        </w:rPr>
        <w:t>XXXX</w:t>
      </w:r>
    </w:p>
    <w:p w14:paraId="5560161C" w14:textId="77777777" w:rsidR="00E20198" w:rsidRPr="00285FCD" w:rsidRDefault="00E20198" w:rsidP="00E20198">
      <w:pPr>
        <w:jc w:val="both"/>
        <w:rPr>
          <w:rFonts w:ascii="Arial" w:hAnsi="Arial" w:cs="Arial"/>
          <w:b/>
        </w:rPr>
      </w:pPr>
    </w:p>
    <w:p w14:paraId="623D0C55"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14:paraId="5B0F02C0" w14:textId="77777777" w:rsidR="0063154F" w:rsidRDefault="0063154F" w:rsidP="0063154F">
      <w:pPr>
        <w:widowControl w:val="0"/>
        <w:tabs>
          <w:tab w:val="left" w:pos="720"/>
        </w:tabs>
        <w:ind w:left="566" w:right="566"/>
        <w:rPr>
          <w:rFonts w:ascii="Arial" w:hAnsi="Arial" w:cs="Arial"/>
        </w:rPr>
      </w:pPr>
    </w:p>
    <w:p w14:paraId="7F63136E" w14:textId="612060EA" w:rsidR="00545247" w:rsidRPr="00285FCD" w:rsidRDefault="00545247" w:rsidP="00844AAA">
      <w:pPr>
        <w:widowControl w:val="0"/>
        <w:tabs>
          <w:tab w:val="left" w:pos="720"/>
        </w:tabs>
        <w:ind w:right="566"/>
        <w:jc w:val="center"/>
        <w:rPr>
          <w:rFonts w:ascii="Arial" w:hAnsi="Arial" w:cs="Arial"/>
        </w:rPr>
      </w:pPr>
      <w:r>
        <w:rPr>
          <w:rFonts w:ascii="Arial" w:hAnsi="Arial" w:cs="Arial"/>
        </w:rPr>
        <w:t>uzavírají tuto smlouvu (dále jen „smlouva“):</w:t>
      </w:r>
    </w:p>
    <w:p w14:paraId="69E972D6" w14:textId="77777777" w:rsidR="0063154F" w:rsidRPr="00285FCD" w:rsidRDefault="0063154F" w:rsidP="0063154F">
      <w:pPr>
        <w:widowControl w:val="0"/>
        <w:tabs>
          <w:tab w:val="left" w:pos="720"/>
        </w:tabs>
        <w:ind w:left="566" w:right="566"/>
        <w:rPr>
          <w:rFonts w:ascii="Arial" w:hAnsi="Arial" w:cs="Arial"/>
          <w:b/>
        </w:rPr>
      </w:pPr>
    </w:p>
    <w:p w14:paraId="3BE77BF2" w14:textId="77777777" w:rsidR="002421B4" w:rsidRPr="00285FCD" w:rsidRDefault="002421B4" w:rsidP="0063154F">
      <w:pPr>
        <w:widowControl w:val="0"/>
        <w:tabs>
          <w:tab w:val="left" w:pos="720"/>
        </w:tabs>
        <w:ind w:left="566" w:right="566"/>
        <w:rPr>
          <w:rFonts w:ascii="Arial" w:hAnsi="Arial" w:cs="Arial"/>
          <w:b/>
        </w:rPr>
      </w:pPr>
    </w:p>
    <w:p w14:paraId="3A8AC496" w14:textId="77777777"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II.</w:t>
      </w:r>
    </w:p>
    <w:p w14:paraId="78A487E1" w14:textId="77777777"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14:paraId="5AFDB753" w14:textId="77777777"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14:paraId="526EDD44" w14:textId="773271F3"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w:t>
      </w:r>
      <w:r w:rsidR="00C415E6">
        <w:rPr>
          <w:rFonts w:ascii="Arial" w:hAnsi="Arial" w:cs="Arial"/>
          <w:b w:val="0"/>
          <w:bCs/>
          <w:color w:val="auto"/>
          <w:sz w:val="24"/>
          <w:szCs w:val="24"/>
          <w:lang w:val="cs-CZ"/>
        </w:rPr>
        <w:t>3</w:t>
      </w:r>
      <w:r w:rsidR="009E42B7" w:rsidRPr="00285FCD">
        <w:rPr>
          <w:rFonts w:ascii="Arial" w:hAnsi="Arial" w:cs="Arial"/>
          <w:b w:val="0"/>
          <w:bCs/>
          <w:color w:val="auto"/>
          <w:sz w:val="24"/>
          <w:szCs w:val="24"/>
          <w:lang w:val="cs-CZ"/>
        </w:rPr>
        <w:t>0</w:t>
      </w:r>
      <w:r w:rsidRPr="00285FCD">
        <w:rPr>
          <w:rFonts w:ascii="Arial" w:hAnsi="Arial" w:cs="Arial"/>
          <w:b w:val="0"/>
          <w:bCs/>
          <w:color w:val="auto"/>
          <w:sz w:val="24"/>
          <w:szCs w:val="24"/>
          <w:lang w:val="cs-CZ"/>
        </w:rPr>
        <w:t xml:space="preserve"> v oblasti využití </w:t>
      </w:r>
      <w:r w:rsidR="000246F1">
        <w:rPr>
          <w:rFonts w:ascii="Arial" w:hAnsi="Arial" w:cs="Arial"/>
          <w:b w:val="0"/>
          <w:bCs/>
          <w:color w:val="auto"/>
          <w:sz w:val="24"/>
          <w:szCs w:val="24"/>
          <w:lang w:val="cs-CZ"/>
        </w:rPr>
        <w:t xml:space="preserve">dat pro </w:t>
      </w:r>
      <w:r w:rsidRPr="00285FCD">
        <w:rPr>
          <w:rFonts w:ascii="Arial" w:hAnsi="Arial" w:cs="Arial"/>
          <w:b w:val="0"/>
          <w:bCs/>
          <w:color w:val="auto"/>
          <w:sz w:val="24"/>
          <w:szCs w:val="24"/>
          <w:lang w:val="cs-CZ"/>
        </w:rPr>
        <w:t>vědecky podložené hodnocení zdravotních rizik.</w:t>
      </w:r>
    </w:p>
    <w:p w14:paraId="022B6C0C" w14:textId="7ADDBCE5"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lastRenderedPageBreak/>
        <w:t xml:space="preserve">Předmětem smlouvy je </w:t>
      </w:r>
      <w:r w:rsidRPr="00285FCD">
        <w:rPr>
          <w:rFonts w:ascii="Arial" w:hAnsi="Arial" w:cs="Arial"/>
          <w:b w:val="0"/>
          <w:color w:val="auto"/>
          <w:sz w:val="24"/>
          <w:szCs w:val="24"/>
          <w:lang w:val="cs-CZ"/>
        </w:rPr>
        <w:t>realizace podpůrných aktivit v oblasti sběru dat pro Evropský úřad pro bezpečnost potravin (EFSA) a současně pro účely hodnocení zdravotních rizik na národní úrovni prostřednictvím budování systému „</w:t>
      </w:r>
      <w:proofErr w:type="gramStart"/>
      <w:r w:rsidRPr="00285FCD">
        <w:rPr>
          <w:rFonts w:ascii="Arial" w:hAnsi="Arial" w:cs="Arial"/>
          <w:b w:val="0"/>
          <w:color w:val="auto"/>
          <w:sz w:val="24"/>
          <w:szCs w:val="24"/>
          <w:lang w:val="cs-CZ"/>
        </w:rPr>
        <w:t>DATEX.CZ</w:t>
      </w:r>
      <w:proofErr w:type="gramEnd"/>
      <w:r w:rsidRPr="00285FCD">
        <w:rPr>
          <w:rFonts w:ascii="Arial" w:hAnsi="Arial" w:cs="Arial"/>
          <w:b w:val="0"/>
          <w:color w:val="auto"/>
          <w:sz w:val="24"/>
          <w:szCs w:val="24"/>
          <w:lang w:val="cs-CZ"/>
        </w:rPr>
        <w:t>“</w:t>
      </w:r>
      <w:r w:rsidR="007547DB" w:rsidRPr="00285FCD">
        <w:rPr>
          <w:rFonts w:ascii="Arial" w:hAnsi="Arial" w:cs="Arial"/>
          <w:b w:val="0"/>
          <w:color w:val="auto"/>
          <w:sz w:val="24"/>
          <w:szCs w:val="24"/>
          <w:lang w:val="cs-CZ"/>
        </w:rPr>
        <w:t xml:space="preserve"> v roce 20</w:t>
      </w:r>
      <w:r w:rsidR="00903508">
        <w:rPr>
          <w:rFonts w:ascii="Arial" w:hAnsi="Arial" w:cs="Arial"/>
          <w:b w:val="0"/>
          <w:color w:val="auto"/>
          <w:sz w:val="24"/>
          <w:szCs w:val="24"/>
          <w:lang w:val="cs-CZ"/>
        </w:rPr>
        <w:t>2</w:t>
      </w:r>
      <w:r w:rsidR="00D75879">
        <w:rPr>
          <w:rFonts w:ascii="Arial" w:hAnsi="Arial" w:cs="Arial"/>
          <w:b w:val="0"/>
          <w:color w:val="auto"/>
          <w:sz w:val="24"/>
          <w:szCs w:val="24"/>
          <w:lang w:val="cs-CZ"/>
        </w:rPr>
        <w:t>2</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14:paraId="56DCC2E1"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6E2D0642"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5055FE9F" w14:textId="77777777"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14:paraId="0E16024A" w14:textId="77777777"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14:paraId="7D629344"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7777777"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14:paraId="4946B56D" w14:textId="77777777"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proofErr w:type="gramStart"/>
      <w:r w:rsidRPr="00285FCD">
        <w:rPr>
          <w:rFonts w:ascii="Arial" w:hAnsi="Arial" w:cs="Arial"/>
          <w:b w:val="0"/>
          <w:color w:val="auto"/>
          <w:sz w:val="24"/>
          <w:szCs w:val="24"/>
          <w:lang w:val="cs-CZ"/>
        </w:rPr>
        <w:t>DATEX.CZ</w:t>
      </w:r>
      <w:proofErr w:type="gramEnd"/>
      <w:r w:rsidRPr="00285FCD">
        <w:rPr>
          <w:rFonts w:ascii="Arial" w:hAnsi="Arial" w:cs="Arial"/>
          <w:b w:val="0"/>
          <w:color w:val="auto"/>
          <w:sz w:val="24"/>
          <w:szCs w:val="24"/>
          <w:lang w:val="cs-CZ"/>
        </w:rPr>
        <w:t xml:space="preserve">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14:paraId="38AAE99E" w14:textId="77777777"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w:t>
      </w:r>
      <w:proofErr w:type="gramStart"/>
      <w:r w:rsidR="00AB369E" w:rsidRPr="00285FCD">
        <w:rPr>
          <w:rFonts w:ascii="Arial" w:hAnsi="Arial" w:cs="Arial"/>
          <w:b w:val="0"/>
          <w:color w:val="auto"/>
          <w:sz w:val="24"/>
          <w:szCs w:val="24"/>
          <w:lang w:val="cs-CZ"/>
        </w:rPr>
        <w:t>DATEX.CZ</w:t>
      </w:r>
      <w:proofErr w:type="gramEnd"/>
      <w:r w:rsidR="00AB369E" w:rsidRPr="00285FCD">
        <w:rPr>
          <w:rFonts w:ascii="Arial" w:hAnsi="Arial" w:cs="Arial"/>
          <w:b w:val="0"/>
          <w:color w:val="auto"/>
          <w:sz w:val="24"/>
          <w:szCs w:val="24"/>
          <w:lang w:val="cs-CZ"/>
        </w:rPr>
        <w:t>, což zahrnuje především tyto činnosti:</w:t>
      </w:r>
    </w:p>
    <w:p w14:paraId="0FD13622" w14:textId="5D4A9C88"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EFSA</w:t>
      </w:r>
      <w:r w:rsidR="00065212" w:rsidRPr="00285FCD">
        <w:rPr>
          <w:rFonts w:ascii="Arial" w:hAnsi="Arial" w:cs="Arial"/>
        </w:rPr>
        <w:t xml:space="preserve"> </w:t>
      </w:r>
      <w:r w:rsidR="000A4FAB">
        <w:rPr>
          <w:rFonts w:ascii="Arial" w:hAnsi="Arial" w:cs="Arial"/>
        </w:rPr>
        <w:br/>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14:paraId="681660C2" w14:textId="77777777" w:rsidR="00AB369E" w:rsidRPr="00285FCD" w:rsidRDefault="00AB369E" w:rsidP="002B7BF8">
      <w:pPr>
        <w:widowControl w:val="0"/>
        <w:ind w:left="426"/>
        <w:jc w:val="both"/>
        <w:rPr>
          <w:rFonts w:ascii="Arial" w:hAnsi="Arial" w:cs="Arial"/>
        </w:rPr>
      </w:pPr>
    </w:p>
    <w:p w14:paraId="3D8AEB56" w14:textId="12F98E3B"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9C10E0" w:rsidRPr="00285FCD">
        <w:rPr>
          <w:rFonts w:ascii="Arial" w:hAnsi="Arial" w:cs="Arial"/>
        </w:rPr>
        <w:t>, je-li o to zhotovitel požádán objednatelem</w:t>
      </w:r>
      <w:r w:rsidRPr="00285FCD">
        <w:rPr>
          <w:rFonts w:ascii="Arial" w:hAnsi="Arial" w:cs="Arial"/>
        </w:rPr>
        <w:t>;</w:t>
      </w:r>
    </w:p>
    <w:p w14:paraId="15731B8F" w14:textId="77777777" w:rsidR="00AB369E" w:rsidRPr="00285FCD" w:rsidRDefault="00AB369E" w:rsidP="002B7BF8">
      <w:pPr>
        <w:pStyle w:val="Odstavecseseznamem"/>
        <w:ind w:left="426"/>
        <w:rPr>
          <w:rFonts w:ascii="Arial" w:hAnsi="Arial" w:cs="Arial"/>
        </w:rPr>
      </w:pPr>
    </w:p>
    <w:p w14:paraId="7BF50434" w14:textId="112719D9"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w:t>
      </w:r>
      <w:r w:rsidR="00675EA8">
        <w:rPr>
          <w:rFonts w:ascii="Arial" w:hAnsi="Arial" w:cs="Arial"/>
        </w:rPr>
        <w:br/>
      </w:r>
      <w:r w:rsidR="00130DA5" w:rsidRPr="00285FCD">
        <w:rPr>
          <w:rFonts w:ascii="Arial" w:hAnsi="Arial" w:cs="Arial"/>
        </w:rPr>
        <w:t xml:space="preserve">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675EA8">
        <w:rPr>
          <w:rFonts w:ascii="Arial" w:hAnsi="Arial" w:cs="Arial"/>
        </w:rPr>
        <w:br/>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ARES - JRC</w:t>
      </w:r>
      <w:r w:rsidRPr="00285FCD">
        <w:rPr>
          <w:rFonts w:ascii="Arial" w:hAnsi="Arial" w:cs="Arial"/>
        </w:rPr>
        <w:t>.DG.D.6/DL/</w:t>
      </w:r>
      <w:proofErr w:type="spellStart"/>
      <w:r w:rsidRPr="00285FCD">
        <w:rPr>
          <w:rFonts w:ascii="Arial" w:hAnsi="Arial" w:cs="Arial"/>
        </w:rPr>
        <w:t>mdr</w:t>
      </w:r>
      <w:proofErr w:type="spellEnd"/>
      <w:r w:rsidRPr="00285FCD">
        <w:rPr>
          <w:rFonts w:ascii="Arial" w:hAnsi="Arial" w:cs="Arial"/>
        </w:rPr>
        <w:t>/ARES(2011)321051;</w:t>
      </w:r>
    </w:p>
    <w:p w14:paraId="01AF3522" w14:textId="77777777" w:rsidR="00AB369E" w:rsidRPr="00285FCD" w:rsidRDefault="00AB369E" w:rsidP="002B7BF8">
      <w:pPr>
        <w:pStyle w:val="Odstavecseseznamem"/>
        <w:ind w:left="426"/>
        <w:rPr>
          <w:rFonts w:ascii="Arial" w:hAnsi="Arial" w:cs="Arial"/>
        </w:rPr>
      </w:pPr>
    </w:p>
    <w:p w14:paraId="3995FEBE" w14:textId="61C11FC6"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potřeby EFSA (</w:t>
      </w:r>
      <w:proofErr w:type="spellStart"/>
      <w:r w:rsidRPr="00285FCD">
        <w:rPr>
          <w:rFonts w:ascii="Arial" w:hAnsi="Arial" w:cs="Arial"/>
        </w:rPr>
        <w:t>tzv.“EFSA</w:t>
      </w:r>
      <w:proofErr w:type="spellEnd"/>
      <w:r w:rsidRPr="00285FCD">
        <w:rPr>
          <w:rFonts w:ascii="Arial" w:hAnsi="Arial" w:cs="Arial"/>
        </w:rPr>
        <w:t xml:space="preserve"> data </w:t>
      </w:r>
      <w:proofErr w:type="spellStart"/>
      <w:r w:rsidRPr="00285FCD">
        <w:rPr>
          <w:rFonts w:ascii="Arial" w:hAnsi="Arial" w:cs="Arial"/>
        </w:rPr>
        <w:t>calls</w:t>
      </w:r>
      <w:proofErr w:type="spellEnd"/>
      <w:r w:rsidRPr="00285FCD">
        <w:rPr>
          <w:rFonts w:ascii="Arial" w:hAnsi="Arial" w:cs="Arial"/>
        </w:rPr>
        <w:t>“);</w:t>
      </w:r>
    </w:p>
    <w:p w14:paraId="4A5A8B01" w14:textId="77777777" w:rsidR="00AB369E" w:rsidRPr="00285FCD" w:rsidRDefault="00AB369E" w:rsidP="002B7BF8">
      <w:pPr>
        <w:pStyle w:val="Odstavecseseznamem"/>
        <w:ind w:left="426"/>
        <w:rPr>
          <w:rFonts w:ascii="Arial" w:hAnsi="Arial" w:cs="Arial"/>
        </w:rPr>
      </w:pPr>
    </w:p>
    <w:p w14:paraId="0E9376E3" w14:textId="00F04CDC" w:rsidR="00C3168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w:t>
      </w:r>
      <w:proofErr w:type="gramStart"/>
      <w:r w:rsidRPr="00285FCD">
        <w:rPr>
          <w:rFonts w:ascii="Arial" w:hAnsi="Arial" w:cs="Arial"/>
        </w:rPr>
        <w:t>DATEX.CZ</w:t>
      </w:r>
      <w:proofErr w:type="gramEnd"/>
      <w:r w:rsidRPr="00285FCD">
        <w:rPr>
          <w:rFonts w:ascii="Arial" w:hAnsi="Arial" w:cs="Arial"/>
        </w:rPr>
        <w:t>“,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w:t>
      </w:r>
      <w:r w:rsidR="000A4FAB">
        <w:rPr>
          <w:rFonts w:ascii="Arial" w:hAnsi="Arial" w:cs="Arial"/>
        </w:rPr>
        <w:t xml:space="preserve"> tohoto </w:t>
      </w:r>
      <w:r w:rsidR="00675EA8">
        <w:rPr>
          <w:rFonts w:ascii="Arial" w:hAnsi="Arial" w:cs="Arial"/>
        </w:rPr>
        <w:t>čl</w:t>
      </w:r>
      <w:r w:rsidR="000A4FAB">
        <w:rPr>
          <w:rFonts w:ascii="Arial" w:hAnsi="Arial" w:cs="Arial"/>
        </w:rPr>
        <w:t>. III.</w:t>
      </w:r>
      <w:r w:rsidRPr="00285FCD">
        <w:rPr>
          <w:rFonts w:ascii="Arial" w:hAnsi="Arial" w:cs="Arial"/>
        </w:rPr>
        <w:t xml:space="preserve">, s cílem zabezpečit </w:t>
      </w:r>
      <w:r w:rsidR="00D56465" w:rsidRPr="00285FCD">
        <w:rPr>
          <w:rFonts w:ascii="Arial" w:hAnsi="Arial" w:cs="Arial"/>
        </w:rPr>
        <w:t xml:space="preserve">jejich </w:t>
      </w:r>
      <w:r w:rsidRPr="00285FCD">
        <w:rPr>
          <w:rFonts w:ascii="Arial" w:hAnsi="Arial" w:cs="Arial"/>
        </w:rPr>
        <w:t xml:space="preserve">průběžnou dostupnost pro určené spolupracovníky (určí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14:paraId="4A44ADEB" w14:textId="5CBA7142" w:rsidR="001170EF" w:rsidRPr="00285FCD" w:rsidRDefault="00A85F69" w:rsidP="00D75879">
      <w:pPr>
        <w:widowControl w:val="0"/>
        <w:spacing w:after="120"/>
        <w:ind w:left="425"/>
        <w:jc w:val="both"/>
        <w:rPr>
          <w:rFonts w:ascii="Arial" w:hAnsi="Arial"/>
        </w:rPr>
      </w:pPr>
      <w:r>
        <w:rPr>
          <w:rFonts w:ascii="Arial" w:hAnsi="Arial" w:cs="Arial"/>
        </w:rPr>
        <w:t xml:space="preserve">f) </w:t>
      </w:r>
      <w:r w:rsidR="00F157C3" w:rsidRPr="00285FCD">
        <w:rPr>
          <w:rFonts w:ascii="Arial" w:hAnsi="Arial" w:cs="Arial"/>
        </w:rPr>
        <w:t>zhotovitel se zavazuje zpracovat</w:t>
      </w:r>
      <w:r w:rsidR="00B35CFF" w:rsidRPr="00285FCD">
        <w:rPr>
          <w:rFonts w:ascii="Arial" w:hAnsi="Arial" w:cs="Arial"/>
        </w:rPr>
        <w:t xml:space="preserve"> závěrečn</w:t>
      </w:r>
      <w:r w:rsidR="00F157C3" w:rsidRPr="00285FCD">
        <w:rPr>
          <w:rFonts w:ascii="Arial" w:hAnsi="Arial" w:cs="Arial"/>
        </w:rPr>
        <w:t>ou</w:t>
      </w:r>
      <w:r w:rsidR="00C3168D" w:rsidRPr="00285FCD">
        <w:rPr>
          <w:rFonts w:ascii="Arial" w:hAnsi="Arial" w:cs="Arial"/>
        </w:rPr>
        <w:t xml:space="preserve"> zpráv</w:t>
      </w:r>
      <w:r w:rsidR="00F157C3"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w:t>
      </w:r>
      <w:proofErr w:type="gramStart"/>
      <w:r w:rsidR="007D4614" w:rsidRPr="00285FCD">
        <w:rPr>
          <w:rFonts w:ascii="Arial" w:hAnsi="Arial" w:cs="Arial"/>
        </w:rPr>
        <w:t>této</w:t>
      </w:r>
      <w:proofErr w:type="gramEnd"/>
      <w:r w:rsidR="007D4614" w:rsidRPr="00285FCD">
        <w:rPr>
          <w:rFonts w:ascii="Arial" w:hAnsi="Arial" w:cs="Arial"/>
        </w:rPr>
        <w:t xml:space="preserve">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06292F">
        <w:rPr>
          <w:rFonts w:ascii="Arial" w:hAnsi="Arial" w:cs="Arial"/>
        </w:rPr>
        <w:t>1</w:t>
      </w:r>
      <w:r w:rsidR="00B35CFF" w:rsidRPr="00285FCD">
        <w:rPr>
          <w:rFonts w:ascii="Arial" w:hAnsi="Arial" w:cs="Arial"/>
        </w:rPr>
        <w:t>. 12. 20</w:t>
      </w:r>
      <w:r w:rsidR="00FC734B">
        <w:rPr>
          <w:rFonts w:ascii="Arial" w:hAnsi="Arial" w:cs="Arial"/>
        </w:rPr>
        <w:t>2</w:t>
      </w:r>
      <w:r w:rsidR="00545834">
        <w:rPr>
          <w:rFonts w:ascii="Arial" w:hAnsi="Arial" w:cs="Arial"/>
        </w:rPr>
        <w:t>2</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14:paraId="47D0E6D7" w14:textId="0FF50EFC" w:rsidR="0069070A" w:rsidRDefault="0069070A" w:rsidP="0002069B">
      <w:pPr>
        <w:widowControl w:val="0"/>
        <w:spacing w:after="240"/>
        <w:ind w:left="425"/>
        <w:jc w:val="both"/>
        <w:rPr>
          <w:rFonts w:ascii="Arial" w:hAnsi="Arial"/>
        </w:rPr>
      </w:pPr>
      <w:r w:rsidRPr="00285FCD">
        <w:rPr>
          <w:rFonts w:ascii="Arial" w:hAnsi="Arial"/>
        </w:rPr>
        <w:t>(dále jen „dílo“)</w:t>
      </w:r>
    </w:p>
    <w:p w14:paraId="3434911C" w14:textId="02B0F7FB"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r w:rsidR="0006292F">
        <w:rPr>
          <w:rFonts w:ascii="Arial" w:hAnsi="Arial" w:cs="Arial"/>
        </w:rPr>
        <w:t xml:space="preserve"> do </w:t>
      </w:r>
      <w:r w:rsidR="00675EA8">
        <w:rPr>
          <w:rFonts w:ascii="Arial" w:hAnsi="Arial" w:cs="Arial"/>
        </w:rPr>
        <w:br/>
      </w:r>
      <w:r w:rsidR="0006292F">
        <w:rPr>
          <w:rFonts w:ascii="Arial" w:hAnsi="Arial" w:cs="Arial"/>
        </w:rPr>
        <w:t>5 pracovních dnů</w:t>
      </w:r>
      <w:r w:rsidRPr="00285FCD">
        <w:rPr>
          <w:rFonts w:ascii="Arial" w:hAnsi="Arial" w:cs="Arial"/>
        </w:rPr>
        <w:t>.</w:t>
      </w:r>
    </w:p>
    <w:p w14:paraId="5FAFB231"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7253E587" w14:textId="60A0AD79"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 xml:space="preserve">dle odst. 3 písm. </w:t>
      </w:r>
      <w:r w:rsidR="0096746E">
        <w:rPr>
          <w:rFonts w:ascii="Arial" w:hAnsi="Arial" w:cs="Arial"/>
        </w:rPr>
        <w:t>g</w:t>
      </w:r>
      <w:r w:rsidR="00626438" w:rsidRPr="00285FCD">
        <w:rPr>
          <w:rFonts w:ascii="Arial" w:hAnsi="Arial" w:cs="Arial"/>
        </w:rPr>
        <w:t>)</w:t>
      </w:r>
      <w:r w:rsidRPr="00285FCD">
        <w:rPr>
          <w:rFonts w:ascii="Arial" w:hAnsi="Arial" w:cs="Arial"/>
        </w:rPr>
        <w:t xml:space="preserve"> tohoto článku podpisem obou smluvních stran na protokolu bez připomínek</w:t>
      </w:r>
      <w:r w:rsidR="00545247">
        <w:rPr>
          <w:rFonts w:ascii="Arial" w:hAnsi="Arial" w:cs="Arial"/>
        </w:rPr>
        <w:t xml:space="preserve"> (pro vyloučení pochybností se uvádí, že zhotovitel musí postupovat tak, aby všechny připomínky byly vypořádány a k podpisu </w:t>
      </w:r>
      <w:r w:rsidR="00545247" w:rsidRPr="00285FCD">
        <w:rPr>
          <w:rFonts w:ascii="Arial" w:hAnsi="Arial" w:cs="Arial"/>
        </w:rPr>
        <w:t>obou smluvních stran na protokolu bez připomínek</w:t>
      </w:r>
      <w:r w:rsidR="00545247">
        <w:rPr>
          <w:rFonts w:ascii="Arial" w:hAnsi="Arial" w:cs="Arial"/>
        </w:rPr>
        <w:t xml:space="preserve"> tak mohlo dojít nejpozději v termínu dle</w:t>
      </w:r>
      <w:r w:rsidR="00545247" w:rsidRPr="00285FCD">
        <w:rPr>
          <w:rFonts w:ascii="Arial" w:hAnsi="Arial" w:cs="Arial"/>
        </w:rPr>
        <w:t xml:space="preserve"> odst. 3 písm. </w:t>
      </w:r>
      <w:r w:rsidR="00545247">
        <w:rPr>
          <w:rFonts w:ascii="Arial" w:hAnsi="Arial" w:cs="Arial"/>
        </w:rPr>
        <w:t>g</w:t>
      </w:r>
      <w:r w:rsidR="00545247" w:rsidRPr="00285FCD">
        <w:rPr>
          <w:rFonts w:ascii="Arial" w:hAnsi="Arial" w:cs="Arial"/>
        </w:rPr>
        <w:t>) tohoto článku</w:t>
      </w:r>
      <w:r w:rsidR="00545247">
        <w:rPr>
          <w:rFonts w:ascii="Arial" w:hAnsi="Arial" w:cs="Arial"/>
        </w:rPr>
        <w:t>)</w:t>
      </w:r>
      <w:r w:rsidRPr="00285FCD">
        <w:rPr>
          <w:rFonts w:ascii="Arial" w:hAnsi="Arial" w:cs="Arial"/>
        </w:rPr>
        <w:t>.</w:t>
      </w:r>
    </w:p>
    <w:p w14:paraId="727EAE5B" w14:textId="6CDEB549" w:rsidR="002C130B" w:rsidRPr="001207D6" w:rsidRDefault="002628F4" w:rsidP="001207D6">
      <w:pPr>
        <w:widowControl w:val="0"/>
        <w:numPr>
          <w:ilvl w:val="0"/>
          <w:numId w:val="12"/>
        </w:numPr>
        <w:spacing w:after="120"/>
        <w:ind w:left="426" w:hanging="426"/>
        <w:jc w:val="both"/>
        <w:rPr>
          <w:rFonts w:ascii="Arial" w:hAnsi="Arial" w:cs="Arial"/>
        </w:rPr>
      </w:pPr>
      <w:r>
        <w:rPr>
          <w:rFonts w:ascii="Arial" w:hAnsi="Arial" w:cs="Arial"/>
        </w:rPr>
        <w:t>K převzetí díla</w:t>
      </w:r>
      <w:r w:rsidR="00583335" w:rsidRPr="00285FCD">
        <w:rPr>
          <w:rFonts w:ascii="Arial" w:hAnsi="Arial" w:cs="Arial"/>
        </w:rPr>
        <w:t xml:space="preserve"> </w:t>
      </w:r>
      <w:r>
        <w:rPr>
          <w:rFonts w:ascii="Arial" w:hAnsi="Arial" w:cs="Arial"/>
        </w:rPr>
        <w:t xml:space="preserve">dochází </w:t>
      </w:r>
      <w:r w:rsidR="00583335" w:rsidRPr="00285FCD">
        <w:rPr>
          <w:rFonts w:ascii="Arial" w:hAnsi="Arial" w:cs="Arial"/>
        </w:rPr>
        <w:t>okamžikem podpisu protokolu bez připomínek.</w:t>
      </w:r>
    </w:p>
    <w:p w14:paraId="00F3C050" w14:textId="77777777" w:rsidR="002C130B" w:rsidRPr="00285FCD" w:rsidRDefault="002C130B" w:rsidP="00C64DC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120" w:line="240" w:lineRule="auto"/>
        <w:ind w:left="567" w:right="567"/>
        <w:rPr>
          <w:rFonts w:ascii="Arial" w:hAnsi="Arial" w:cs="Arial"/>
          <w:color w:val="auto"/>
          <w:sz w:val="24"/>
          <w:szCs w:val="24"/>
          <w:lang w:val="cs-CZ"/>
        </w:rPr>
      </w:pPr>
    </w:p>
    <w:p w14:paraId="22257C3B"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14:paraId="252E5DAC" w14:textId="780C5C49" w:rsidR="002421B4" w:rsidRDefault="0063154F"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0D3D5921" w14:textId="77777777" w:rsidR="002628F4" w:rsidRPr="002628F4" w:rsidRDefault="002628F4"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p>
    <w:p w14:paraId="236D0A18" w14:textId="373F38F6" w:rsidR="00A85F69" w:rsidRPr="00A85F69" w:rsidRDefault="007361F0" w:rsidP="00A85F69">
      <w:pPr>
        <w:numPr>
          <w:ilvl w:val="0"/>
          <w:numId w:val="6"/>
        </w:numPr>
        <w:tabs>
          <w:tab w:val="clear" w:pos="705"/>
          <w:tab w:val="num" w:pos="426"/>
        </w:tabs>
        <w:spacing w:after="120"/>
        <w:ind w:left="426" w:hanging="426"/>
        <w:jc w:val="both"/>
        <w:rPr>
          <w:rFonts w:ascii="Arial" w:hAnsi="Arial"/>
        </w:rPr>
      </w:pPr>
      <w:r w:rsidRPr="00285FCD">
        <w:rPr>
          <w:rFonts w:ascii="Arial" w:hAnsi="Arial"/>
        </w:rPr>
        <w:t xml:space="preserve">Objednatel se zavazuje uhradit zhotoviteli jím řádně prokázané </w:t>
      </w:r>
      <w:r w:rsidR="002628F4">
        <w:rPr>
          <w:rFonts w:ascii="Arial" w:hAnsi="Arial"/>
        </w:rPr>
        <w:t xml:space="preserve">účelně vynaložené </w:t>
      </w:r>
      <w:r w:rsidRPr="00285FCD">
        <w:rPr>
          <w:rFonts w:ascii="Arial" w:hAnsi="Arial"/>
        </w:rPr>
        <w:t>náklady za jeho plnění dle této smlouvy, nejvýše však</w:t>
      </w:r>
      <w:r w:rsidR="001170EF" w:rsidRPr="00285FCD">
        <w:rPr>
          <w:rFonts w:ascii="Arial" w:hAnsi="Arial"/>
        </w:rPr>
        <w:t xml:space="preserve"> </w:t>
      </w:r>
      <w:r w:rsidR="00E3304C" w:rsidRPr="00675EA8">
        <w:rPr>
          <w:rFonts w:ascii="Arial" w:hAnsi="Arial"/>
          <w:b/>
        </w:rPr>
        <w:t>1</w:t>
      </w:r>
      <w:r w:rsidR="001207D6" w:rsidRPr="00675EA8">
        <w:rPr>
          <w:rFonts w:ascii="Arial" w:hAnsi="Arial"/>
          <w:b/>
        </w:rPr>
        <w:t>9</w:t>
      </w:r>
      <w:r w:rsidR="00E3304C" w:rsidRPr="00675EA8">
        <w:rPr>
          <w:rFonts w:ascii="Arial" w:hAnsi="Arial"/>
          <w:b/>
        </w:rPr>
        <w:t>0</w:t>
      </w:r>
      <w:r w:rsidR="00A85F69" w:rsidRPr="00675EA8">
        <w:rPr>
          <w:rFonts w:ascii="Arial" w:hAnsi="Arial"/>
          <w:b/>
        </w:rPr>
        <w:t xml:space="preserve"> 000</w:t>
      </w:r>
      <w:r w:rsidR="001170EF" w:rsidRPr="00675EA8">
        <w:rPr>
          <w:rFonts w:ascii="Arial" w:hAnsi="Arial" w:cs="Arial"/>
          <w:b/>
          <w:bCs/>
          <w:iCs/>
        </w:rPr>
        <w:t>,- Kč</w:t>
      </w:r>
      <w:r w:rsidR="00675EA8" w:rsidRPr="00675EA8">
        <w:rPr>
          <w:rFonts w:ascii="Arial" w:hAnsi="Arial" w:cs="Arial"/>
          <w:b/>
          <w:bCs/>
          <w:iCs/>
        </w:rPr>
        <w:t xml:space="preserve"> (slovy </w:t>
      </w:r>
      <w:proofErr w:type="spellStart"/>
      <w:r w:rsidR="00675EA8" w:rsidRPr="00675EA8">
        <w:rPr>
          <w:rFonts w:ascii="Arial" w:hAnsi="Arial" w:cs="Arial"/>
          <w:b/>
          <w:bCs/>
          <w:iCs/>
        </w:rPr>
        <w:t>stodevadesáttisíc</w:t>
      </w:r>
      <w:proofErr w:type="spellEnd"/>
      <w:r w:rsidR="00675EA8" w:rsidRPr="00675EA8">
        <w:rPr>
          <w:rFonts w:ascii="Arial" w:hAnsi="Arial" w:cs="Arial"/>
          <w:b/>
          <w:bCs/>
          <w:iCs/>
        </w:rPr>
        <w:t xml:space="preserve"> korun českých)</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111933" w:rsidRPr="00111933">
        <w:rPr>
          <w:rFonts w:ascii="Arial" w:hAnsi="Arial"/>
          <w:b/>
        </w:rPr>
        <w:t>2</w:t>
      </w:r>
      <w:r w:rsidR="001207D6">
        <w:rPr>
          <w:rFonts w:ascii="Arial" w:hAnsi="Arial"/>
          <w:b/>
        </w:rPr>
        <w:t>29</w:t>
      </w:r>
      <w:r w:rsidR="00A85F69">
        <w:rPr>
          <w:rFonts w:ascii="Arial" w:hAnsi="Arial"/>
          <w:b/>
        </w:rPr>
        <w:t xml:space="preserve"> </w:t>
      </w:r>
      <w:r w:rsidR="001207D6">
        <w:rPr>
          <w:rFonts w:ascii="Arial" w:hAnsi="Arial"/>
          <w:b/>
        </w:rPr>
        <w:t>9</w:t>
      </w:r>
      <w:r w:rsidR="00E3304C">
        <w:rPr>
          <w:rFonts w:ascii="Arial" w:hAnsi="Arial"/>
          <w:b/>
        </w:rPr>
        <w:t>0</w:t>
      </w:r>
      <w:r w:rsidR="00A85F69">
        <w:rPr>
          <w:rFonts w:ascii="Arial" w:hAnsi="Arial"/>
          <w:b/>
        </w:rPr>
        <w:t>0</w:t>
      </w:r>
      <w:r w:rsidR="001170EF" w:rsidRPr="00285FCD">
        <w:rPr>
          <w:rFonts w:ascii="Arial" w:hAnsi="Arial"/>
          <w:b/>
        </w:rPr>
        <w:t>,- Kč</w:t>
      </w:r>
      <w:r w:rsidR="001170EF" w:rsidRPr="00285FCD">
        <w:rPr>
          <w:rFonts w:ascii="Arial" w:hAnsi="Arial"/>
        </w:rPr>
        <w:t xml:space="preserve"> (slovy</w:t>
      </w:r>
      <w:r w:rsidR="001170EF" w:rsidRPr="00285FCD">
        <w:rPr>
          <w:rFonts w:ascii="Arial" w:hAnsi="Arial"/>
          <w:b/>
        </w:rPr>
        <w:t xml:space="preserve"> </w:t>
      </w:r>
      <w:proofErr w:type="spellStart"/>
      <w:r w:rsidR="00111933">
        <w:rPr>
          <w:rFonts w:ascii="Arial" w:hAnsi="Arial"/>
          <w:b/>
          <w:bCs/>
        </w:rPr>
        <w:t>dvěstě</w:t>
      </w:r>
      <w:r w:rsidR="001207D6">
        <w:rPr>
          <w:rFonts w:ascii="Arial" w:hAnsi="Arial"/>
          <w:b/>
          <w:bCs/>
        </w:rPr>
        <w:t>dvacetdevět</w:t>
      </w:r>
      <w:r w:rsidR="00E3304C">
        <w:rPr>
          <w:rFonts w:ascii="Arial" w:hAnsi="Arial"/>
          <w:b/>
          <w:bCs/>
        </w:rPr>
        <w:t>isíc</w:t>
      </w:r>
      <w:r w:rsidR="001207D6">
        <w:rPr>
          <w:rFonts w:ascii="Arial" w:hAnsi="Arial"/>
          <w:b/>
          <w:bCs/>
        </w:rPr>
        <w:t>devět</w:t>
      </w:r>
      <w:r w:rsidR="00E3304C">
        <w:rPr>
          <w:rFonts w:ascii="Arial" w:hAnsi="Arial"/>
          <w:b/>
          <w:bCs/>
        </w:rPr>
        <w:t>set</w:t>
      </w:r>
      <w:proofErr w:type="spellEnd"/>
      <w:r w:rsidR="00A85F69">
        <w:rPr>
          <w:rFonts w:ascii="Arial" w:hAnsi="Arial"/>
          <w:b/>
          <w:bCs/>
        </w:rPr>
        <w:t xml:space="preserve"> </w:t>
      </w:r>
      <w:r w:rsidR="001170EF" w:rsidRPr="00285FCD">
        <w:rPr>
          <w:rFonts w:ascii="Arial" w:hAnsi="Arial"/>
          <w:b/>
        </w:rPr>
        <w:t>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545247">
        <w:rPr>
          <w:rFonts w:ascii="Arial" w:hAnsi="Arial"/>
        </w:rPr>
        <w:t>,</w:t>
      </w:r>
      <w:r w:rsidR="00545247" w:rsidRPr="00420D0E">
        <w:rPr>
          <w:rFonts w:ascii="Arial" w:hAnsi="Arial"/>
        </w:rPr>
        <w:t xml:space="preserve"> s</w:t>
      </w:r>
      <w:r w:rsidR="00545247">
        <w:rPr>
          <w:rFonts w:ascii="Arial" w:hAnsi="Arial"/>
        </w:rPr>
        <w:t> </w:t>
      </w:r>
      <w:r w:rsidR="00545247" w:rsidRPr="00420D0E">
        <w:rPr>
          <w:rFonts w:ascii="Arial" w:hAnsi="Arial"/>
        </w:rPr>
        <w:t>výjimkou</w:t>
      </w:r>
      <w:r w:rsidR="00545247">
        <w:rPr>
          <w:rFonts w:ascii="Arial" w:hAnsi="Arial"/>
        </w:rPr>
        <w:t xml:space="preserve"> úpravy o případnou</w:t>
      </w:r>
      <w:r w:rsidR="00545247" w:rsidRPr="00420D0E">
        <w:rPr>
          <w:rFonts w:ascii="Arial" w:hAnsi="Arial"/>
        </w:rPr>
        <w:t xml:space="preserve"> zákonn</w:t>
      </w:r>
      <w:r w:rsidR="00545247">
        <w:rPr>
          <w:rFonts w:ascii="Arial" w:hAnsi="Arial"/>
        </w:rPr>
        <w:t>ou</w:t>
      </w:r>
      <w:r w:rsidR="00545247" w:rsidRPr="00420D0E">
        <w:rPr>
          <w:rFonts w:ascii="Arial" w:hAnsi="Arial"/>
        </w:rPr>
        <w:t xml:space="preserve"> změn</w:t>
      </w:r>
      <w:r w:rsidR="00545247">
        <w:rPr>
          <w:rFonts w:ascii="Arial" w:hAnsi="Arial"/>
        </w:rPr>
        <w:t>u</w:t>
      </w:r>
      <w:r w:rsidR="00545247" w:rsidRPr="00420D0E">
        <w:rPr>
          <w:rFonts w:ascii="Arial" w:hAnsi="Arial"/>
        </w:rPr>
        <w:t xml:space="preserve"> výše sazby DPH</w:t>
      </w:r>
      <w:r w:rsidR="00545247" w:rsidRPr="00285FCD">
        <w:rPr>
          <w:rFonts w:ascii="Arial" w:hAnsi="Arial"/>
        </w:rPr>
        <w:t xml:space="preserve">. </w:t>
      </w:r>
      <w:r w:rsidR="00545247">
        <w:rPr>
          <w:rFonts w:ascii="Arial" w:hAnsi="Arial"/>
        </w:rPr>
        <w:t xml:space="preserve">Cena uvedená v tomto odstavci </w:t>
      </w:r>
      <w:r w:rsidR="00545247" w:rsidRPr="00B21ACC">
        <w:rPr>
          <w:rFonts w:ascii="Arial" w:hAnsi="Arial"/>
        </w:rPr>
        <w:t>zahrnuje veškeré náklady zhotovitele související s</w:t>
      </w:r>
      <w:r w:rsidR="00545247">
        <w:rPr>
          <w:rFonts w:ascii="Arial" w:hAnsi="Arial"/>
        </w:rPr>
        <w:t> plnění zhotovitele podle této smlouvy</w:t>
      </w:r>
      <w:r w:rsidR="001170EF" w:rsidRPr="00285FCD">
        <w:rPr>
          <w:rFonts w:ascii="Arial" w:hAnsi="Arial"/>
        </w:rPr>
        <w:t xml:space="preserve">. </w:t>
      </w:r>
    </w:p>
    <w:p w14:paraId="00A87125" w14:textId="1469D0AA"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2628F4">
        <w:rPr>
          <w:rFonts w:ascii="Arial" w:hAnsi="Arial"/>
        </w:rPr>
        <w:t xml:space="preserve">bez připomínek </w:t>
      </w:r>
      <w:r w:rsidR="00620F87" w:rsidRPr="00285FCD">
        <w:rPr>
          <w:rFonts w:ascii="Arial" w:hAnsi="Arial"/>
        </w:rPr>
        <w:t xml:space="preserve">k závěrečné zprávě </w:t>
      </w:r>
      <w:r w:rsidR="00E30B98" w:rsidRPr="00285FCD">
        <w:rPr>
          <w:rFonts w:ascii="Arial" w:hAnsi="Arial"/>
        </w:rPr>
        <w:t>o plnění</w:t>
      </w:r>
      <w:r w:rsidR="00626438" w:rsidRPr="00285FCD">
        <w:rPr>
          <w:rFonts w:ascii="Arial" w:hAnsi="Arial"/>
        </w:rPr>
        <w:t>.</w:t>
      </w:r>
    </w:p>
    <w:p w14:paraId="59095967" w14:textId="2DC8EE67"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w:t>
      </w:r>
      <w:r w:rsidR="00C415E6">
        <w:rPr>
          <w:rFonts w:ascii="Arial" w:hAnsi="Arial" w:cs="Arial"/>
        </w:rPr>
        <w:t>3</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w:t>
      </w:r>
      <w:r w:rsidR="00C47CED">
        <w:rPr>
          <w:rFonts w:ascii="Arial" w:hAnsi="Arial" w:cs="Arial"/>
        </w:rPr>
        <w:t>2</w:t>
      </w:r>
      <w:r w:rsidR="00545834">
        <w:rPr>
          <w:rFonts w:ascii="Arial" w:hAnsi="Arial" w:cs="Arial"/>
        </w:rPr>
        <w:t>2</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Nedílnou součástí faktury bude podrobné vyúčtování nákladů zhotovitele na předmět plnění.</w:t>
      </w:r>
      <w:r w:rsidR="00545247">
        <w:rPr>
          <w:rFonts w:ascii="Arial" w:hAnsi="Arial" w:cs="Arial"/>
        </w:rPr>
        <w:t xml:space="preserve"> Objednatel je oprávněn toto vyúčtování přezkoumat.</w:t>
      </w:r>
    </w:p>
    <w:p w14:paraId="56B7B0C4" w14:textId="77777777"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18BEF429" w:rsidR="00545247" w:rsidRPr="00420D0E" w:rsidRDefault="00545247" w:rsidP="00545247">
      <w:pPr>
        <w:pStyle w:val="Odstavecseseznamem"/>
        <w:numPr>
          <w:ilvl w:val="0"/>
          <w:numId w:val="6"/>
        </w:numPr>
        <w:tabs>
          <w:tab w:val="clear" w:pos="705"/>
          <w:tab w:val="num" w:pos="426"/>
        </w:tabs>
        <w:spacing w:after="120"/>
        <w:ind w:left="425" w:hanging="425"/>
        <w:jc w:val="both"/>
        <w:rPr>
          <w:rFonts w:ascii="Arial" w:hAnsi="Arial"/>
        </w:rPr>
      </w:pPr>
      <w:r w:rsidRPr="00420D0E">
        <w:rPr>
          <w:rFonts w:ascii="Arial" w:hAnsi="Arial"/>
        </w:rPr>
        <w:t xml:space="preserve">Objednatel preferuje zaslání elektronické faktury zhotovitelem do datové schránky objednatele ID DS: </w:t>
      </w:r>
      <w:r w:rsidR="00544525" w:rsidRPr="00544525">
        <w:rPr>
          <w:rFonts w:ascii="Arial" w:hAnsi="Arial" w:cs="Arial"/>
        </w:rPr>
        <w:t>XXXX</w:t>
      </w:r>
      <w:r w:rsidRPr="00420D0E">
        <w:rPr>
          <w:rFonts w:ascii="Arial" w:hAnsi="Arial"/>
        </w:rPr>
        <w:t xml:space="preserve"> nebo na </w:t>
      </w:r>
      <w:r>
        <w:rPr>
          <w:rFonts w:ascii="Arial" w:hAnsi="Arial"/>
        </w:rPr>
        <w:t>e-</w:t>
      </w:r>
      <w:r w:rsidRPr="00420D0E">
        <w:rPr>
          <w:rFonts w:ascii="Arial" w:hAnsi="Arial"/>
        </w:rPr>
        <w:t xml:space="preserve">mailovou adresu </w:t>
      </w:r>
      <w:r w:rsidR="00544525" w:rsidRPr="00544525">
        <w:rPr>
          <w:rFonts w:ascii="Arial" w:hAnsi="Arial" w:cs="Arial"/>
        </w:rPr>
        <w:t>XXXX</w:t>
      </w:r>
      <w:r w:rsidRPr="00420D0E">
        <w:rPr>
          <w:rFonts w:ascii="Arial" w:hAnsi="Arial"/>
        </w:rPr>
        <w:t xml:space="preserve">, </w:t>
      </w:r>
      <w:r>
        <w:rPr>
          <w:rFonts w:ascii="Arial" w:hAnsi="Arial"/>
        </w:rPr>
        <w:br/>
      </w:r>
      <w:r w:rsidRPr="00420D0E">
        <w:rPr>
          <w:rFonts w:ascii="Arial" w:hAnsi="Arial"/>
        </w:rPr>
        <w:t>ve strukturovaných formátech dle Evropské směrnice 2014/55/EU nebo ve formátu ISDOC 5.2 a vyšším. Elektronická faktura musí obsahovat jméno kontaktní osoby objednatele (</w:t>
      </w:r>
      <w:r>
        <w:rPr>
          <w:rFonts w:ascii="Arial" w:hAnsi="Arial"/>
        </w:rPr>
        <w:t>odborného garanta),</w:t>
      </w:r>
      <w:r w:rsidRPr="00420D0E">
        <w:rPr>
          <w:rFonts w:ascii="Arial" w:hAnsi="Arial"/>
        </w:rPr>
        <w:t xml:space="preserve"> uvedené v záhlaví této smlouvy, nesdělí-li objednateli zhotoviteli jinou kontaktní osobu.</w:t>
      </w:r>
    </w:p>
    <w:p w14:paraId="40BC7FE7" w14:textId="77777777" w:rsidR="00EA28D0" w:rsidRPr="00285FCD" w:rsidRDefault="00EA28D0" w:rsidP="00545247">
      <w:pPr>
        <w:numPr>
          <w:ilvl w:val="0"/>
          <w:numId w:val="6"/>
        </w:numPr>
        <w:tabs>
          <w:tab w:val="clear" w:pos="705"/>
          <w:tab w:val="num" w:pos="426"/>
        </w:tabs>
        <w:spacing w:after="120"/>
        <w:ind w:left="425" w:hanging="425"/>
        <w:jc w:val="both"/>
        <w:rPr>
          <w:rFonts w:ascii="Arial" w:hAnsi="Arial"/>
        </w:rPr>
      </w:pPr>
      <w:r w:rsidRPr="00285FCD">
        <w:rPr>
          <w:rFonts w:ascii="Arial" w:hAnsi="Arial"/>
        </w:rPr>
        <w:t>Objednatel neposkytne zhotoviteli zálohy.</w:t>
      </w:r>
    </w:p>
    <w:p w14:paraId="43F4CBBF" w14:textId="77777777"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14:paraId="21393575"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AC47F87" w14:textId="77777777" w:rsidR="002C130B" w:rsidRPr="00285FCD" w:rsidRDefault="002C130B"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4F5D3675" w14:textId="77777777" w:rsidR="00463AFD" w:rsidRPr="00285FCD" w:rsidRDefault="00463AFD" w:rsidP="00CC25E0">
      <w:pPr>
        <w:numPr>
          <w:ilvl w:val="12"/>
          <w:numId w:val="0"/>
        </w:numPr>
        <w:jc w:val="center"/>
        <w:rPr>
          <w:rFonts w:ascii="Arial" w:hAnsi="Arial"/>
          <w:b/>
        </w:rPr>
      </w:pPr>
      <w:r w:rsidRPr="00285FCD">
        <w:rPr>
          <w:rFonts w:ascii="Arial" w:hAnsi="Arial"/>
          <w:b/>
        </w:rPr>
        <w:t>Článek 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77777777"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14:paraId="0C3AE033" w14:textId="7433F68F"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ze státního rozpočtu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14:paraId="2734DA6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43B8328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r w:rsidR="0006292F">
        <w:rPr>
          <w:rFonts w:ascii="Arial" w:hAnsi="Arial" w:cs="Arial"/>
        </w:rPr>
        <w:t xml:space="preserve"> </w:t>
      </w:r>
      <w:r w:rsidR="0006292F" w:rsidRPr="00041417">
        <w:rPr>
          <w:rFonts w:ascii="Arial" w:hAnsi="Arial" w:cs="Arial"/>
        </w:rPr>
        <w:t xml:space="preserve">V případě, že </w:t>
      </w:r>
      <w:r w:rsidR="0006292F">
        <w:rPr>
          <w:rFonts w:ascii="Arial" w:hAnsi="Arial" w:cs="Arial"/>
        </w:rPr>
        <w:t>zhotovitel</w:t>
      </w:r>
      <w:r w:rsidR="0006292F" w:rsidRPr="00041417">
        <w:rPr>
          <w:rFonts w:ascii="Arial" w:hAnsi="Arial" w:cs="Arial"/>
        </w:rPr>
        <w:t xml:space="preserve"> zjistí, že bude osobní údaje jakýmkoliv způsobem zpracovávat, </w:t>
      </w:r>
      <w:r w:rsidR="0006292F">
        <w:rPr>
          <w:rFonts w:ascii="Arial" w:hAnsi="Arial" w:cs="Arial"/>
        </w:rPr>
        <w:br/>
      </w:r>
      <w:r w:rsidR="0006292F" w:rsidRPr="00041417">
        <w:rPr>
          <w:rFonts w:ascii="Arial" w:hAnsi="Arial" w:cs="Arial"/>
        </w:rPr>
        <w:t xml:space="preserve">je o této skutečnosti povinen neprodleně informovat </w:t>
      </w:r>
      <w:r w:rsidR="0006292F">
        <w:rPr>
          <w:rFonts w:ascii="Arial" w:hAnsi="Arial" w:cs="Arial"/>
        </w:rPr>
        <w:t>o</w:t>
      </w:r>
      <w:r w:rsidR="0006292F" w:rsidRPr="00041417">
        <w:rPr>
          <w:rFonts w:ascii="Arial" w:hAnsi="Arial" w:cs="Arial"/>
        </w:rPr>
        <w:t xml:space="preserve">bjednatele a uzavřít s ním zpracovatelskou smlouvu v souladu s GDPR a dále postupovat v souladu </w:t>
      </w:r>
      <w:r w:rsidR="0006292F">
        <w:rPr>
          <w:rFonts w:ascii="Arial" w:hAnsi="Arial" w:cs="Arial"/>
        </w:rPr>
        <w:br/>
      </w:r>
      <w:r w:rsidR="0006292F" w:rsidRPr="00041417">
        <w:rPr>
          <w:rFonts w:ascii="Arial" w:hAnsi="Arial" w:cs="Arial"/>
        </w:rPr>
        <w:t>s uvedeným nařízením a zákonem č. 110/2019 Sb., o zpracování osobních údajů.</w:t>
      </w:r>
    </w:p>
    <w:p w14:paraId="2DCA580E" w14:textId="77777777" w:rsidR="0006292F" w:rsidRDefault="000E0B9B" w:rsidP="0006292F">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14:paraId="44BFD4F1" w14:textId="777777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zajistit po celou dobu plnění této smlouvy dodržování veškerých právních předpisů České republiky s důrazem na legální zaměstnávání, spravedlivé odměňování a dodržování bezpečnosti a ochrany zdraví při práci.</w:t>
      </w:r>
    </w:p>
    <w:p w14:paraId="45BCD037" w14:textId="31A9252F" w:rsidR="0006292F" w:rsidRP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při výkonu administrativních činností souvisejících s plněním předmětu smlouvy používat, je-li to objektivně možné, recyklované nebo recyklovatelné materiály, výrobky a obaly.</w:t>
      </w:r>
    </w:p>
    <w:p w14:paraId="7C9928A9" w14:textId="6D3E9E75" w:rsidR="00463AFD" w:rsidRDefault="00463AFD" w:rsidP="00463AFD">
      <w:pPr>
        <w:ind w:left="709" w:hanging="709"/>
        <w:jc w:val="center"/>
        <w:rPr>
          <w:rFonts w:ascii="Arial" w:hAnsi="Arial"/>
          <w:b/>
        </w:rPr>
      </w:pPr>
    </w:p>
    <w:p w14:paraId="1651E891" w14:textId="77777777" w:rsidR="0006292F" w:rsidRPr="00285FCD" w:rsidRDefault="0006292F" w:rsidP="00463AFD">
      <w:pPr>
        <w:ind w:left="709" w:hanging="709"/>
        <w:jc w:val="center"/>
        <w:rPr>
          <w:rFonts w:ascii="Arial" w:hAnsi="Arial"/>
          <w:b/>
        </w:rPr>
      </w:pPr>
    </w:p>
    <w:p w14:paraId="1AB9C545" w14:textId="77777777"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734872C4" w14:textId="77777777"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w:t>
      </w:r>
      <w:proofErr w:type="gramStart"/>
      <w:r w:rsidRPr="00285FCD">
        <w:rPr>
          <w:rFonts w:ascii="Arial" w:hAnsi="Arial"/>
        </w:rPr>
        <w:t>na</w:t>
      </w:r>
      <w:proofErr w:type="gramEnd"/>
      <w:r w:rsidRPr="00285FCD">
        <w:rPr>
          <w:rFonts w:ascii="Arial" w:hAnsi="Arial"/>
        </w:rPr>
        <w:t xml:space="preserve">: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14:paraId="23BB9AD2"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14:paraId="6F2F25DB"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5149798" w14:textId="6D140E17" w:rsidR="002C130B" w:rsidRDefault="002C130B" w:rsidP="002C130B">
      <w:pPr>
        <w:spacing w:line="280" w:lineRule="atLeast"/>
        <w:ind w:left="425"/>
        <w:jc w:val="center"/>
        <w:rPr>
          <w:rFonts w:ascii="Arial" w:hAnsi="Arial" w:cs="Arial"/>
        </w:rPr>
      </w:pPr>
    </w:p>
    <w:p w14:paraId="356D8018" w14:textId="77777777" w:rsidR="00545834" w:rsidRPr="00285FCD" w:rsidRDefault="00545834" w:rsidP="002C130B">
      <w:pPr>
        <w:spacing w:line="280" w:lineRule="atLeast"/>
        <w:ind w:left="425"/>
        <w:jc w:val="center"/>
        <w:rPr>
          <w:rFonts w:ascii="Arial" w:hAnsi="Arial" w:cs="Arial"/>
        </w:rPr>
      </w:pPr>
    </w:p>
    <w:p w14:paraId="347A0547" w14:textId="77777777" w:rsidR="005F0712" w:rsidRPr="00285FCD" w:rsidRDefault="005F0712" w:rsidP="002C130B">
      <w:pPr>
        <w:spacing w:line="276" w:lineRule="auto"/>
        <w:jc w:val="center"/>
        <w:rPr>
          <w:rFonts w:ascii="Arial" w:hAnsi="Arial" w:cs="Arial"/>
          <w:b/>
          <w:bCs/>
        </w:rPr>
      </w:pPr>
      <w:r w:rsidRPr="00285FCD">
        <w:rPr>
          <w:rFonts w:ascii="Arial" w:hAnsi="Arial" w:cs="Arial"/>
          <w:b/>
          <w:bCs/>
        </w:rPr>
        <w:t>Článek VIII.</w:t>
      </w:r>
    </w:p>
    <w:p w14:paraId="48294BB6" w14:textId="77777777"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14:paraId="734A5390" w14:textId="48F62602"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r w:rsidR="00544525" w:rsidRPr="00544525">
        <w:rPr>
          <w:rFonts w:ascii="Arial" w:hAnsi="Arial" w:cs="Arial"/>
        </w:rPr>
        <w:t>XXXX</w:t>
      </w:r>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14:paraId="0574C256" w14:textId="649DCB41"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w:t>
      </w:r>
      <w:r w:rsidR="00545247">
        <w:rPr>
          <w:rFonts w:ascii="Arial" w:hAnsi="Arial" w:cs="Arial"/>
        </w:rPr>
        <w:t>předání připomínek objednatele</w:t>
      </w:r>
      <w:r w:rsidRPr="00285FCD">
        <w:rPr>
          <w:rFonts w:ascii="Arial" w:hAnsi="Arial" w:cs="Arial"/>
        </w:rPr>
        <w:t>.</w:t>
      </w:r>
      <w:r w:rsidR="00545247">
        <w:rPr>
          <w:rFonts w:ascii="Arial" w:hAnsi="Arial" w:cs="Arial"/>
        </w:rPr>
        <w:t xml:space="preserve"> Takové připomínky mohou být vznášeny kdykoli v průběhu plnění smlouvy.</w:t>
      </w:r>
    </w:p>
    <w:p w14:paraId="6B501D01" w14:textId="2DCCE225"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00545247">
        <w:rPr>
          <w:rFonts w:ascii="Arial" w:hAnsi="Arial" w:cs="Arial"/>
        </w:rPr>
        <w:t>ho zákoníku, s tím, že se použije ustanovení odst. 1 a 2 tohoto článku</w:t>
      </w:r>
      <w:r w:rsidR="00545247" w:rsidRPr="00285FCD">
        <w:rPr>
          <w:rFonts w:ascii="Arial" w:hAnsi="Arial" w:cs="Arial"/>
        </w:rPr>
        <w:t>.</w:t>
      </w:r>
    </w:p>
    <w:p w14:paraId="6A6D5B8F" w14:textId="4E1BC5C2" w:rsidR="002C130B"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1A7E8449" w14:textId="42A1D7F0" w:rsidR="001207D6" w:rsidRDefault="001207D6"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5E5E0F0" w14:textId="047F6321" w:rsidR="001207D6" w:rsidRDefault="001207D6"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260A95DF" w14:textId="3C7A8B4E" w:rsidR="001207D6" w:rsidRDefault="001207D6"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443EF3F8" w14:textId="77777777" w:rsidR="001207D6" w:rsidRPr="00285FCD" w:rsidRDefault="001207D6"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005E7045" w14:textId="77777777" w:rsidR="0063154F" w:rsidRPr="00285FCD" w:rsidRDefault="0063154F"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14:paraId="4205A916" w14:textId="77777777" w:rsidR="0063154F" w:rsidRPr="00285FCD" w:rsidRDefault="00463AFD" w:rsidP="00C415E6">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42E21C6E"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w:t>
      </w:r>
      <w:r w:rsidR="0096746E">
        <w:rPr>
          <w:rFonts w:ascii="Arial" w:hAnsi="Arial" w:cs="Arial"/>
        </w:rPr>
        <w:t>g</w:t>
      </w:r>
      <w:r w:rsidR="00CE0CBF" w:rsidRPr="00285FCD">
        <w:rPr>
          <w:rFonts w:ascii="Arial" w:hAnsi="Arial" w:cs="Arial"/>
        </w:rPr>
        <w:t>)</w:t>
      </w:r>
      <w:r w:rsidR="00545247">
        <w:rPr>
          <w:rFonts w:ascii="Arial" w:hAnsi="Arial" w:cs="Arial"/>
        </w:rPr>
        <w:t xml:space="preserve"> ve spojení s čl. III. odst. 6</w:t>
      </w:r>
      <w:r w:rsidR="00CE0CBF" w:rsidRPr="00285FCD">
        <w:rPr>
          <w:rFonts w:ascii="Arial" w:hAnsi="Arial" w:cs="Arial"/>
        </w:rPr>
        <w:t xml:space="preserve">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w:t>
      </w:r>
      <w:r w:rsidR="00111933">
        <w:rPr>
          <w:rFonts w:ascii="Arial" w:hAnsi="Arial" w:cs="Arial"/>
          <w:iCs/>
        </w:rPr>
        <w:t xml:space="preserve"> </w:t>
      </w:r>
      <w:r w:rsidR="00230236" w:rsidRPr="00285FCD">
        <w:rPr>
          <w:rFonts w:ascii="Arial" w:hAnsi="Arial" w:cs="Arial"/>
          <w:iCs/>
        </w:rPr>
        <w:t>000,- Kč, a to za každý i započatý den prodlení</w:t>
      </w:r>
      <w:r w:rsidR="0041264C" w:rsidRPr="00285FCD">
        <w:rPr>
          <w:rFonts w:ascii="Arial" w:hAnsi="Arial" w:cs="Arial"/>
          <w:iCs/>
        </w:rPr>
        <w:t>.</w:t>
      </w:r>
    </w:p>
    <w:p w14:paraId="604A603D" w14:textId="196B1B3C"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 xml:space="preserve">Za porušení povinnosti mlčenlivosti </w:t>
      </w:r>
      <w:r w:rsidR="00545247">
        <w:rPr>
          <w:rFonts w:ascii="Arial" w:hAnsi="Arial" w:cs="Arial"/>
          <w:color w:val="auto"/>
          <w:sz w:val="24"/>
          <w:szCs w:val="24"/>
          <w:lang w:val="cs-CZ"/>
        </w:rPr>
        <w:t xml:space="preserve">a povinností spojených s ochranou osobních údajů a nakládáním s nimi, které jsou </w:t>
      </w:r>
      <w:r w:rsidR="0063154F" w:rsidRPr="00285FCD">
        <w:rPr>
          <w:rFonts w:ascii="Arial" w:hAnsi="Arial" w:cs="Arial"/>
          <w:color w:val="auto"/>
          <w:sz w:val="24"/>
          <w:szCs w:val="24"/>
          <w:lang w:val="cs-CZ"/>
        </w:rPr>
        <w:t>specifikov</w:t>
      </w:r>
      <w:r w:rsidR="00545247">
        <w:rPr>
          <w:rFonts w:ascii="Arial" w:hAnsi="Arial" w:cs="Arial"/>
          <w:color w:val="auto"/>
          <w:sz w:val="24"/>
          <w:szCs w:val="24"/>
          <w:lang w:val="cs-CZ"/>
        </w:rPr>
        <w:t>ány</w:t>
      </w:r>
      <w:r w:rsidR="000B362C" w:rsidRPr="00285FCD">
        <w:rPr>
          <w:rFonts w:ascii="Arial" w:hAnsi="Arial" w:cs="Arial"/>
          <w:color w:val="auto"/>
          <w:sz w:val="24"/>
          <w:szCs w:val="24"/>
          <w:lang w:val="cs-CZ"/>
        </w:rPr>
        <w:t xml:space="preserve">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w:t>
      </w:r>
      <w:r w:rsidR="00545247">
        <w:rPr>
          <w:rFonts w:ascii="Arial" w:hAnsi="Arial" w:cs="Arial"/>
          <w:color w:val="auto"/>
          <w:sz w:val="24"/>
          <w:szCs w:val="24"/>
          <w:lang w:val="cs-CZ"/>
        </w:rPr>
        <w:t xml:space="preserve">9 a </w:t>
      </w:r>
      <w:r w:rsidR="004A0545" w:rsidRPr="00285FCD">
        <w:rPr>
          <w:rFonts w:ascii="Arial" w:hAnsi="Arial" w:cs="Arial"/>
          <w:color w:val="auto"/>
          <w:sz w:val="24"/>
          <w:szCs w:val="24"/>
          <w:lang w:val="cs-CZ"/>
        </w:rPr>
        <w:t xml:space="preserve">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1207D6">
        <w:rPr>
          <w:rFonts w:ascii="Arial" w:hAnsi="Arial" w:cs="Arial"/>
          <w:color w:val="auto"/>
          <w:sz w:val="24"/>
          <w:szCs w:val="24"/>
          <w:lang w:val="cs-CZ"/>
        </w:rPr>
        <w:br/>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14:paraId="205AED49" w14:textId="43DE4268"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 xml:space="preserve">V případě, že zhotovitel neodstraní vady vytýkané objednatelem v jeho reklamaci </w:t>
      </w:r>
      <w:r w:rsidR="00545247">
        <w:rPr>
          <w:rFonts w:ascii="Arial" w:hAnsi="Arial" w:cs="Arial"/>
          <w:color w:val="auto"/>
          <w:sz w:val="24"/>
          <w:szCs w:val="24"/>
          <w:lang w:val="cs-CZ"/>
        </w:rPr>
        <w:t xml:space="preserve">resp. připomínkách </w:t>
      </w:r>
      <w:r w:rsidRPr="00285FCD">
        <w:rPr>
          <w:rFonts w:ascii="Arial" w:hAnsi="Arial" w:cs="Arial"/>
          <w:color w:val="auto"/>
          <w:sz w:val="24"/>
          <w:szCs w:val="24"/>
          <w:lang w:val="cs-CZ"/>
        </w:rPr>
        <w:t>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w:t>
      </w:r>
      <w:r w:rsidR="00111933">
        <w:rPr>
          <w:rFonts w:ascii="Arial" w:hAnsi="Arial" w:cs="Arial"/>
          <w:color w:val="auto"/>
          <w:sz w:val="24"/>
          <w:szCs w:val="24"/>
          <w:lang w:val="cs-CZ"/>
        </w:rPr>
        <w:t xml:space="preserve"> </w:t>
      </w:r>
      <w:r w:rsidR="00441F81" w:rsidRPr="00285FCD">
        <w:rPr>
          <w:rFonts w:ascii="Arial" w:hAnsi="Arial" w:cs="Arial"/>
          <w:color w:val="auto"/>
          <w:sz w:val="24"/>
          <w:szCs w:val="24"/>
          <w:lang w:val="cs-CZ"/>
        </w:rPr>
        <w:t>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w:t>
      </w:r>
      <w:r w:rsidR="00545247">
        <w:rPr>
          <w:rFonts w:ascii="Arial" w:hAnsi="Arial" w:cs="Arial"/>
          <w:color w:val="auto"/>
          <w:sz w:val="24"/>
          <w:szCs w:val="24"/>
          <w:lang w:val="cs-CZ"/>
        </w:rPr>
        <w:br/>
      </w:r>
      <w:r w:rsidRPr="00285FCD">
        <w:rPr>
          <w:rFonts w:ascii="Arial" w:hAnsi="Arial" w:cs="Arial"/>
          <w:color w:val="auto"/>
          <w:sz w:val="24"/>
          <w:szCs w:val="24"/>
          <w:lang w:val="cs-CZ"/>
        </w:rPr>
        <w:t>i započatý den prodlení.</w:t>
      </w:r>
    </w:p>
    <w:p w14:paraId="5B4DDD4A" w14:textId="0A009455"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 xml:space="preserve">V případě, že zhotovitel písemně neoznámí objednateli změnu v termínu </w:t>
      </w:r>
      <w:r w:rsidR="00CD0A1E">
        <w:rPr>
          <w:rFonts w:ascii="Arial" w:hAnsi="Arial" w:cs="Arial"/>
          <w:color w:val="auto"/>
          <w:sz w:val="24"/>
          <w:szCs w:val="24"/>
          <w:lang w:val="cs-CZ"/>
        </w:rPr>
        <w:t>po</w:t>
      </w:r>
      <w:r w:rsidR="000E0B9B" w:rsidRPr="00285FCD">
        <w:rPr>
          <w:rFonts w:ascii="Arial" w:hAnsi="Arial" w:cs="Arial"/>
          <w:color w:val="auto"/>
          <w:sz w:val="24"/>
          <w:szCs w:val="24"/>
          <w:lang w:val="cs-CZ"/>
        </w:rPr>
        <w:t xml:space="preserve">dle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 xml:space="preserve">čl. </w:t>
      </w:r>
      <w:r w:rsidR="00545247">
        <w:rPr>
          <w:rFonts w:ascii="Arial" w:hAnsi="Arial" w:cs="Arial"/>
          <w:color w:val="auto"/>
          <w:sz w:val="24"/>
          <w:szCs w:val="24"/>
          <w:lang w:val="cs-CZ"/>
        </w:rPr>
        <w:t>V</w:t>
      </w:r>
      <w:r w:rsidR="000E0B9B" w:rsidRPr="00285FCD">
        <w:rPr>
          <w:rFonts w:ascii="Arial" w:hAnsi="Arial" w:cs="Arial"/>
          <w:color w:val="auto"/>
          <w:sz w:val="24"/>
          <w:szCs w:val="24"/>
          <w:lang w:val="cs-CZ"/>
        </w:rPr>
        <w:t xml:space="preserve"> odst. 11, je zhotovitel povinen objednateli uhradit smluvní pokutu ve výši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1</w:t>
      </w:r>
      <w:r w:rsidR="00111933">
        <w:rPr>
          <w:rFonts w:ascii="Arial" w:hAnsi="Arial" w:cs="Arial"/>
          <w:color w:val="auto"/>
          <w:sz w:val="24"/>
          <w:szCs w:val="24"/>
          <w:lang w:val="cs-CZ"/>
        </w:rPr>
        <w:t xml:space="preserve"> </w:t>
      </w:r>
      <w:r w:rsidR="000E0B9B" w:rsidRPr="00285FCD">
        <w:rPr>
          <w:rFonts w:ascii="Arial" w:hAnsi="Arial" w:cs="Arial"/>
          <w:color w:val="auto"/>
          <w:sz w:val="24"/>
          <w:szCs w:val="24"/>
          <w:lang w:val="cs-CZ"/>
        </w:rPr>
        <w:t xml:space="preserve">000,- Kč za každý jednotlivý </w:t>
      </w:r>
      <w:r w:rsidR="00545247">
        <w:rPr>
          <w:rFonts w:ascii="Arial" w:hAnsi="Arial" w:cs="Arial"/>
          <w:color w:val="auto"/>
          <w:sz w:val="24"/>
          <w:szCs w:val="24"/>
          <w:lang w:val="cs-CZ"/>
        </w:rPr>
        <w:t xml:space="preserve">případ porušení této povinnosti, jde-li však o případ neoznámení </w:t>
      </w:r>
      <w:r w:rsidR="00545247" w:rsidRPr="00FA68A3">
        <w:rPr>
          <w:rFonts w:ascii="Arial" w:hAnsi="Arial" w:cs="Arial"/>
          <w:color w:val="auto"/>
          <w:sz w:val="24"/>
          <w:szCs w:val="24"/>
          <w:lang w:val="cs-CZ"/>
        </w:rPr>
        <w:t>změny týkající se registrace zhotovitele jako plátce DPH</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 xml:space="preserve">ve výši </w:t>
      </w:r>
      <w:r w:rsidR="00545247">
        <w:rPr>
          <w:rFonts w:ascii="Arial" w:hAnsi="Arial" w:cs="Arial"/>
          <w:color w:val="auto"/>
          <w:sz w:val="24"/>
          <w:szCs w:val="24"/>
          <w:lang w:val="cs-CZ"/>
        </w:rPr>
        <w:br/>
      </w:r>
      <w:r w:rsidR="00545247" w:rsidRPr="00285FCD">
        <w:rPr>
          <w:rFonts w:ascii="Arial" w:hAnsi="Arial" w:cs="Arial"/>
          <w:color w:val="auto"/>
          <w:sz w:val="24"/>
          <w:szCs w:val="24"/>
          <w:lang w:val="cs-CZ"/>
        </w:rPr>
        <w:t>1</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000,- Kč za každý</w:t>
      </w:r>
      <w:r w:rsidR="00545247">
        <w:rPr>
          <w:rFonts w:ascii="Arial" w:hAnsi="Arial" w:cs="Arial"/>
          <w:color w:val="auto"/>
          <w:sz w:val="24"/>
          <w:szCs w:val="24"/>
          <w:lang w:val="cs-CZ"/>
        </w:rPr>
        <w:t xml:space="preserve"> započatý den prodlení</w:t>
      </w:r>
      <w:r w:rsidR="00545247" w:rsidRPr="00285FCD">
        <w:rPr>
          <w:rFonts w:ascii="Arial" w:hAnsi="Arial" w:cs="Arial"/>
          <w:color w:val="auto"/>
          <w:sz w:val="24"/>
          <w:szCs w:val="24"/>
          <w:lang w:val="cs-CZ"/>
        </w:rPr>
        <w:t>.</w:t>
      </w:r>
    </w:p>
    <w:p w14:paraId="552F3C91" w14:textId="7FC85C10" w:rsidR="0063154F"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w:t>
      </w:r>
      <w:r w:rsidR="008667E8">
        <w:rPr>
          <w:rFonts w:ascii="Arial" w:hAnsi="Arial" w:cs="Arial"/>
          <w:color w:val="auto"/>
          <w:sz w:val="24"/>
          <w:szCs w:val="24"/>
          <w:lang w:val="cs-CZ"/>
        </w:rPr>
        <w:t>nosti zajištěné smluvní pokutou</w:t>
      </w:r>
      <w:r w:rsidR="00E92479" w:rsidRPr="00285FCD">
        <w:rPr>
          <w:rFonts w:ascii="Arial" w:hAnsi="Arial" w:cs="Arial"/>
          <w:color w:val="auto"/>
          <w:sz w:val="24"/>
          <w:szCs w:val="24"/>
          <w:lang w:val="cs-CZ"/>
        </w:rPr>
        <w:t>.</w:t>
      </w:r>
    </w:p>
    <w:p w14:paraId="29F6EF4D" w14:textId="062123A3" w:rsidR="00545247" w:rsidRPr="00285FCD"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Pr>
          <w:rFonts w:ascii="Arial" w:hAnsi="Arial" w:cs="Arial"/>
          <w:color w:val="auto"/>
          <w:sz w:val="24"/>
          <w:szCs w:val="24"/>
          <w:lang w:val="cs-CZ"/>
        </w:rPr>
        <w:t xml:space="preserve">6. </w:t>
      </w:r>
      <w:r>
        <w:rPr>
          <w:rFonts w:ascii="Arial" w:hAnsi="Arial" w:cs="Arial"/>
          <w:color w:val="auto"/>
          <w:sz w:val="24"/>
          <w:szCs w:val="24"/>
          <w:lang w:val="cs-CZ"/>
        </w:rPr>
        <w:tab/>
      </w:r>
      <w:r w:rsidRPr="00FA68A3">
        <w:rPr>
          <w:rFonts w:ascii="Arial" w:hAnsi="Arial" w:cs="Arial"/>
          <w:color w:val="auto"/>
          <w:sz w:val="24"/>
          <w:szCs w:val="24"/>
          <w:lang w:val="cs-CZ"/>
        </w:rPr>
        <w:t>Zhotovitel souhlasí, aby objednatel každou smluvní pokutu nebo náhradu škody, na niž mu vznikne nárok, započetl vůči platbě (faktuře) ve smyslu čl. IV či vůči j</w:t>
      </w:r>
      <w:r>
        <w:rPr>
          <w:rFonts w:ascii="Arial" w:hAnsi="Arial" w:cs="Arial"/>
          <w:color w:val="auto"/>
          <w:sz w:val="24"/>
          <w:szCs w:val="24"/>
          <w:lang w:val="cs-CZ"/>
        </w:rPr>
        <w:t>akékoli j</w:t>
      </w:r>
      <w:r w:rsidRPr="00FA68A3">
        <w:rPr>
          <w:rFonts w:ascii="Arial" w:hAnsi="Arial" w:cs="Arial"/>
          <w:color w:val="auto"/>
          <w:sz w:val="24"/>
          <w:szCs w:val="24"/>
          <w:lang w:val="cs-CZ"/>
        </w:rPr>
        <w:t xml:space="preserve">iné pohledávce zhotovitele. Pokud nedojde k započtení, zavazuje se zhotovitel k doplacení </w:t>
      </w:r>
      <w:r>
        <w:rPr>
          <w:rFonts w:ascii="Arial" w:hAnsi="Arial" w:cs="Arial"/>
          <w:color w:val="auto"/>
          <w:sz w:val="24"/>
          <w:szCs w:val="24"/>
          <w:lang w:val="cs-CZ"/>
        </w:rPr>
        <w:t xml:space="preserve">této </w:t>
      </w:r>
      <w:r w:rsidRPr="00FA68A3">
        <w:rPr>
          <w:rFonts w:ascii="Arial" w:hAnsi="Arial" w:cs="Arial"/>
          <w:color w:val="auto"/>
          <w:sz w:val="24"/>
          <w:szCs w:val="24"/>
          <w:lang w:val="cs-CZ"/>
        </w:rPr>
        <w:t>dlužné částky do 30 kalendářních dnů ode dne převzetí písemné výzvy objednatele.</w:t>
      </w:r>
    </w:p>
    <w:p w14:paraId="10337AF8" w14:textId="77777777" w:rsidR="002C130B" w:rsidRPr="00285FCD" w:rsidRDefault="002C130B" w:rsidP="00463AFD">
      <w:pPr>
        <w:numPr>
          <w:ilvl w:val="12"/>
          <w:numId w:val="0"/>
        </w:numPr>
        <w:tabs>
          <w:tab w:val="left" w:pos="0"/>
        </w:tabs>
        <w:ind w:left="567" w:hanging="567"/>
        <w:jc w:val="center"/>
        <w:rPr>
          <w:rFonts w:ascii="Arial" w:hAnsi="Arial"/>
          <w:b/>
        </w:rPr>
      </w:pPr>
    </w:p>
    <w:p w14:paraId="22012BFA" w14:textId="77777777" w:rsidR="00387FA8" w:rsidRPr="00285FCD" w:rsidRDefault="00387FA8" w:rsidP="00463AFD">
      <w:pPr>
        <w:numPr>
          <w:ilvl w:val="12"/>
          <w:numId w:val="0"/>
        </w:numPr>
        <w:tabs>
          <w:tab w:val="left" w:pos="0"/>
        </w:tabs>
        <w:ind w:left="567" w:hanging="567"/>
        <w:jc w:val="center"/>
        <w:rPr>
          <w:rFonts w:ascii="Arial" w:hAnsi="Arial"/>
          <w:b/>
        </w:rPr>
      </w:pPr>
    </w:p>
    <w:p w14:paraId="2200CBEC"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285FCD" w:rsidRDefault="0006554C" w:rsidP="0006554C">
      <w:pPr>
        <w:numPr>
          <w:ilvl w:val="12"/>
          <w:numId w:val="0"/>
        </w:numPr>
        <w:tabs>
          <w:tab w:val="left" w:pos="0"/>
        </w:tabs>
        <w:ind w:left="567" w:hanging="567"/>
        <w:jc w:val="center"/>
        <w:rPr>
          <w:rFonts w:ascii="Arial" w:hAnsi="Arial"/>
          <w:b/>
        </w:rPr>
      </w:pPr>
    </w:p>
    <w:p w14:paraId="0A87812F"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6F8D4616"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14:paraId="19C6B613" w14:textId="50270704"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licenci objednateli (nabyvateli licence) jako výhradní, kdy se zavazuje neposkytnout licenci třetí osobě</w:t>
      </w:r>
      <w:r w:rsidR="00C36F14">
        <w:rPr>
          <w:rFonts w:ascii="Arial" w:hAnsi="Arial" w:cs="Arial"/>
        </w:rPr>
        <w:t>.</w:t>
      </w:r>
      <w:r w:rsidRPr="00285FCD">
        <w:rPr>
          <w:rFonts w:ascii="Arial" w:hAnsi="Arial" w:cs="Arial"/>
        </w:rPr>
        <w:t xml:space="preserve"> </w:t>
      </w:r>
      <w:r w:rsidR="00C36F14">
        <w:rPr>
          <w:rFonts w:ascii="Arial" w:hAnsi="Arial" w:cs="Arial"/>
        </w:rPr>
        <w:t>Zhotovitel je oprávněn d</w:t>
      </w:r>
      <w:r w:rsidRPr="00285FCD">
        <w:rPr>
          <w:rFonts w:ascii="Arial" w:hAnsi="Arial" w:cs="Arial"/>
        </w:rPr>
        <w:t xml:space="preserve">ílo sám užít, včetně oprávnění zveřejnit výsledek díla dle této smlouvy (závěrečnou zprávu), </w:t>
      </w:r>
      <w:r w:rsidR="00C36F14">
        <w:rPr>
          <w:rFonts w:ascii="Arial" w:hAnsi="Arial" w:cs="Arial"/>
        </w:rPr>
        <w:br/>
      </w:r>
      <w:r w:rsidRPr="00285FCD">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není povinen licenci využít.</w:t>
      </w:r>
    </w:p>
    <w:p w14:paraId="7E80E824"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14:paraId="3256B393"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vylučují § 2364, § 2370 a § 2378 občanského zákoníku.</w:t>
      </w:r>
    </w:p>
    <w:p w14:paraId="39A66118"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14:paraId="55E2B9AD"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14:paraId="14B1C429" w14:textId="3D33150F" w:rsidR="0006554C" w:rsidRPr="00285FCD" w:rsidRDefault="0006554C" w:rsidP="00905502">
      <w:pPr>
        <w:numPr>
          <w:ilvl w:val="0"/>
          <w:numId w:val="33"/>
        </w:numPr>
        <w:tabs>
          <w:tab w:val="left" w:pos="0"/>
        </w:tabs>
        <w:spacing w:after="240"/>
        <w:ind w:left="426" w:hanging="426"/>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 xml:space="preserve">tj. smlouvy č. 758-2011-17411 ze dne 1. 8. 2011, smlouvy č. 180-2012-14311 ze dne 30. 1. 2012, č. 24-2013-14311 ze dne </w:t>
      </w:r>
      <w:r w:rsidR="000A1879">
        <w:rPr>
          <w:rFonts w:ascii="Arial" w:hAnsi="Arial" w:cs="Arial"/>
        </w:rPr>
        <w:br/>
      </w:r>
      <w:r w:rsidR="00905502" w:rsidRPr="00285FCD">
        <w:rPr>
          <w:rFonts w:ascii="Arial" w:hAnsi="Arial" w:cs="Arial"/>
        </w:rPr>
        <w:t>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w:t>
      </w:r>
      <w:r w:rsidR="00C47CED">
        <w:rPr>
          <w:rFonts w:ascii="Arial" w:hAnsi="Arial" w:cs="Arial"/>
        </w:rPr>
        <w:t xml:space="preserve">, </w:t>
      </w:r>
      <w:r w:rsidR="00D52899" w:rsidRPr="00285FCD">
        <w:rPr>
          <w:rFonts w:ascii="Arial" w:hAnsi="Arial" w:cs="Arial"/>
        </w:rPr>
        <w:t>č. 148-2018-18111 ze dne 22. 5. 2018</w:t>
      </w:r>
      <w:r w:rsidR="00C415E6">
        <w:rPr>
          <w:rFonts w:ascii="Arial" w:hAnsi="Arial" w:cs="Arial"/>
        </w:rPr>
        <w:t>,</w:t>
      </w:r>
      <w:r w:rsidR="00C47CED">
        <w:rPr>
          <w:rFonts w:ascii="Arial" w:hAnsi="Arial" w:cs="Arial"/>
        </w:rPr>
        <w:t xml:space="preserve"> č. 49-2019-18111 </w:t>
      </w:r>
      <w:r w:rsidR="000A1879">
        <w:rPr>
          <w:rFonts w:ascii="Arial" w:hAnsi="Arial" w:cs="Arial"/>
        </w:rPr>
        <w:br/>
      </w:r>
      <w:r w:rsidR="00C47CED">
        <w:rPr>
          <w:rFonts w:ascii="Arial" w:hAnsi="Arial" w:cs="Arial"/>
        </w:rPr>
        <w:t xml:space="preserve">ze dne </w:t>
      </w:r>
      <w:r w:rsidR="00111933">
        <w:rPr>
          <w:rFonts w:ascii="Arial" w:hAnsi="Arial" w:cs="Arial"/>
        </w:rPr>
        <w:t>1. 3. 2019</w:t>
      </w:r>
      <w:r w:rsidR="00545834">
        <w:rPr>
          <w:rFonts w:ascii="Arial" w:hAnsi="Arial" w:cs="Arial"/>
        </w:rPr>
        <w:t>,</w:t>
      </w:r>
      <w:r w:rsidR="00C415E6">
        <w:rPr>
          <w:rFonts w:ascii="Arial" w:hAnsi="Arial" w:cs="Arial"/>
        </w:rPr>
        <w:t xml:space="preserve"> č. 10-2020-18111 ze dne 11. 6. 2020</w:t>
      </w:r>
      <w:r w:rsidR="00C415E6" w:rsidRPr="00285FCD">
        <w:rPr>
          <w:rFonts w:ascii="Arial" w:hAnsi="Arial" w:cs="Arial"/>
        </w:rPr>
        <w:t xml:space="preserve"> </w:t>
      </w:r>
      <w:r w:rsidR="00545834">
        <w:rPr>
          <w:rFonts w:ascii="Arial" w:hAnsi="Arial" w:cs="Arial"/>
        </w:rPr>
        <w:t xml:space="preserve">a </w:t>
      </w:r>
      <w:r w:rsidR="00545834">
        <w:rPr>
          <w:rFonts w:ascii="Arial" w:hAnsi="Arial" w:cs="Arial"/>
          <w:caps/>
        </w:rPr>
        <w:t xml:space="preserve">269-2021-18111 </w:t>
      </w:r>
      <w:r w:rsidR="00545834">
        <w:rPr>
          <w:rFonts w:ascii="Arial" w:hAnsi="Arial" w:cs="Arial"/>
        </w:rPr>
        <w:t xml:space="preserve">ze dne </w:t>
      </w:r>
      <w:r w:rsidR="00BF76D7">
        <w:rPr>
          <w:rFonts w:ascii="Arial" w:hAnsi="Arial" w:cs="Arial"/>
        </w:rPr>
        <w:t>18. 5. 2021</w:t>
      </w:r>
      <w:r w:rsidR="00545834">
        <w:rPr>
          <w:rFonts w:ascii="Arial" w:hAnsi="Arial" w:cs="Arial"/>
        </w:rPr>
        <w:t xml:space="preserve"> (</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14:paraId="02BF1A29"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14:paraId="785B5262" w14:textId="77777777" w:rsidR="0006554C" w:rsidRPr="00285FCD" w:rsidRDefault="0006554C" w:rsidP="00463AFD">
      <w:pPr>
        <w:numPr>
          <w:ilvl w:val="12"/>
          <w:numId w:val="0"/>
        </w:numPr>
        <w:tabs>
          <w:tab w:val="left" w:pos="0"/>
        </w:tabs>
        <w:ind w:left="567" w:hanging="567"/>
        <w:jc w:val="center"/>
        <w:rPr>
          <w:rFonts w:ascii="Arial" w:hAnsi="Arial"/>
          <w:b/>
        </w:rPr>
      </w:pPr>
    </w:p>
    <w:p w14:paraId="62748259"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14:paraId="2AB96DC5"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14:paraId="26B4E573" w14:textId="77777777" w:rsidR="00463AFD" w:rsidRPr="00285FCD" w:rsidRDefault="00463AFD" w:rsidP="00463AFD">
      <w:pPr>
        <w:numPr>
          <w:ilvl w:val="12"/>
          <w:numId w:val="0"/>
        </w:numPr>
        <w:tabs>
          <w:tab w:val="left" w:pos="0"/>
        </w:tabs>
        <w:ind w:left="708" w:hanging="708"/>
        <w:jc w:val="center"/>
        <w:rPr>
          <w:rFonts w:ascii="Arial" w:hAnsi="Arial"/>
          <w:b/>
        </w:rPr>
      </w:pPr>
    </w:p>
    <w:p w14:paraId="04D3402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14:paraId="3751B831" w14:textId="68EFF17B"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 xml:space="preserve">a účinnosti nabývá dnem jejího </w:t>
      </w:r>
      <w:r w:rsidR="00C36F14">
        <w:rPr>
          <w:rFonts w:ascii="Arial" w:hAnsi="Arial"/>
        </w:rPr>
        <w:t>u</w:t>
      </w:r>
      <w:r w:rsidR="0048793A" w:rsidRPr="00285FCD">
        <w:rPr>
          <w:rFonts w:ascii="Arial" w:hAnsi="Arial"/>
        </w:rPr>
        <w:t>veřejnění v registru smluv</w:t>
      </w:r>
      <w:r w:rsidRPr="00285FCD">
        <w:rPr>
          <w:rFonts w:ascii="Arial" w:hAnsi="Arial"/>
        </w:rPr>
        <w:t xml:space="preserve">. </w:t>
      </w:r>
    </w:p>
    <w:p w14:paraId="5514125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14:paraId="7E101B3F" w14:textId="77777777"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14:paraId="4AF22DF5"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14:paraId="47D9E366"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14:paraId="0CF5A044"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14:paraId="46120CDF"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14:paraId="3D849B62" w14:textId="7C2F9C06"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w:t>
      </w:r>
      <w:r w:rsidR="008218B7">
        <w:rPr>
          <w:rFonts w:ascii="Arial" w:hAnsi="Arial"/>
        </w:rPr>
        <w:t>,</w:t>
      </w:r>
      <w:r w:rsidRPr="00285FCD">
        <w:rPr>
          <w:rFonts w:ascii="Arial" w:hAnsi="Arial"/>
        </w:rPr>
        <w:t xml:space="preserve">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w:t>
      </w:r>
      <w:r w:rsidR="0096746E">
        <w:rPr>
          <w:rFonts w:ascii="Arial" w:hAnsi="Arial"/>
        </w:rPr>
        <w:t>g</w:t>
      </w:r>
      <w:r w:rsidR="00821496" w:rsidRPr="00285FCD">
        <w:rPr>
          <w:rFonts w:ascii="Arial" w:hAnsi="Arial"/>
        </w:rPr>
        <w:t>)</w:t>
      </w:r>
      <w:r w:rsidRPr="00285FCD">
        <w:rPr>
          <w:rFonts w:ascii="Arial" w:hAnsi="Arial"/>
        </w:rPr>
        <w:t xml:space="preserve"> smlouvy.</w:t>
      </w:r>
    </w:p>
    <w:p w14:paraId="2349C64F" w14:textId="77777777"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14:paraId="6049980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14:paraId="0259D10F" w14:textId="498190E2"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285FCD">
        <w:rPr>
          <w:rFonts w:ascii="Arial" w:hAnsi="Arial" w:cs="Arial"/>
          <w:b/>
        </w:rPr>
        <w:t> </w:t>
      </w:r>
      <w:r w:rsidRPr="00285FCD">
        <w:rPr>
          <w:rFonts w:ascii="Arial" w:hAnsi="Arial" w:cs="Arial"/>
        </w:rPr>
        <w:t xml:space="preserve">objednateli </w:t>
      </w:r>
      <w:r w:rsidRPr="00285FCD">
        <w:rPr>
          <w:rFonts w:ascii="Arial" w:hAnsi="Arial"/>
        </w:rPr>
        <w:t xml:space="preserve">vznikne v důsledku objektivní nemožnosti plnění.  </w:t>
      </w:r>
    </w:p>
    <w:p w14:paraId="4AB5ECB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14:paraId="20CF2944"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14:paraId="466ECE33" w14:textId="0AA00DF0"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 xml:space="preserve">svým podpisem níže potvrzuje, že souhlasí s tím, aby obraz této smlouvy včetně jejích případných dodatků a </w:t>
      </w:r>
      <w:proofErr w:type="spellStart"/>
      <w:r w:rsidR="00D636A3" w:rsidRPr="00285FCD">
        <w:rPr>
          <w:rFonts w:ascii="Arial" w:hAnsi="Arial"/>
        </w:rPr>
        <w:t>metadata</w:t>
      </w:r>
      <w:proofErr w:type="spellEnd"/>
      <w:r w:rsidR="00D636A3" w:rsidRPr="00285FCD">
        <w:rPr>
          <w:rFonts w:ascii="Arial" w:hAnsi="Arial"/>
        </w:rPr>
        <w:t xml:space="preserve">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14:paraId="23E952B8" w14:textId="77777777"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14:paraId="19661716"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je vyhotovena ve 4 stejnopisech, z nichž každý má platnost originálu. Každá smluvní strana obdrží po 2 vyhotoveních.</w:t>
      </w:r>
    </w:p>
    <w:p w14:paraId="7C906CF9" w14:textId="77777777" w:rsidR="00C21C2A" w:rsidRPr="00285FCD"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14:paraId="4BB17F52" w14:textId="77777777" w:rsidR="002C130B" w:rsidRPr="00285FCD" w:rsidRDefault="002C130B" w:rsidP="00463AFD">
      <w:pPr>
        <w:rPr>
          <w:rFonts w:ascii="Arial" w:hAnsi="Arial"/>
        </w:rPr>
      </w:pPr>
    </w:p>
    <w:p w14:paraId="736E5829" w14:textId="77777777" w:rsidR="008850B3" w:rsidRPr="00285FCD" w:rsidRDefault="008850B3" w:rsidP="00463AFD">
      <w:pPr>
        <w:rPr>
          <w:rFonts w:ascii="Arial" w:hAnsi="Arial"/>
        </w:rPr>
      </w:pPr>
    </w:p>
    <w:p w14:paraId="6B3901E5" w14:textId="77777777" w:rsidR="008850B3" w:rsidRPr="00285FCD" w:rsidRDefault="008850B3" w:rsidP="00463AFD">
      <w:pPr>
        <w:rPr>
          <w:rFonts w:ascii="Arial" w:hAnsi="Arial"/>
        </w:rPr>
      </w:pPr>
    </w:p>
    <w:p w14:paraId="050AA8B4" w14:textId="77777777"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V Praze dne………………</w:t>
      </w:r>
      <w:r w:rsidR="004C2911" w:rsidRPr="00285FCD">
        <w:rPr>
          <w:rFonts w:ascii="Arial" w:hAnsi="Arial" w:cs="Arial"/>
        </w:rPr>
        <w:t>…</w:t>
      </w:r>
      <w:r w:rsidR="008D587A" w:rsidRPr="00285FCD">
        <w:rPr>
          <w:rFonts w:ascii="Arial" w:hAnsi="Arial" w:cs="Arial"/>
        </w:rPr>
        <w:t>…………….</w:t>
      </w:r>
      <w:r w:rsidR="002C130B" w:rsidRPr="00285FCD">
        <w:rPr>
          <w:rFonts w:ascii="Arial" w:hAnsi="Arial" w:cs="Arial"/>
        </w:rPr>
        <w:t xml:space="preserve"> </w:t>
      </w:r>
      <w:r w:rsidR="002C130B" w:rsidRPr="00285FCD">
        <w:rPr>
          <w:rFonts w:ascii="Arial" w:hAnsi="Arial" w:cs="Arial"/>
        </w:rPr>
        <w:tab/>
        <w:t>V Praze dne</w:t>
      </w:r>
      <w:r w:rsidR="008D587A" w:rsidRPr="00285FCD">
        <w:rPr>
          <w:rFonts w:ascii="Arial" w:hAnsi="Arial" w:cs="Arial"/>
        </w:rPr>
        <w:t>…………………………………..</w:t>
      </w:r>
      <w:r w:rsidR="002C130B" w:rsidRPr="00285FCD">
        <w:rPr>
          <w:rFonts w:ascii="Arial" w:hAnsi="Arial" w:cs="Arial"/>
        </w:rPr>
        <w:t xml:space="preserve"> </w:t>
      </w:r>
    </w:p>
    <w:p w14:paraId="04F6B445" w14:textId="77777777"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14:paraId="3FE06BEE" w14:textId="77777777" w:rsidR="00EB41A7" w:rsidRDefault="00EB41A7" w:rsidP="002C130B">
      <w:pPr>
        <w:tabs>
          <w:tab w:val="left" w:pos="851"/>
          <w:tab w:val="left" w:pos="4500"/>
          <w:tab w:val="left" w:pos="4962"/>
        </w:tabs>
        <w:jc w:val="both"/>
        <w:rPr>
          <w:rFonts w:ascii="Arial" w:hAnsi="Arial" w:cs="Arial"/>
        </w:rPr>
      </w:pPr>
    </w:p>
    <w:p w14:paraId="076E7B5C" w14:textId="61F99BF2"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14:paraId="347F260E" w14:textId="223A4B93" w:rsidR="008850B3" w:rsidRDefault="008850B3" w:rsidP="00282C90">
      <w:pPr>
        <w:tabs>
          <w:tab w:val="left" w:pos="4820"/>
        </w:tabs>
        <w:spacing w:before="120"/>
        <w:jc w:val="both"/>
        <w:rPr>
          <w:rFonts w:ascii="Arial" w:hAnsi="Arial" w:cs="Arial"/>
        </w:rPr>
      </w:pPr>
    </w:p>
    <w:p w14:paraId="3171FCCD" w14:textId="77777777" w:rsidR="00FC3C6E" w:rsidRPr="00285FCD" w:rsidRDefault="00FC3C6E" w:rsidP="00282C90">
      <w:pPr>
        <w:tabs>
          <w:tab w:val="left" w:pos="4820"/>
        </w:tabs>
        <w:spacing w:before="120"/>
        <w:jc w:val="both"/>
        <w:rPr>
          <w:rFonts w:ascii="Arial" w:hAnsi="Arial" w:cs="Arial"/>
        </w:rPr>
      </w:pPr>
      <w:bookmarkStart w:id="0" w:name="_GoBack"/>
      <w:bookmarkEnd w:id="0"/>
    </w:p>
    <w:p w14:paraId="0CE3B251" w14:textId="77777777" w:rsidR="0063154F" w:rsidRPr="00285FCD" w:rsidRDefault="0063154F" w:rsidP="00282C90">
      <w:pPr>
        <w:tabs>
          <w:tab w:val="left" w:pos="4820"/>
        </w:tabs>
        <w:spacing w:before="120"/>
        <w:jc w:val="both"/>
        <w:rPr>
          <w:rFonts w:ascii="Arial" w:hAnsi="Arial" w:cs="Arial"/>
        </w:rPr>
      </w:pPr>
    </w:p>
    <w:p w14:paraId="2C465747" w14:textId="77777777" w:rsidR="00E6094A" w:rsidRPr="00285FCD" w:rsidRDefault="00E6094A" w:rsidP="0063154F">
      <w:pPr>
        <w:tabs>
          <w:tab w:val="left" w:pos="5040"/>
        </w:tabs>
        <w:jc w:val="both"/>
        <w:rPr>
          <w:rFonts w:ascii="Arial" w:hAnsi="Arial" w:cs="Arial"/>
        </w:rPr>
      </w:pPr>
    </w:p>
    <w:p w14:paraId="218F10B1" w14:textId="77777777"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14:paraId="08801E3C" w14:textId="77777777"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14:paraId="580FEACD" w14:textId="460B725C" w:rsidR="00C36F14" w:rsidRDefault="00F42FEB" w:rsidP="00844AAA">
      <w:pPr>
        <w:tabs>
          <w:tab w:val="left" w:pos="1701"/>
          <w:tab w:val="left" w:pos="4860"/>
        </w:tabs>
        <w:rPr>
          <w:rFonts w:ascii="Arial" w:hAnsi="Arial" w:cs="Arial"/>
          <w:b/>
        </w:rPr>
      </w:pPr>
      <w:r>
        <w:rPr>
          <w:rFonts w:ascii="Arial" w:hAnsi="Arial" w:cs="Arial"/>
          <w:b/>
        </w:rPr>
        <w:t xml:space="preserve">              </w:t>
      </w:r>
      <w:r w:rsidR="00C36F14">
        <w:rPr>
          <w:rFonts w:ascii="Arial" w:hAnsi="Arial" w:cs="Arial"/>
          <w:b/>
        </w:rPr>
        <w:t xml:space="preserve">  </w:t>
      </w:r>
      <w:r w:rsidR="00545834">
        <w:rPr>
          <w:rFonts w:ascii="Arial" w:hAnsi="Arial" w:cs="Arial"/>
          <w:b/>
        </w:rPr>
        <w:t xml:space="preserve">  </w:t>
      </w:r>
      <w:r w:rsidR="00544525">
        <w:rPr>
          <w:rFonts w:ascii="Arial" w:hAnsi="Arial" w:cs="Arial"/>
          <w:b/>
        </w:rPr>
        <w:t xml:space="preserve">          </w:t>
      </w:r>
      <w:r w:rsidR="00544525" w:rsidRPr="00544525">
        <w:rPr>
          <w:rFonts w:ascii="Arial" w:hAnsi="Arial" w:cs="Arial"/>
        </w:rPr>
        <w:t>XXXX</w:t>
      </w:r>
      <w:r w:rsidR="00C36F14">
        <w:rPr>
          <w:rFonts w:ascii="Arial" w:hAnsi="Arial" w:cs="Arial"/>
          <w:b/>
        </w:rPr>
        <w:tab/>
      </w:r>
      <w:r w:rsidR="00C36F14">
        <w:rPr>
          <w:rFonts w:ascii="Arial" w:hAnsi="Arial" w:cs="Arial"/>
          <w:b/>
        </w:rPr>
        <w:tab/>
      </w:r>
      <w:r w:rsidR="00C36F14">
        <w:rPr>
          <w:rFonts w:ascii="Arial" w:hAnsi="Arial" w:cs="Arial"/>
          <w:b/>
        </w:rPr>
        <w:tab/>
      </w:r>
      <w:r w:rsidR="00544525">
        <w:rPr>
          <w:rFonts w:ascii="Arial" w:hAnsi="Arial" w:cs="Arial"/>
          <w:b/>
        </w:rPr>
        <w:t xml:space="preserve"> </w:t>
      </w:r>
      <w:r w:rsidR="00544525">
        <w:rPr>
          <w:rFonts w:ascii="Arial" w:hAnsi="Arial" w:cs="Arial"/>
          <w:b/>
        </w:rPr>
        <w:tab/>
        <w:t xml:space="preserve">   </w:t>
      </w:r>
      <w:proofErr w:type="spellStart"/>
      <w:r w:rsidR="00544525" w:rsidRPr="00544525">
        <w:rPr>
          <w:rFonts w:ascii="Arial" w:hAnsi="Arial" w:cs="Arial"/>
        </w:rPr>
        <w:t>XXXX</w:t>
      </w:r>
      <w:proofErr w:type="spellEnd"/>
    </w:p>
    <w:p w14:paraId="3614A5A9" w14:textId="261E928A" w:rsidR="00905557" w:rsidRPr="00C36F14" w:rsidRDefault="00C36F14" w:rsidP="00A573D0">
      <w:pPr>
        <w:tabs>
          <w:tab w:val="left" w:pos="4500"/>
          <w:tab w:val="left" w:pos="4860"/>
        </w:tabs>
        <w:rPr>
          <w:rFonts w:ascii="Arial" w:hAnsi="Arial" w:cs="Arial"/>
          <w:sz w:val="22"/>
        </w:rPr>
      </w:pPr>
      <w:r>
        <w:rPr>
          <w:rFonts w:ascii="Arial" w:hAnsi="Arial" w:cs="Arial"/>
          <w:sz w:val="22"/>
        </w:rPr>
        <w:t xml:space="preserve">     </w:t>
      </w:r>
      <w:r w:rsidRPr="00C36F14">
        <w:rPr>
          <w:rFonts w:ascii="Arial" w:hAnsi="Arial" w:cs="Arial"/>
          <w:sz w:val="22"/>
        </w:rPr>
        <w:t>ředitelka odboru bezpečnosti potravin</w:t>
      </w:r>
      <w:r w:rsidR="002C130B" w:rsidRPr="00C36F14">
        <w:rPr>
          <w:rFonts w:ascii="Arial" w:hAnsi="Arial" w:cs="Arial"/>
          <w:sz w:val="22"/>
        </w:rPr>
        <w:tab/>
      </w:r>
      <w:r w:rsidR="002C130B" w:rsidRPr="00C36F14">
        <w:rPr>
          <w:rFonts w:ascii="Arial" w:hAnsi="Arial" w:cs="Arial"/>
          <w:sz w:val="22"/>
        </w:rPr>
        <w:tab/>
      </w:r>
      <w:r w:rsidR="00F11877" w:rsidRPr="00C36F14">
        <w:rPr>
          <w:rFonts w:ascii="Arial" w:hAnsi="Arial" w:cs="Arial"/>
          <w:sz w:val="22"/>
        </w:rPr>
        <w:t xml:space="preserve">      </w:t>
      </w:r>
      <w:r w:rsidR="00905557" w:rsidRPr="00C36F14">
        <w:rPr>
          <w:rFonts w:ascii="Arial" w:hAnsi="Arial" w:cs="Arial"/>
          <w:sz w:val="22"/>
        </w:rPr>
        <w:tab/>
      </w:r>
      <w:r w:rsidR="008474F2">
        <w:rPr>
          <w:rFonts w:ascii="Arial" w:hAnsi="Arial" w:cs="Arial"/>
          <w:sz w:val="22"/>
        </w:rPr>
        <w:t xml:space="preserve">    </w:t>
      </w:r>
      <w:r w:rsidR="00844AAA">
        <w:rPr>
          <w:rFonts w:ascii="Arial" w:hAnsi="Arial" w:cs="Arial"/>
          <w:sz w:val="22"/>
        </w:rPr>
        <w:t xml:space="preserve"> </w:t>
      </w:r>
      <w:r w:rsidR="00545834">
        <w:rPr>
          <w:rFonts w:ascii="Arial" w:hAnsi="Arial" w:cs="Arial"/>
          <w:sz w:val="22"/>
        </w:rPr>
        <w:t xml:space="preserve">  </w:t>
      </w:r>
      <w:r w:rsidR="00844AAA">
        <w:rPr>
          <w:rFonts w:ascii="Arial" w:hAnsi="Arial" w:cs="Arial"/>
          <w:sz w:val="22"/>
        </w:rPr>
        <w:t xml:space="preserve">      </w:t>
      </w:r>
      <w:r w:rsidR="008474F2">
        <w:rPr>
          <w:rFonts w:ascii="Arial" w:hAnsi="Arial" w:cs="Arial"/>
          <w:sz w:val="22"/>
        </w:rPr>
        <w:t>ř</w:t>
      </w:r>
      <w:r w:rsidR="00844AAA">
        <w:rPr>
          <w:rFonts w:ascii="Arial" w:hAnsi="Arial" w:cs="Arial"/>
          <w:sz w:val="22"/>
        </w:rPr>
        <w:t>editelka</w:t>
      </w:r>
    </w:p>
    <w:sectPr w:rsidR="00905557" w:rsidRPr="00C36F14" w:rsidSect="00793EF1">
      <w:footerReference w:type="even" r:id="rId8"/>
      <w:footerReference w:type="default" r:id="rId9"/>
      <w:footerReference w:type="first" r:id="rId10"/>
      <w:pgSz w:w="11906" w:h="16838"/>
      <w:pgMar w:top="1134" w:right="1304" w:bottom="1134" w:left="1361" w:header="709" w:footer="40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65F1" w16cex:dateUtc="2020-04-02T11:24:00Z"/>
  <w16cex:commentExtensible w16cex:durableId="223065FF" w16cex:dateUtc="2020-04-02T11:24:00Z"/>
  <w16cex:commentExtensible w16cex:durableId="22306611" w16cex:dateUtc="2020-04-0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F0E33" w16cid:durableId="223065F1"/>
  <w16cid:commentId w16cid:paraId="3536F118" w16cid:durableId="223065FF"/>
  <w16cid:commentId w16cid:paraId="390F3DE2" w16cid:durableId="22306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B5CE5" w14:textId="77777777" w:rsidR="00572468" w:rsidRDefault="00572468">
      <w:r>
        <w:separator/>
      </w:r>
    </w:p>
  </w:endnote>
  <w:endnote w:type="continuationSeparator" w:id="0">
    <w:p w14:paraId="3C0E8B9B" w14:textId="77777777" w:rsidR="00572468" w:rsidRDefault="005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F50B" w14:textId="762F7C66" w:rsidR="00C01EFE" w:rsidRPr="0006292F" w:rsidRDefault="00C01EFE">
    <w:pPr>
      <w:pStyle w:val="Zpat"/>
      <w:jc w:val="center"/>
      <w:rPr>
        <w:rFonts w:ascii="Arial" w:hAnsi="Arial" w:cs="Arial"/>
        <w:sz w:val="22"/>
      </w:rPr>
    </w:pPr>
    <w:r w:rsidRPr="0006292F">
      <w:rPr>
        <w:rFonts w:ascii="Arial" w:hAnsi="Arial" w:cs="Arial"/>
        <w:sz w:val="22"/>
      </w:rPr>
      <w:fldChar w:fldCharType="begin"/>
    </w:r>
    <w:r w:rsidRPr="0006292F">
      <w:rPr>
        <w:rFonts w:ascii="Arial" w:hAnsi="Arial" w:cs="Arial"/>
        <w:sz w:val="22"/>
      </w:rPr>
      <w:instrText xml:space="preserve"> PAGE   \* MERGEFORMAT </w:instrText>
    </w:r>
    <w:r w:rsidRPr="0006292F">
      <w:rPr>
        <w:rFonts w:ascii="Arial" w:hAnsi="Arial" w:cs="Arial"/>
        <w:sz w:val="22"/>
      </w:rPr>
      <w:fldChar w:fldCharType="separate"/>
    </w:r>
    <w:r w:rsidR="00544525">
      <w:rPr>
        <w:rFonts w:ascii="Arial" w:hAnsi="Arial" w:cs="Arial"/>
        <w:noProof/>
        <w:sz w:val="22"/>
      </w:rPr>
      <w:t>10</w:t>
    </w:r>
    <w:r w:rsidRPr="0006292F">
      <w:rPr>
        <w:rFonts w:ascii="Arial" w:hAnsi="Arial" w:cs="Arial"/>
        <w:sz w:val="22"/>
      </w:rP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972A" w14:textId="3316DA94" w:rsidR="00D00536" w:rsidRPr="00FC3C6E" w:rsidRDefault="00D00536" w:rsidP="00FC3C6E">
    <w:pPr>
      <w:pStyle w:val="Zpat"/>
      <w:jc w:val="center"/>
      <w:rPr>
        <w:rFonts w:ascii="Arial" w:hAnsi="Arial" w:cs="Arial"/>
        <w:sz w:val="22"/>
      </w:rPr>
    </w:pPr>
    <w:r w:rsidRPr="00FC3C6E">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91F1" w14:textId="77777777" w:rsidR="00572468" w:rsidRDefault="00572468">
      <w:r>
        <w:separator/>
      </w:r>
    </w:p>
  </w:footnote>
  <w:footnote w:type="continuationSeparator" w:id="0">
    <w:p w14:paraId="76D14010" w14:textId="77777777" w:rsidR="00572468" w:rsidRDefault="005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0817530"/>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7"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1"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8"/>
  </w:num>
  <w:num w:numId="3">
    <w:abstractNumId w:val="14"/>
  </w:num>
  <w:num w:numId="4">
    <w:abstractNumId w:val="10"/>
  </w:num>
  <w:num w:numId="5">
    <w:abstractNumId w:val="22"/>
  </w:num>
  <w:num w:numId="6">
    <w:abstractNumId w:val="23"/>
  </w:num>
  <w:num w:numId="7">
    <w:abstractNumId w:val="29"/>
  </w:num>
  <w:num w:numId="8">
    <w:abstractNumId w:val="30"/>
  </w:num>
  <w:num w:numId="9">
    <w:abstractNumId w:val="1"/>
  </w:num>
  <w:num w:numId="10">
    <w:abstractNumId w:val="16"/>
  </w:num>
  <w:num w:numId="11">
    <w:abstractNumId w:val="26"/>
  </w:num>
  <w:num w:numId="12">
    <w:abstractNumId w:val="13"/>
  </w:num>
  <w:num w:numId="13">
    <w:abstractNumId w:val="9"/>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3"/>
  </w:num>
  <w:num w:numId="19">
    <w:abstractNumId w:val="25"/>
  </w:num>
  <w:num w:numId="20">
    <w:abstractNumId w:val="31"/>
  </w:num>
  <w:num w:numId="21">
    <w:abstractNumId w:val="4"/>
  </w:num>
  <w:num w:numId="22">
    <w:abstractNumId w:val="0"/>
  </w:num>
  <w:num w:numId="23">
    <w:abstractNumId w:val="28"/>
  </w:num>
  <w:num w:numId="24">
    <w:abstractNumId w:val="18"/>
  </w:num>
  <w:num w:numId="25">
    <w:abstractNumId w:val="17"/>
  </w:num>
  <w:num w:numId="26">
    <w:abstractNumId w:val="5"/>
  </w:num>
  <w:num w:numId="27">
    <w:abstractNumId w:val="27"/>
  </w:num>
  <w:num w:numId="28">
    <w:abstractNumId w:val="7"/>
  </w:num>
  <w:num w:numId="29">
    <w:abstractNumId w:val="15"/>
  </w:num>
  <w:num w:numId="30">
    <w:abstractNumId w:val="20"/>
  </w:num>
  <w:num w:numId="31">
    <w:abstractNumId w:val="6"/>
  </w:num>
  <w:num w:numId="32">
    <w:abstractNumId w:val="19"/>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4F"/>
    <w:rsid w:val="00010748"/>
    <w:rsid w:val="0002069B"/>
    <w:rsid w:val="000231D2"/>
    <w:rsid w:val="000246F1"/>
    <w:rsid w:val="00024B7B"/>
    <w:rsid w:val="00024ECB"/>
    <w:rsid w:val="00030905"/>
    <w:rsid w:val="00043152"/>
    <w:rsid w:val="00050FC4"/>
    <w:rsid w:val="00052EFA"/>
    <w:rsid w:val="0006292F"/>
    <w:rsid w:val="0006486E"/>
    <w:rsid w:val="00065212"/>
    <w:rsid w:val="0006554C"/>
    <w:rsid w:val="00065D4C"/>
    <w:rsid w:val="00067956"/>
    <w:rsid w:val="00086DF2"/>
    <w:rsid w:val="00091E6B"/>
    <w:rsid w:val="00096170"/>
    <w:rsid w:val="0009796B"/>
    <w:rsid w:val="000A0090"/>
    <w:rsid w:val="000A1879"/>
    <w:rsid w:val="000A3147"/>
    <w:rsid w:val="000A4FAB"/>
    <w:rsid w:val="000B362C"/>
    <w:rsid w:val="000B6828"/>
    <w:rsid w:val="000C4470"/>
    <w:rsid w:val="000C45C2"/>
    <w:rsid w:val="000E095B"/>
    <w:rsid w:val="000E0B9B"/>
    <w:rsid w:val="001014CB"/>
    <w:rsid w:val="00101F0B"/>
    <w:rsid w:val="001035E5"/>
    <w:rsid w:val="0011006F"/>
    <w:rsid w:val="00111933"/>
    <w:rsid w:val="001170EF"/>
    <w:rsid w:val="001207D6"/>
    <w:rsid w:val="00123312"/>
    <w:rsid w:val="00126873"/>
    <w:rsid w:val="00130DA5"/>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5E9A"/>
    <w:rsid w:val="001A6667"/>
    <w:rsid w:val="001B3541"/>
    <w:rsid w:val="001B46B9"/>
    <w:rsid w:val="001B78B4"/>
    <w:rsid w:val="001C0134"/>
    <w:rsid w:val="001E30F3"/>
    <w:rsid w:val="001F205A"/>
    <w:rsid w:val="001F581E"/>
    <w:rsid w:val="0021447D"/>
    <w:rsid w:val="0022795D"/>
    <w:rsid w:val="00230236"/>
    <w:rsid w:val="00232F39"/>
    <w:rsid w:val="002421B4"/>
    <w:rsid w:val="002628F4"/>
    <w:rsid w:val="00275AA2"/>
    <w:rsid w:val="00282C90"/>
    <w:rsid w:val="0028493F"/>
    <w:rsid w:val="00285FCD"/>
    <w:rsid w:val="00297211"/>
    <w:rsid w:val="002A09ED"/>
    <w:rsid w:val="002B7BF8"/>
    <w:rsid w:val="002C130B"/>
    <w:rsid w:val="002C1D82"/>
    <w:rsid w:val="002C1E54"/>
    <w:rsid w:val="002C29AF"/>
    <w:rsid w:val="002C3A77"/>
    <w:rsid w:val="002C4993"/>
    <w:rsid w:val="002C4B94"/>
    <w:rsid w:val="002D0B51"/>
    <w:rsid w:val="002D3262"/>
    <w:rsid w:val="002F00E5"/>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80D36"/>
    <w:rsid w:val="003874B9"/>
    <w:rsid w:val="00387FA8"/>
    <w:rsid w:val="003B65E3"/>
    <w:rsid w:val="003B7F5E"/>
    <w:rsid w:val="003C1AE3"/>
    <w:rsid w:val="003C2714"/>
    <w:rsid w:val="003C5618"/>
    <w:rsid w:val="003C6219"/>
    <w:rsid w:val="003D2972"/>
    <w:rsid w:val="003D7585"/>
    <w:rsid w:val="003E12EC"/>
    <w:rsid w:val="003E2549"/>
    <w:rsid w:val="003F3620"/>
    <w:rsid w:val="003F3781"/>
    <w:rsid w:val="003F379B"/>
    <w:rsid w:val="003F3D06"/>
    <w:rsid w:val="004005B6"/>
    <w:rsid w:val="00401010"/>
    <w:rsid w:val="0040346A"/>
    <w:rsid w:val="00407EAA"/>
    <w:rsid w:val="0041264C"/>
    <w:rsid w:val="00422D73"/>
    <w:rsid w:val="0042568D"/>
    <w:rsid w:val="00431B8F"/>
    <w:rsid w:val="0043466B"/>
    <w:rsid w:val="00441F81"/>
    <w:rsid w:val="004475E7"/>
    <w:rsid w:val="00451608"/>
    <w:rsid w:val="004535B9"/>
    <w:rsid w:val="00463AFD"/>
    <w:rsid w:val="00465390"/>
    <w:rsid w:val="00465899"/>
    <w:rsid w:val="004705F0"/>
    <w:rsid w:val="00483C44"/>
    <w:rsid w:val="0048793A"/>
    <w:rsid w:val="004900AB"/>
    <w:rsid w:val="00494000"/>
    <w:rsid w:val="0049785B"/>
    <w:rsid w:val="004A0545"/>
    <w:rsid w:val="004B6AA1"/>
    <w:rsid w:val="004C2911"/>
    <w:rsid w:val="004D3A82"/>
    <w:rsid w:val="004D662F"/>
    <w:rsid w:val="004D7D78"/>
    <w:rsid w:val="00500ED2"/>
    <w:rsid w:val="0050303A"/>
    <w:rsid w:val="00503F9B"/>
    <w:rsid w:val="005109D4"/>
    <w:rsid w:val="0051467C"/>
    <w:rsid w:val="00516147"/>
    <w:rsid w:val="00544525"/>
    <w:rsid w:val="00545247"/>
    <w:rsid w:val="00545834"/>
    <w:rsid w:val="00553DFF"/>
    <w:rsid w:val="005542F3"/>
    <w:rsid w:val="00566770"/>
    <w:rsid w:val="00571585"/>
    <w:rsid w:val="00572468"/>
    <w:rsid w:val="00576037"/>
    <w:rsid w:val="00576B08"/>
    <w:rsid w:val="00583012"/>
    <w:rsid w:val="00583335"/>
    <w:rsid w:val="00591C61"/>
    <w:rsid w:val="0059666A"/>
    <w:rsid w:val="005B260E"/>
    <w:rsid w:val="005C0546"/>
    <w:rsid w:val="005C08C0"/>
    <w:rsid w:val="005D227A"/>
    <w:rsid w:val="005E2C21"/>
    <w:rsid w:val="005F0712"/>
    <w:rsid w:val="00603155"/>
    <w:rsid w:val="00605FB9"/>
    <w:rsid w:val="006061A8"/>
    <w:rsid w:val="00607C06"/>
    <w:rsid w:val="00607F34"/>
    <w:rsid w:val="006123F6"/>
    <w:rsid w:val="00613798"/>
    <w:rsid w:val="00620F87"/>
    <w:rsid w:val="00624D64"/>
    <w:rsid w:val="00626438"/>
    <w:rsid w:val="0063154F"/>
    <w:rsid w:val="006351D3"/>
    <w:rsid w:val="006419B5"/>
    <w:rsid w:val="00651CC5"/>
    <w:rsid w:val="00653272"/>
    <w:rsid w:val="00654DBD"/>
    <w:rsid w:val="00657010"/>
    <w:rsid w:val="00657413"/>
    <w:rsid w:val="006632B9"/>
    <w:rsid w:val="0066333F"/>
    <w:rsid w:val="00667D80"/>
    <w:rsid w:val="00670EE5"/>
    <w:rsid w:val="00673EE9"/>
    <w:rsid w:val="00675EA8"/>
    <w:rsid w:val="0069070A"/>
    <w:rsid w:val="006942A1"/>
    <w:rsid w:val="006B059C"/>
    <w:rsid w:val="006C0C52"/>
    <w:rsid w:val="006C0CF0"/>
    <w:rsid w:val="006D3123"/>
    <w:rsid w:val="006F0D1F"/>
    <w:rsid w:val="006F6478"/>
    <w:rsid w:val="007051F1"/>
    <w:rsid w:val="007318DE"/>
    <w:rsid w:val="007334E2"/>
    <w:rsid w:val="007361F0"/>
    <w:rsid w:val="00737BBF"/>
    <w:rsid w:val="007462BF"/>
    <w:rsid w:val="00746397"/>
    <w:rsid w:val="007500D8"/>
    <w:rsid w:val="00753187"/>
    <w:rsid w:val="007547DB"/>
    <w:rsid w:val="00761E10"/>
    <w:rsid w:val="00762790"/>
    <w:rsid w:val="00766E32"/>
    <w:rsid w:val="00781A01"/>
    <w:rsid w:val="00793EF1"/>
    <w:rsid w:val="007C18AE"/>
    <w:rsid w:val="007D08BD"/>
    <w:rsid w:val="007D4614"/>
    <w:rsid w:val="007E1BF7"/>
    <w:rsid w:val="007E3A53"/>
    <w:rsid w:val="007E64AB"/>
    <w:rsid w:val="008014AD"/>
    <w:rsid w:val="00802E5A"/>
    <w:rsid w:val="008032D1"/>
    <w:rsid w:val="00804566"/>
    <w:rsid w:val="008049F6"/>
    <w:rsid w:val="00811D5B"/>
    <w:rsid w:val="00813172"/>
    <w:rsid w:val="00821496"/>
    <w:rsid w:val="008218B7"/>
    <w:rsid w:val="00823CDC"/>
    <w:rsid w:val="00832034"/>
    <w:rsid w:val="00844AAA"/>
    <w:rsid w:val="0084514B"/>
    <w:rsid w:val="00845F8B"/>
    <w:rsid w:val="008474F2"/>
    <w:rsid w:val="00857124"/>
    <w:rsid w:val="00857B2A"/>
    <w:rsid w:val="0086610B"/>
    <w:rsid w:val="008667E8"/>
    <w:rsid w:val="00870C4F"/>
    <w:rsid w:val="0087727F"/>
    <w:rsid w:val="00880A5B"/>
    <w:rsid w:val="008850B3"/>
    <w:rsid w:val="00885C93"/>
    <w:rsid w:val="008928E8"/>
    <w:rsid w:val="008A0E0F"/>
    <w:rsid w:val="008A31AF"/>
    <w:rsid w:val="008A3479"/>
    <w:rsid w:val="008B1E34"/>
    <w:rsid w:val="008B2C5F"/>
    <w:rsid w:val="008C15D4"/>
    <w:rsid w:val="008C1AA1"/>
    <w:rsid w:val="008D587A"/>
    <w:rsid w:val="008D6529"/>
    <w:rsid w:val="008F060A"/>
    <w:rsid w:val="008F17E7"/>
    <w:rsid w:val="008F1FA9"/>
    <w:rsid w:val="008F630F"/>
    <w:rsid w:val="00901685"/>
    <w:rsid w:val="00903508"/>
    <w:rsid w:val="0090416A"/>
    <w:rsid w:val="00905502"/>
    <w:rsid w:val="00905557"/>
    <w:rsid w:val="00906F4C"/>
    <w:rsid w:val="00907ABC"/>
    <w:rsid w:val="00915478"/>
    <w:rsid w:val="00916908"/>
    <w:rsid w:val="0091762F"/>
    <w:rsid w:val="009249A7"/>
    <w:rsid w:val="00927E89"/>
    <w:rsid w:val="00940E86"/>
    <w:rsid w:val="00945FFC"/>
    <w:rsid w:val="009468CD"/>
    <w:rsid w:val="0094712E"/>
    <w:rsid w:val="00950D7B"/>
    <w:rsid w:val="009527FA"/>
    <w:rsid w:val="00954755"/>
    <w:rsid w:val="00954FB9"/>
    <w:rsid w:val="0096746E"/>
    <w:rsid w:val="00971A65"/>
    <w:rsid w:val="00974D75"/>
    <w:rsid w:val="00986E78"/>
    <w:rsid w:val="0099516A"/>
    <w:rsid w:val="009C10E0"/>
    <w:rsid w:val="009C38D5"/>
    <w:rsid w:val="009D6C83"/>
    <w:rsid w:val="009E221C"/>
    <w:rsid w:val="009E42B7"/>
    <w:rsid w:val="009F46A5"/>
    <w:rsid w:val="00A020E4"/>
    <w:rsid w:val="00A041AF"/>
    <w:rsid w:val="00A053DC"/>
    <w:rsid w:val="00A309B9"/>
    <w:rsid w:val="00A35BB6"/>
    <w:rsid w:val="00A35D2B"/>
    <w:rsid w:val="00A368C4"/>
    <w:rsid w:val="00A37253"/>
    <w:rsid w:val="00A42BA5"/>
    <w:rsid w:val="00A573D0"/>
    <w:rsid w:val="00A62C96"/>
    <w:rsid w:val="00A6405E"/>
    <w:rsid w:val="00A72BA1"/>
    <w:rsid w:val="00A75529"/>
    <w:rsid w:val="00A85F69"/>
    <w:rsid w:val="00A92814"/>
    <w:rsid w:val="00A93D49"/>
    <w:rsid w:val="00A95A56"/>
    <w:rsid w:val="00AA47CA"/>
    <w:rsid w:val="00AB0D8A"/>
    <w:rsid w:val="00AB369E"/>
    <w:rsid w:val="00AC11FB"/>
    <w:rsid w:val="00AC2C6B"/>
    <w:rsid w:val="00AC5B01"/>
    <w:rsid w:val="00AD74AA"/>
    <w:rsid w:val="00AF3F00"/>
    <w:rsid w:val="00AF7029"/>
    <w:rsid w:val="00B011F8"/>
    <w:rsid w:val="00B025AD"/>
    <w:rsid w:val="00B24A07"/>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A1369"/>
    <w:rsid w:val="00BA2AFE"/>
    <w:rsid w:val="00BA65BC"/>
    <w:rsid w:val="00BA6AC2"/>
    <w:rsid w:val="00BB1958"/>
    <w:rsid w:val="00BB58F7"/>
    <w:rsid w:val="00BC2E65"/>
    <w:rsid w:val="00BC4C99"/>
    <w:rsid w:val="00BC4F4C"/>
    <w:rsid w:val="00BC5BCD"/>
    <w:rsid w:val="00BC68C2"/>
    <w:rsid w:val="00BD063E"/>
    <w:rsid w:val="00BD6FE9"/>
    <w:rsid w:val="00BE30C9"/>
    <w:rsid w:val="00BF76D7"/>
    <w:rsid w:val="00C011EF"/>
    <w:rsid w:val="00C01EFE"/>
    <w:rsid w:val="00C07EEA"/>
    <w:rsid w:val="00C1491B"/>
    <w:rsid w:val="00C2183A"/>
    <w:rsid w:val="00C21C2A"/>
    <w:rsid w:val="00C22769"/>
    <w:rsid w:val="00C2340F"/>
    <w:rsid w:val="00C3168D"/>
    <w:rsid w:val="00C316F8"/>
    <w:rsid w:val="00C32862"/>
    <w:rsid w:val="00C3535E"/>
    <w:rsid w:val="00C36F14"/>
    <w:rsid w:val="00C37C9A"/>
    <w:rsid w:val="00C40CFC"/>
    <w:rsid w:val="00C415E6"/>
    <w:rsid w:val="00C45216"/>
    <w:rsid w:val="00C45671"/>
    <w:rsid w:val="00C47CED"/>
    <w:rsid w:val="00C5798C"/>
    <w:rsid w:val="00C57D77"/>
    <w:rsid w:val="00C61525"/>
    <w:rsid w:val="00C627A1"/>
    <w:rsid w:val="00C64DC4"/>
    <w:rsid w:val="00C662CE"/>
    <w:rsid w:val="00C75CD7"/>
    <w:rsid w:val="00C82240"/>
    <w:rsid w:val="00C84C01"/>
    <w:rsid w:val="00C96768"/>
    <w:rsid w:val="00C97808"/>
    <w:rsid w:val="00CA7803"/>
    <w:rsid w:val="00CB7306"/>
    <w:rsid w:val="00CB78E9"/>
    <w:rsid w:val="00CC18EB"/>
    <w:rsid w:val="00CC1AD7"/>
    <w:rsid w:val="00CC25E0"/>
    <w:rsid w:val="00CC7C23"/>
    <w:rsid w:val="00CC7FCE"/>
    <w:rsid w:val="00CD04EE"/>
    <w:rsid w:val="00CD0A1E"/>
    <w:rsid w:val="00CD1A20"/>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79EA"/>
    <w:rsid w:val="00D714AA"/>
    <w:rsid w:val="00D739F0"/>
    <w:rsid w:val="00D75707"/>
    <w:rsid w:val="00D75879"/>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6CB8"/>
    <w:rsid w:val="00E10886"/>
    <w:rsid w:val="00E134A6"/>
    <w:rsid w:val="00E13BE8"/>
    <w:rsid w:val="00E20198"/>
    <w:rsid w:val="00E30B98"/>
    <w:rsid w:val="00E3304C"/>
    <w:rsid w:val="00E34077"/>
    <w:rsid w:val="00E43807"/>
    <w:rsid w:val="00E45F6A"/>
    <w:rsid w:val="00E521EA"/>
    <w:rsid w:val="00E53976"/>
    <w:rsid w:val="00E569C4"/>
    <w:rsid w:val="00E6094A"/>
    <w:rsid w:val="00E720F4"/>
    <w:rsid w:val="00E804C9"/>
    <w:rsid w:val="00E81C7B"/>
    <w:rsid w:val="00E92479"/>
    <w:rsid w:val="00E92CDB"/>
    <w:rsid w:val="00E93BE3"/>
    <w:rsid w:val="00E94E29"/>
    <w:rsid w:val="00E96332"/>
    <w:rsid w:val="00EA28D0"/>
    <w:rsid w:val="00EA4DAD"/>
    <w:rsid w:val="00EB2B5C"/>
    <w:rsid w:val="00EB41A7"/>
    <w:rsid w:val="00EC4BBA"/>
    <w:rsid w:val="00ED116A"/>
    <w:rsid w:val="00ED467A"/>
    <w:rsid w:val="00EE692F"/>
    <w:rsid w:val="00F00047"/>
    <w:rsid w:val="00F071CE"/>
    <w:rsid w:val="00F11877"/>
    <w:rsid w:val="00F157C3"/>
    <w:rsid w:val="00F22C36"/>
    <w:rsid w:val="00F25B98"/>
    <w:rsid w:val="00F30E49"/>
    <w:rsid w:val="00F3454F"/>
    <w:rsid w:val="00F354A1"/>
    <w:rsid w:val="00F3634F"/>
    <w:rsid w:val="00F36E9C"/>
    <w:rsid w:val="00F42FEB"/>
    <w:rsid w:val="00F60BCF"/>
    <w:rsid w:val="00F64E40"/>
    <w:rsid w:val="00F66AEA"/>
    <w:rsid w:val="00F74DF2"/>
    <w:rsid w:val="00F76027"/>
    <w:rsid w:val="00F97FA4"/>
    <w:rsid w:val="00FA3FD1"/>
    <w:rsid w:val="00FA6276"/>
    <w:rsid w:val="00FB3891"/>
    <w:rsid w:val="00FB47B3"/>
    <w:rsid w:val="00FB61E8"/>
    <w:rsid w:val="00FC254E"/>
    <w:rsid w:val="00FC3C6E"/>
    <w:rsid w:val="00FC734B"/>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0F77"/>
  <w15:docId w15:val="{09AB9796-7D71-4C72-8C5E-08A216F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343746439">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2C60-6DC4-4309-A323-DA42A5FA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3737</Words>
  <Characters>22055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25741</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Beneš Petr</cp:lastModifiedBy>
  <cp:revision>3</cp:revision>
  <cp:lastPrinted>2011-06-28T13:01:00Z</cp:lastPrinted>
  <dcterms:created xsi:type="dcterms:W3CDTF">2022-06-06T05:59:00Z</dcterms:created>
  <dcterms:modified xsi:type="dcterms:W3CDTF">2022-06-06T06:01:00Z</dcterms:modified>
</cp:coreProperties>
</file>