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>3614 Childress Avenue, 63109 St. Louis, MO, United States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90781B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2022</w:t>
      </w:r>
      <w:r w:rsidR="005A23FC" w:rsidRPr="006B17FE">
        <w:rPr>
          <w:rFonts w:ascii="Arial" w:hAnsi="Arial" w:cs="Arial"/>
          <w:b/>
        </w:rPr>
        <w:t>/VOT/01</w:t>
      </w:r>
      <w:r>
        <w:rPr>
          <w:rFonts w:ascii="Arial" w:hAnsi="Arial" w:cs="Arial"/>
          <w:b/>
        </w:rPr>
        <w:t>a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703756" w:rsidRPr="00703756">
        <w:rPr>
          <w:rFonts w:ascii="Arial" w:hAnsi="Arial" w:cs="Arial"/>
        </w:rPr>
        <w:t>Workshop on Genomics (WOG)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334FC0">
        <w:rPr>
          <w:rFonts w:ascii="Arial" w:hAnsi="Arial" w:cs="Arial"/>
        </w:rPr>
        <w:t>22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FC0">
        <w:rPr>
          <w:rFonts w:ascii="Arial" w:hAnsi="Arial" w:cs="Arial"/>
        </w:rPr>
        <w:t>5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334FC0">
        <w:rPr>
          <w:rFonts w:ascii="Arial" w:hAnsi="Arial" w:cs="Arial"/>
        </w:rPr>
        <w:t xml:space="preserve"> 3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FC0">
        <w:rPr>
          <w:rFonts w:ascii="Arial" w:hAnsi="Arial" w:cs="Arial"/>
        </w:rPr>
        <w:t>6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FC0">
        <w:rPr>
          <w:rFonts w:ascii="Arial" w:hAnsi="Arial" w:cs="Arial"/>
        </w:rPr>
        <w:t>2022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F63E56">
        <w:rPr>
          <w:rFonts w:ascii="Arial" w:hAnsi="Arial" w:cs="Arial"/>
        </w:rPr>
        <w:t>WOG Prokyšův a Gotický sál, 22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F63E56">
        <w:rPr>
          <w:rFonts w:ascii="Arial" w:hAnsi="Arial" w:cs="Arial"/>
        </w:rPr>
        <w:t>5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F63E56">
        <w:rPr>
          <w:rFonts w:ascii="Arial" w:hAnsi="Arial" w:cs="Arial"/>
        </w:rPr>
        <w:t xml:space="preserve"> 3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F63E56">
        <w:rPr>
          <w:rFonts w:ascii="Arial" w:hAnsi="Arial" w:cs="Arial"/>
        </w:rPr>
        <w:t>6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F63E56">
        <w:rPr>
          <w:rFonts w:ascii="Arial" w:hAnsi="Arial" w:cs="Arial"/>
        </w:rPr>
        <w:t>2022</w:t>
      </w:r>
    </w:p>
    <w:p w:rsidR="00187C78" w:rsidRDefault="00975680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77</w:t>
      </w:r>
    </w:p>
    <w:p w:rsidR="00187C78" w:rsidRDefault="00A14D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</w:t>
      </w:r>
      <w:r w:rsidR="00975680">
        <w:rPr>
          <w:rFonts w:ascii="Arial" w:hAnsi="Arial" w:cs="Arial"/>
        </w:rPr>
        <w:t>18</w:t>
      </w:r>
      <w:r>
        <w:rPr>
          <w:rFonts w:ascii="Arial" w:hAnsi="Arial" w:cs="Arial"/>
        </w:rPr>
        <w:t> </w:t>
      </w:r>
      <w:r w:rsidR="00975680">
        <w:rPr>
          <w:rFonts w:ascii="Arial" w:hAnsi="Arial" w:cs="Arial"/>
        </w:rPr>
        <w:t>7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</w:t>
      </w:r>
      <w:r w:rsidR="000A5CC3" w:rsidRPr="000A5CC3">
        <w:rPr>
          <w:rFonts w:ascii="Arial" w:hAnsi="Arial" w:cs="Arial"/>
        </w:rPr>
        <w:t>7%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75680">
        <w:rPr>
          <w:rFonts w:ascii="Arial" w:hAnsi="Arial" w:cs="Arial"/>
        </w:rPr>
        <w:t>elkem: -32 049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1F4DEB">
        <w:rPr>
          <w:rFonts w:ascii="Arial" w:hAnsi="Arial" w:cs="Arial"/>
        </w:rPr>
        <w:t>86</w:t>
      </w:r>
      <w:r>
        <w:rPr>
          <w:rFonts w:ascii="Arial" w:hAnsi="Arial" w:cs="Arial"/>
        </w:rPr>
        <w:t> </w:t>
      </w:r>
      <w:r w:rsidR="001F4DEB">
        <w:rPr>
          <w:rFonts w:ascii="Arial" w:hAnsi="Arial" w:cs="Arial"/>
        </w:rPr>
        <w:t>651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Pr="00154D22">
        <w:rPr>
          <w:rFonts w:ascii="Arial" w:hAnsi="Arial" w:cs="Arial"/>
        </w:rPr>
        <w:t xml:space="preserve">Produkční dohled </w:t>
      </w:r>
      <w:r>
        <w:rPr>
          <w:rFonts w:ascii="Arial" w:hAnsi="Arial" w:cs="Arial"/>
        </w:rPr>
        <w:t>–</w:t>
      </w:r>
      <w:r w:rsidRPr="00154D22">
        <w:rPr>
          <w:rFonts w:ascii="Arial" w:hAnsi="Arial" w:cs="Arial"/>
        </w:rPr>
        <w:t xml:space="preserve"> WOG</w:t>
      </w:r>
    </w:p>
    <w:p w:rsidR="00154D22" w:rsidRDefault="00FA3F30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77</w:t>
      </w:r>
    </w:p>
    <w:p w:rsidR="00154D22" w:rsidRDefault="00FA3F30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15 4</w:t>
      </w:r>
      <w:r w:rsidR="00154D22">
        <w:rPr>
          <w:rFonts w:ascii="Arial" w:hAnsi="Arial" w:cs="Arial"/>
        </w:rPr>
        <w:t>00 Kč</w:t>
      </w:r>
    </w:p>
    <w:p w:rsidR="009B6F3C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Příprava 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154D22">
        <w:rPr>
          <w:rFonts w:ascii="Arial" w:hAnsi="Arial" w:cs="Arial"/>
        </w:rPr>
        <w:t>1 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  <w:bookmarkStart w:id="0" w:name="_GoBack"/>
      <w:bookmarkEnd w:id="0"/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3F30">
        <w:rPr>
          <w:rFonts w:ascii="Arial" w:hAnsi="Arial" w:cs="Arial"/>
        </w:rPr>
        <w:t>Celkem ostatní služby: 16</w:t>
      </w:r>
      <w:r>
        <w:rPr>
          <w:rFonts w:ascii="Arial" w:hAnsi="Arial" w:cs="Arial"/>
        </w:rPr>
        <w:t> </w:t>
      </w:r>
      <w:r w:rsidR="00FA3F30">
        <w:rPr>
          <w:rFonts w:ascii="Arial" w:hAnsi="Arial" w:cs="Arial"/>
        </w:rPr>
        <w:t>8</w:t>
      </w:r>
      <w:r w:rsidR="009B6F3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Kč</w:t>
      </w:r>
    </w:p>
    <w:p w:rsidR="00A10AF7" w:rsidRDefault="00A10AF7" w:rsidP="009B6F3C">
      <w:pPr>
        <w:spacing w:after="0"/>
        <w:ind w:left="1416" w:firstLine="708"/>
        <w:rPr>
          <w:rFonts w:ascii="Arial" w:hAnsi="Arial" w:cs="Arial"/>
        </w:rPr>
      </w:pP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FA3F30">
        <w:rPr>
          <w:rFonts w:ascii="Arial" w:hAnsi="Arial" w:cs="Arial"/>
          <w:b/>
        </w:rPr>
        <w:t>103</w:t>
      </w:r>
      <w:r w:rsidRPr="00A10AF7">
        <w:rPr>
          <w:rFonts w:ascii="Arial" w:hAnsi="Arial" w:cs="Arial"/>
          <w:b/>
        </w:rPr>
        <w:t> </w:t>
      </w:r>
      <w:r w:rsidR="00FA3F30">
        <w:rPr>
          <w:rFonts w:ascii="Arial" w:hAnsi="Arial" w:cs="Arial"/>
          <w:b/>
        </w:rPr>
        <w:t>451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 přednášky, semináře) či kultivivané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D47AF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19. 5.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373E95" w:rsidRPr="00373E95">
        <w:rPr>
          <w:rFonts w:ascii="Arial" w:hAnsi="Arial" w:cs="Arial"/>
        </w:rPr>
        <w:t>V Českém K</w:t>
      </w:r>
      <w:r w:rsidR="00333319">
        <w:rPr>
          <w:rFonts w:ascii="Arial" w:hAnsi="Arial" w:cs="Arial"/>
        </w:rPr>
        <w:t>rumlově dne 19. 5. 2022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D418A0">
      <w:pPr>
        <w:spacing w:after="0"/>
        <w:jc w:val="center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DODATEK KE</w:t>
      </w:r>
    </w:p>
    <w:p w:rsidR="00CC2FF8" w:rsidRPr="00D418A0" w:rsidRDefault="00682FF9" w:rsidP="00D418A0">
      <w:pPr>
        <w:spacing w:after="0"/>
        <w:jc w:val="center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SMLOUVĚ O PODNÁJMU PROSTOR PRELATURY a POSKYTNUTÍ DALŠÍCH SLUŽEB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682FF9" w:rsidRPr="006B17FE" w:rsidRDefault="00333319" w:rsidP="00682F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2022</w:t>
      </w:r>
      <w:r w:rsidR="00682FF9" w:rsidRPr="006B17FE">
        <w:rPr>
          <w:rFonts w:ascii="Arial" w:hAnsi="Arial" w:cs="Arial"/>
          <w:b/>
        </w:rPr>
        <w:t>/VOT/01</w:t>
      </w:r>
      <w:r>
        <w:rPr>
          <w:rFonts w:ascii="Arial" w:hAnsi="Arial" w:cs="Arial"/>
          <w:b/>
        </w:rPr>
        <w:t>a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682FF9" w:rsidP="00CC2FF8">
      <w:pPr>
        <w:spacing w:after="0"/>
        <w:rPr>
          <w:rFonts w:ascii="Arial" w:hAnsi="Arial" w:cs="Arial"/>
        </w:rPr>
      </w:pPr>
      <w:r w:rsidRPr="00682FF9">
        <w:rPr>
          <w:rFonts w:ascii="Arial" w:hAnsi="Arial" w:cs="Arial"/>
        </w:rPr>
        <w:t>V průběhu předmětného podnájmu došlo ke změnám v rozsahu podnájmů a služeb takto: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Pronájmy prostor: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682FF9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Ostatní služby:</w:t>
      </w:r>
    </w:p>
    <w:p w:rsidR="00CC2FF8" w:rsidRDefault="00682FF9" w:rsidP="00D418A0">
      <w:pPr>
        <w:spacing w:after="0"/>
        <w:ind w:firstLine="708"/>
        <w:rPr>
          <w:rFonts w:ascii="Arial" w:hAnsi="Arial" w:cs="Arial"/>
        </w:rPr>
      </w:pPr>
      <w:r w:rsidRPr="00682FF9">
        <w:rPr>
          <w:rFonts w:ascii="Arial" w:hAnsi="Arial" w:cs="Arial"/>
        </w:rPr>
        <w:t>Produkční dohled - vždy u každé akce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Hasičský dozor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Šatnářka</w:t>
      </w:r>
    </w:p>
    <w:p w:rsidR="00CC2FF8" w:rsidRDefault="00D418A0" w:rsidP="00D418A0">
      <w:pPr>
        <w:spacing w:after="0"/>
        <w:ind w:firstLine="708"/>
        <w:rPr>
          <w:rFonts w:ascii="Arial" w:hAnsi="Arial" w:cs="Arial"/>
        </w:rPr>
      </w:pPr>
      <w:r w:rsidRPr="00D418A0">
        <w:rPr>
          <w:rFonts w:ascii="Arial" w:hAnsi="Arial" w:cs="Arial"/>
        </w:rPr>
        <w:t>Uvaděčka</w:t>
      </w:r>
    </w:p>
    <w:p w:rsidR="00CC2FF8" w:rsidRDefault="00D418A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8A0">
        <w:rPr>
          <w:rFonts w:ascii="Arial" w:hAnsi="Arial" w:cs="Arial"/>
        </w:rPr>
        <w:t>Pomocný technik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D418A0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Půjčovné: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D418A0" w:rsidRDefault="00D418A0" w:rsidP="00CC2FF8">
      <w:pPr>
        <w:spacing w:after="0"/>
        <w:rPr>
          <w:rFonts w:ascii="Arial" w:hAnsi="Arial" w:cs="Arial"/>
          <w:b/>
        </w:rPr>
      </w:pPr>
      <w:r w:rsidRPr="00D418A0">
        <w:rPr>
          <w:rFonts w:ascii="Arial" w:hAnsi="Arial" w:cs="Arial"/>
          <w:b/>
        </w:rPr>
        <w:t>Jiné: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D418A0" w:rsidP="00D418A0">
      <w:pPr>
        <w:spacing w:after="0"/>
        <w:jc w:val="both"/>
        <w:rPr>
          <w:rFonts w:ascii="Arial" w:hAnsi="Arial" w:cs="Arial"/>
        </w:rPr>
      </w:pPr>
      <w:r w:rsidRPr="00D418A0">
        <w:rPr>
          <w:rFonts w:ascii="Arial" w:hAnsi="Arial" w:cs="Arial"/>
        </w:rPr>
        <w:t>Tento realizační list musí být potvrzen zástupcem obou smluvních stran. Na základě tohoto Realizačního listu bude vzniklý rozdíl v ceně připočten k sjednané ceně dle bodu V. smlouvy. Podnájemce se zavazuje tento rozdíl uhradit v plné výši.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D418A0" w:rsidRDefault="00D418A0" w:rsidP="00CC2FF8">
      <w:pPr>
        <w:spacing w:after="0"/>
        <w:rPr>
          <w:rFonts w:ascii="Arial" w:hAnsi="Arial" w:cs="Arial"/>
        </w:rPr>
      </w:pPr>
    </w:p>
    <w:p w:rsidR="00D418A0" w:rsidRDefault="00D418A0" w:rsidP="00CC2FF8">
      <w:pPr>
        <w:spacing w:after="0"/>
        <w:rPr>
          <w:rFonts w:ascii="Arial" w:hAnsi="Arial" w:cs="Arial"/>
        </w:rPr>
      </w:pPr>
    </w:p>
    <w:p w:rsidR="00D418A0" w:rsidRDefault="00676C00" w:rsidP="00D418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19. 5.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D418A0">
        <w:rPr>
          <w:rFonts w:ascii="Arial" w:hAnsi="Arial" w:cs="Arial"/>
        </w:rPr>
        <w:t xml:space="preserve">  </w:t>
      </w:r>
      <w:r w:rsidR="00D418A0" w:rsidRPr="00373E9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Českém Krumlově dne 19. 5. 2022</w:t>
      </w: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D418A0" w:rsidRDefault="00D418A0" w:rsidP="00D418A0">
      <w:pPr>
        <w:spacing w:after="0"/>
        <w:rPr>
          <w:rFonts w:ascii="Arial" w:hAnsi="Arial" w:cs="Arial"/>
        </w:rPr>
      </w:pPr>
    </w:p>
    <w:p w:rsidR="00AB0DE8" w:rsidRDefault="00AB0DE8" w:rsidP="00AB0D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D418A0" w:rsidRDefault="00D418A0" w:rsidP="00D418A0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D418A0" w:rsidRDefault="00D418A0" w:rsidP="00D418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8A" w:rsidRDefault="00002B8A" w:rsidP="006B17FE">
      <w:pPr>
        <w:spacing w:after="0" w:line="240" w:lineRule="auto"/>
      </w:pPr>
      <w:r>
        <w:separator/>
      </w:r>
    </w:p>
  </w:endnote>
  <w:endnote w:type="continuationSeparator" w:id="0">
    <w:p w:rsidR="00002B8A" w:rsidRDefault="00002B8A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340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6340E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8A" w:rsidRDefault="00002B8A" w:rsidP="006B17FE">
      <w:pPr>
        <w:spacing w:after="0" w:line="240" w:lineRule="auto"/>
      </w:pPr>
      <w:r>
        <w:separator/>
      </w:r>
    </w:p>
  </w:footnote>
  <w:footnote w:type="continuationSeparator" w:id="0">
    <w:p w:rsidR="00002B8A" w:rsidRDefault="00002B8A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02B8A"/>
    <w:rsid w:val="000A5CC3"/>
    <w:rsid w:val="000B49D5"/>
    <w:rsid w:val="00154D22"/>
    <w:rsid w:val="00164CB3"/>
    <w:rsid w:val="00187C78"/>
    <w:rsid w:val="001F4DEB"/>
    <w:rsid w:val="00200F8A"/>
    <w:rsid w:val="0021123D"/>
    <w:rsid w:val="002D27FC"/>
    <w:rsid w:val="00333319"/>
    <w:rsid w:val="00334FC0"/>
    <w:rsid w:val="00373E95"/>
    <w:rsid w:val="0038735D"/>
    <w:rsid w:val="00390A56"/>
    <w:rsid w:val="0056340E"/>
    <w:rsid w:val="005A23FC"/>
    <w:rsid w:val="00676C00"/>
    <w:rsid w:val="00682FF9"/>
    <w:rsid w:val="006B17FE"/>
    <w:rsid w:val="006B3D21"/>
    <w:rsid w:val="00703756"/>
    <w:rsid w:val="007C68FD"/>
    <w:rsid w:val="007E3FD0"/>
    <w:rsid w:val="00833D35"/>
    <w:rsid w:val="00845100"/>
    <w:rsid w:val="0090781B"/>
    <w:rsid w:val="00975680"/>
    <w:rsid w:val="009B53D0"/>
    <w:rsid w:val="009B6F3C"/>
    <w:rsid w:val="00A10AF7"/>
    <w:rsid w:val="00A14DC3"/>
    <w:rsid w:val="00A44103"/>
    <w:rsid w:val="00A90C54"/>
    <w:rsid w:val="00AB0DE8"/>
    <w:rsid w:val="00AF4460"/>
    <w:rsid w:val="00B77619"/>
    <w:rsid w:val="00BB0E45"/>
    <w:rsid w:val="00BB6193"/>
    <w:rsid w:val="00C82CF0"/>
    <w:rsid w:val="00CB0825"/>
    <w:rsid w:val="00CC2FF8"/>
    <w:rsid w:val="00D418A0"/>
    <w:rsid w:val="00D47AF0"/>
    <w:rsid w:val="00E32D95"/>
    <w:rsid w:val="00E7561F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7</cp:revision>
  <dcterms:created xsi:type="dcterms:W3CDTF">2020-02-26T15:24:00Z</dcterms:created>
  <dcterms:modified xsi:type="dcterms:W3CDTF">2022-06-15T12:54:00Z</dcterms:modified>
</cp:coreProperties>
</file>