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7E0E0" w14:textId="77777777" w:rsidR="002809AE" w:rsidRDefault="002809AE">
      <w:pPr>
        <w:spacing w:line="1" w:lineRule="exact"/>
      </w:pPr>
    </w:p>
    <w:p w14:paraId="7D8ACA03" w14:textId="77777777" w:rsidR="002809AE" w:rsidRDefault="009608B4" w:rsidP="009608B4">
      <w:pPr>
        <w:pStyle w:val="Nadpis10"/>
        <w:framePr w:w="9125" w:h="8454" w:hRule="exact" w:wrap="none" w:vAnchor="page" w:hAnchor="page" w:x="1515" w:y="1235"/>
      </w:pPr>
      <w:bookmarkStart w:id="0" w:name="bookmark0"/>
      <w:r>
        <w:t>SMLOUVA O BEZÚPLATNÉ ZMĚNĚ PŘÍSLUŠNOSTI HOSPODAŘIT</w:t>
      </w:r>
      <w:r>
        <w:br/>
        <w:t>S MAJETKEM STÁTU</w:t>
      </w:r>
      <w:bookmarkEnd w:id="0"/>
    </w:p>
    <w:p w14:paraId="5074D0B9" w14:textId="77777777" w:rsidR="002809AE" w:rsidRDefault="009608B4" w:rsidP="009608B4">
      <w:pPr>
        <w:pStyle w:val="Nadpis10"/>
        <w:framePr w:w="9125" w:h="8454" w:hRule="exact" w:wrap="none" w:vAnchor="page" w:hAnchor="page" w:x="1515" w:y="1235"/>
      </w:pPr>
      <w:bookmarkStart w:id="1" w:name="bookmark2"/>
      <w:r>
        <w:t>č. 1</w:t>
      </w:r>
      <w:bookmarkEnd w:id="1"/>
    </w:p>
    <w:p w14:paraId="2C7817F5" w14:textId="77777777" w:rsidR="002809AE" w:rsidRDefault="009608B4" w:rsidP="009608B4">
      <w:pPr>
        <w:pStyle w:val="Zkladntext1"/>
        <w:framePr w:w="9125" w:h="8454" w:hRule="exact" w:wrap="none" w:vAnchor="page" w:hAnchor="page" w:x="1515" w:y="1235"/>
        <w:spacing w:after="260"/>
        <w:jc w:val="center"/>
      </w:pPr>
      <w:r>
        <w:t>Níže uvedené strany</w:t>
      </w:r>
    </w:p>
    <w:p w14:paraId="163BE82D" w14:textId="77777777" w:rsidR="002809AE" w:rsidRDefault="009608B4" w:rsidP="009608B4">
      <w:pPr>
        <w:pStyle w:val="Nadpis10"/>
        <w:framePr w:w="9125" w:h="8454" w:hRule="exact" w:wrap="none" w:vAnchor="page" w:hAnchor="page" w:x="1515" w:y="1235"/>
        <w:spacing w:after="0"/>
        <w:jc w:val="left"/>
      </w:pPr>
      <w:bookmarkStart w:id="2" w:name="bookmark4"/>
      <w:r>
        <w:t xml:space="preserve">Česká </w:t>
      </w:r>
      <w:proofErr w:type="gramStart"/>
      <w:r>
        <w:t>republika - Ministerstvo</w:t>
      </w:r>
      <w:proofErr w:type="gramEnd"/>
      <w:r>
        <w:t xml:space="preserve"> zdravotnictví</w:t>
      </w:r>
      <w:bookmarkEnd w:id="2"/>
    </w:p>
    <w:p w14:paraId="1346B57B" w14:textId="77777777" w:rsidR="002809AE" w:rsidRDefault="009608B4" w:rsidP="009608B4">
      <w:pPr>
        <w:pStyle w:val="Zkladntext1"/>
        <w:framePr w:w="9125" w:h="8454" w:hRule="exact" w:wrap="none" w:vAnchor="page" w:hAnchor="page" w:x="1515" w:y="1235"/>
        <w:spacing w:after="0"/>
      </w:pPr>
      <w:r>
        <w:t>Organizační složka státu</w:t>
      </w:r>
    </w:p>
    <w:p w14:paraId="1AACECD4" w14:textId="77777777" w:rsidR="002809AE" w:rsidRDefault="009608B4" w:rsidP="009608B4">
      <w:pPr>
        <w:pStyle w:val="Zkladntext1"/>
        <w:framePr w:w="9125" w:h="8454" w:hRule="exact" w:wrap="none" w:vAnchor="page" w:hAnchor="page" w:x="1515" w:y="1235"/>
        <w:spacing w:after="0"/>
      </w:pPr>
      <w:r>
        <w:t>se sídlem Palackého náměstí 4, Praha 2, 128 01</w:t>
      </w:r>
    </w:p>
    <w:p w14:paraId="77063CE1" w14:textId="77777777" w:rsidR="002809AE" w:rsidRDefault="009608B4" w:rsidP="009608B4">
      <w:pPr>
        <w:pStyle w:val="Zkladntext1"/>
        <w:framePr w:w="9125" w:h="8454" w:hRule="exact" w:wrap="none" w:vAnchor="page" w:hAnchor="page" w:x="1515" w:y="1235"/>
        <w:spacing w:after="0"/>
      </w:pPr>
      <w:r>
        <w:t>IČO: 00024341</w:t>
      </w:r>
    </w:p>
    <w:p w14:paraId="455A88F6" w14:textId="3154140F" w:rsidR="002809AE" w:rsidRDefault="009608B4" w:rsidP="009608B4">
      <w:pPr>
        <w:pStyle w:val="Zkladntext1"/>
        <w:framePr w:w="9125" w:h="8454" w:hRule="exact" w:wrap="none" w:vAnchor="page" w:hAnchor="page" w:x="1515" w:y="1235"/>
        <w:spacing w:after="0"/>
      </w:pPr>
      <w:r>
        <w:br/>
      </w:r>
    </w:p>
    <w:p w14:paraId="3D451DB5" w14:textId="77777777" w:rsidR="002809AE" w:rsidRDefault="009608B4" w:rsidP="009608B4">
      <w:pPr>
        <w:pStyle w:val="Zkladntext1"/>
        <w:framePr w:w="9125" w:h="8454" w:hRule="exact" w:wrap="none" w:vAnchor="page" w:hAnchor="page" w:x="1515" w:y="1235"/>
        <w:spacing w:after="540"/>
      </w:pPr>
      <w:r>
        <w:t>(dále jen „Převodce“)</w:t>
      </w:r>
    </w:p>
    <w:p w14:paraId="1F918884" w14:textId="77777777" w:rsidR="002809AE" w:rsidRDefault="009608B4" w:rsidP="009608B4">
      <w:pPr>
        <w:pStyle w:val="Nadpis10"/>
        <w:framePr w:w="9125" w:h="8454" w:hRule="exact" w:wrap="none" w:vAnchor="page" w:hAnchor="page" w:x="1515" w:y="1235"/>
        <w:spacing w:after="0"/>
        <w:jc w:val="left"/>
      </w:pPr>
      <w:bookmarkStart w:id="3" w:name="bookmark6"/>
      <w:r>
        <w:t>Fakultní nemocnice Olomouc</w:t>
      </w:r>
      <w:bookmarkEnd w:id="3"/>
    </w:p>
    <w:p w14:paraId="2D2EE8AD" w14:textId="77777777" w:rsidR="002809AE" w:rsidRDefault="009608B4" w:rsidP="009608B4">
      <w:pPr>
        <w:pStyle w:val="Zkladntext1"/>
        <w:framePr w:w="9125" w:h="8454" w:hRule="exact" w:wrap="none" w:vAnchor="page" w:hAnchor="page" w:x="1515" w:y="1235"/>
        <w:spacing w:after="0"/>
      </w:pPr>
      <w:r>
        <w:t>státní příspěvková organizace</w:t>
      </w:r>
    </w:p>
    <w:p w14:paraId="7BA0FB94" w14:textId="77777777" w:rsidR="002809AE" w:rsidRDefault="009608B4" w:rsidP="009608B4">
      <w:pPr>
        <w:pStyle w:val="Zkladntext1"/>
        <w:framePr w:w="9125" w:h="8454" w:hRule="exact" w:wrap="none" w:vAnchor="page" w:hAnchor="page" w:x="1515" w:y="1235"/>
        <w:spacing w:after="0"/>
      </w:pPr>
      <w:r>
        <w:t>se sídlem: I. P. Pavlova 6, Olomouc 779 00</w:t>
      </w:r>
    </w:p>
    <w:p w14:paraId="69E04896" w14:textId="77777777" w:rsidR="002809AE" w:rsidRDefault="009608B4" w:rsidP="009608B4">
      <w:pPr>
        <w:pStyle w:val="Zkladntext1"/>
        <w:framePr w:w="9125" w:h="8454" w:hRule="exact" w:wrap="none" w:vAnchor="page" w:hAnchor="page" w:x="1515" w:y="1235"/>
        <w:spacing w:after="0"/>
      </w:pPr>
      <w:r>
        <w:t>IČO: 00098892</w:t>
      </w:r>
    </w:p>
    <w:p w14:paraId="67F7A735" w14:textId="77777777" w:rsidR="00FF6BB5" w:rsidRDefault="00FF6BB5" w:rsidP="009608B4">
      <w:pPr>
        <w:pStyle w:val="Zkladntext1"/>
        <w:framePr w:w="9125" w:h="8454" w:hRule="exact" w:wrap="none" w:vAnchor="page" w:hAnchor="page" w:x="1515" w:y="1235"/>
        <w:spacing w:after="260"/>
      </w:pPr>
    </w:p>
    <w:p w14:paraId="25DB0134" w14:textId="01926349" w:rsidR="002809AE" w:rsidRDefault="009608B4" w:rsidP="009608B4">
      <w:pPr>
        <w:pStyle w:val="Zkladntext1"/>
        <w:framePr w:w="9125" w:h="8454" w:hRule="exact" w:wrap="none" w:vAnchor="page" w:hAnchor="page" w:x="1515" w:y="1235"/>
        <w:spacing w:after="260"/>
      </w:pPr>
      <w:r>
        <w:t>(dále jen „Nabyvatel“)</w:t>
      </w:r>
    </w:p>
    <w:p w14:paraId="5DC9FF2E" w14:textId="77777777" w:rsidR="002809AE" w:rsidRDefault="009608B4" w:rsidP="009608B4">
      <w:pPr>
        <w:pStyle w:val="Zkladntext1"/>
        <w:framePr w:w="9125" w:h="8454" w:hRule="exact" w:wrap="none" w:vAnchor="page" w:hAnchor="page" w:x="1515" w:y="1235"/>
        <w:spacing w:after="540"/>
      </w:pPr>
      <w:r>
        <w:t>(Převodce a Nabyvatel dále společně jen „Strany smlouvy“)</w:t>
      </w:r>
    </w:p>
    <w:p w14:paraId="294F7901" w14:textId="77777777" w:rsidR="002809AE" w:rsidRDefault="009608B4" w:rsidP="009608B4">
      <w:pPr>
        <w:pStyle w:val="Zkladntext1"/>
        <w:framePr w:w="9125" w:h="8454" w:hRule="exact" w:wrap="none" w:vAnchor="page" w:hAnchor="page" w:x="1515" w:y="1235"/>
        <w:spacing w:after="0"/>
        <w:jc w:val="center"/>
      </w:pPr>
      <w:r>
        <w:t>spolu uzavřely níže uvedeného dne tuto smlouvu o bezúplatné změně příslušnosti hospodařit</w:t>
      </w:r>
      <w:r>
        <w:br/>
        <w:t>s majetkem státu:</w:t>
      </w:r>
    </w:p>
    <w:p w14:paraId="68E1E76A" w14:textId="77777777" w:rsidR="002809AE" w:rsidRDefault="009608B4">
      <w:pPr>
        <w:pStyle w:val="Nadpis10"/>
        <w:framePr w:w="9125" w:h="610" w:hRule="exact" w:wrap="none" w:vAnchor="page" w:hAnchor="page" w:x="1436" w:y="9872"/>
        <w:spacing w:after="0"/>
      </w:pPr>
      <w:bookmarkStart w:id="4" w:name="bookmark8"/>
      <w:r>
        <w:t>Čl. I.</w:t>
      </w:r>
      <w:bookmarkEnd w:id="4"/>
    </w:p>
    <w:p w14:paraId="3D77B55C" w14:textId="77777777" w:rsidR="002809AE" w:rsidRDefault="009608B4">
      <w:pPr>
        <w:pStyle w:val="Nadpis10"/>
        <w:framePr w:w="9125" w:h="610" w:hRule="exact" w:wrap="none" w:vAnchor="page" w:hAnchor="page" w:x="1436" w:y="9872"/>
        <w:spacing w:after="0"/>
      </w:pPr>
      <w:r>
        <w:t>Předmět smlouvy</w:t>
      </w:r>
    </w:p>
    <w:p w14:paraId="34755AD2" w14:textId="77777777" w:rsidR="002809AE" w:rsidRDefault="009608B4">
      <w:pPr>
        <w:pStyle w:val="Zkladntext1"/>
        <w:framePr w:w="9125" w:h="1253" w:hRule="exact" w:wrap="none" w:vAnchor="page" w:hAnchor="page" w:x="1436" w:y="10727"/>
        <w:numPr>
          <w:ilvl w:val="0"/>
          <w:numId w:val="1"/>
        </w:numPr>
        <w:tabs>
          <w:tab w:val="left" w:pos="721"/>
        </w:tabs>
        <w:ind w:left="740" w:hanging="360"/>
        <w:jc w:val="both"/>
      </w:pPr>
      <w:r>
        <w:t>Tato smlouva upravuje podmínky bezúplatné změny příslušnosti hospodařit s majetkem</w:t>
      </w:r>
      <w:r>
        <w:br/>
        <w:t>státu z Převodce na Nabyvatele.</w:t>
      </w:r>
    </w:p>
    <w:p w14:paraId="152A004F" w14:textId="77777777" w:rsidR="002809AE" w:rsidRDefault="009608B4">
      <w:pPr>
        <w:pStyle w:val="Zkladntext1"/>
        <w:framePr w:w="9125" w:h="1253" w:hRule="exact" w:wrap="none" w:vAnchor="page" w:hAnchor="page" w:x="1436" w:y="10727"/>
        <w:numPr>
          <w:ilvl w:val="0"/>
          <w:numId w:val="1"/>
        </w:numPr>
        <w:tabs>
          <w:tab w:val="left" w:pos="738"/>
        </w:tabs>
        <w:spacing w:after="0"/>
        <w:ind w:left="740" w:hanging="360"/>
        <w:jc w:val="both"/>
      </w:pPr>
      <w:r>
        <w:t>Česká republika je výlučným vlastníkem níže uvedených hmotných movitých věcí,</w:t>
      </w:r>
      <w:r>
        <w:br/>
        <w:t>v jednotkové ceně: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2030"/>
        <w:gridCol w:w="1901"/>
        <w:gridCol w:w="782"/>
      </w:tblGrid>
      <w:tr w:rsidR="002809AE" w14:paraId="1358AF54" w14:textId="77777777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5A9E42" w14:textId="77777777" w:rsidR="002809AE" w:rsidRDefault="009608B4">
            <w:pPr>
              <w:pStyle w:val="Jin0"/>
              <w:framePr w:w="6706" w:h="1771" w:wrap="none" w:vAnchor="page" w:hAnchor="page" w:x="2650" w:y="12071"/>
              <w:spacing w:after="0"/>
            </w:pPr>
            <w:r>
              <w:rPr>
                <w:b/>
                <w:bCs/>
              </w:rPr>
              <w:t>Název produktu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760F5C" w14:textId="77777777" w:rsidR="002809AE" w:rsidRDefault="009608B4">
            <w:pPr>
              <w:pStyle w:val="Jin0"/>
              <w:framePr w:w="6706" w:h="1771" w:wrap="none" w:vAnchor="page" w:hAnchor="page" w:x="2650" w:y="12071"/>
              <w:spacing w:after="0"/>
              <w:jc w:val="center"/>
            </w:pPr>
            <w:r>
              <w:rPr>
                <w:b/>
                <w:bCs/>
              </w:rPr>
              <w:t>Evidenční/sér</w:t>
            </w:r>
            <w:r>
              <w:rPr>
                <w:b/>
                <w:bCs/>
              </w:rPr>
              <w:t>iové</w:t>
            </w:r>
            <w:r>
              <w:rPr>
                <w:b/>
                <w:bCs/>
              </w:rPr>
              <w:br/>
              <w:t>číslo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381DE7" w14:textId="77777777" w:rsidR="002809AE" w:rsidRDefault="009608B4">
            <w:pPr>
              <w:pStyle w:val="Jin0"/>
              <w:framePr w:w="6706" w:h="1771" w:wrap="none" w:vAnchor="page" w:hAnchor="page" w:x="2650" w:y="12071"/>
              <w:spacing w:after="0"/>
              <w:jc w:val="center"/>
            </w:pPr>
            <w:r>
              <w:rPr>
                <w:b/>
                <w:bCs/>
              </w:rPr>
              <w:t>Hodnota</w:t>
            </w:r>
            <w:r>
              <w:rPr>
                <w:b/>
                <w:bCs/>
              </w:rPr>
              <w:br/>
              <w:t>v účetnictví</w:t>
            </w:r>
            <w:r>
              <w:rPr>
                <w:b/>
                <w:bCs/>
              </w:rPr>
              <w:br/>
              <w:t>Převodce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0CD2" w14:textId="77777777" w:rsidR="002809AE" w:rsidRDefault="009608B4">
            <w:pPr>
              <w:pStyle w:val="Jin0"/>
              <w:framePr w:w="6706" w:h="1771" w:wrap="none" w:vAnchor="page" w:hAnchor="page" w:x="2650" w:y="12071"/>
              <w:spacing w:after="0"/>
              <w:jc w:val="center"/>
            </w:pPr>
            <w:r>
              <w:rPr>
                <w:b/>
                <w:bCs/>
              </w:rPr>
              <w:t>Počet</w:t>
            </w:r>
            <w:r>
              <w:rPr>
                <w:b/>
                <w:bCs/>
              </w:rPr>
              <w:br/>
              <w:t>ks</w:t>
            </w:r>
          </w:p>
        </w:tc>
      </w:tr>
      <w:tr w:rsidR="002809AE" w14:paraId="5873339F" w14:textId="77777777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4AF797" w14:textId="77777777" w:rsidR="002809AE" w:rsidRDefault="009608B4">
            <w:pPr>
              <w:pStyle w:val="Jin0"/>
              <w:framePr w:w="6706" w:h="1771" w:wrap="none" w:vAnchor="page" w:hAnchor="page" w:x="2650" w:y="12071"/>
              <w:spacing w:after="0"/>
            </w:pPr>
            <w:proofErr w:type="spellStart"/>
            <w:r>
              <w:t>Videolaryngoskop</w:t>
            </w:r>
            <w:proofErr w:type="spellEnd"/>
          </w:p>
          <w:p w14:paraId="73094008" w14:textId="77777777" w:rsidR="002809AE" w:rsidRDefault="009608B4">
            <w:pPr>
              <w:pStyle w:val="Jin0"/>
              <w:framePr w:w="6706" w:h="1771" w:wrap="none" w:vAnchor="page" w:hAnchor="page" w:x="2650" w:y="12071"/>
              <w:spacing w:after="0"/>
            </w:pPr>
            <w:r>
              <w:rPr>
                <w:lang w:val="en-US" w:eastAsia="en-US" w:bidi="en-US"/>
              </w:rPr>
              <w:t>McGrath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A6D7D" w14:textId="77777777" w:rsidR="002809AE" w:rsidRDefault="009608B4">
            <w:pPr>
              <w:pStyle w:val="Jin0"/>
              <w:framePr w:w="6706" w:h="1771" w:wrap="none" w:vAnchor="page" w:hAnchor="page" w:x="2650" w:y="12071"/>
              <w:spacing w:after="120"/>
              <w:jc w:val="center"/>
            </w:pPr>
            <w:r>
              <w:t>400913</w:t>
            </w:r>
          </w:p>
          <w:p w14:paraId="7077348A" w14:textId="77777777" w:rsidR="002809AE" w:rsidRDefault="009608B4">
            <w:pPr>
              <w:pStyle w:val="Jin0"/>
              <w:framePr w:w="6706" w:h="1771" w:wrap="none" w:vAnchor="page" w:hAnchor="page" w:x="2650" w:y="12071"/>
              <w:spacing w:after="0"/>
              <w:jc w:val="center"/>
            </w:pPr>
            <w:r>
              <w:t>400914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7940F" w14:textId="77777777" w:rsidR="002809AE" w:rsidRDefault="009608B4">
            <w:pPr>
              <w:pStyle w:val="Jin0"/>
              <w:framePr w:w="6706" w:h="1771" w:wrap="none" w:vAnchor="page" w:hAnchor="page" w:x="2650" w:y="12071"/>
              <w:spacing w:after="0"/>
              <w:jc w:val="center"/>
            </w:pPr>
            <w:r>
              <w:t>42 376,39 Kč/ks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7DC18" w14:textId="77777777" w:rsidR="002809AE" w:rsidRDefault="009608B4">
            <w:pPr>
              <w:pStyle w:val="Jin0"/>
              <w:framePr w:w="6706" w:h="1771" w:wrap="none" w:vAnchor="page" w:hAnchor="page" w:x="2650" w:y="12071"/>
              <w:spacing w:after="0"/>
              <w:jc w:val="center"/>
            </w:pPr>
            <w:r>
              <w:t>2</w:t>
            </w:r>
          </w:p>
        </w:tc>
      </w:tr>
    </w:tbl>
    <w:p w14:paraId="56904FB9" w14:textId="77777777" w:rsidR="002809AE" w:rsidRDefault="009608B4">
      <w:pPr>
        <w:pStyle w:val="Zkladntext1"/>
        <w:framePr w:w="9125" w:h="1099" w:hRule="exact" w:wrap="none" w:vAnchor="page" w:hAnchor="page" w:x="1436" w:y="14235"/>
        <w:ind w:firstLine="740"/>
      </w:pPr>
      <w:r>
        <w:t>Včetně příslušenství:</w:t>
      </w:r>
    </w:p>
    <w:p w14:paraId="794F5ACC" w14:textId="77777777" w:rsidR="002809AE" w:rsidRDefault="009608B4">
      <w:pPr>
        <w:pStyle w:val="Zkladntext1"/>
        <w:framePr w:w="9125" w:h="1099" w:hRule="exact" w:wrap="none" w:vAnchor="page" w:hAnchor="page" w:x="1436" w:y="14235"/>
        <w:numPr>
          <w:ilvl w:val="0"/>
          <w:numId w:val="2"/>
        </w:numPr>
        <w:tabs>
          <w:tab w:val="left" w:pos="2130"/>
          <w:tab w:val="left" w:pos="2131"/>
        </w:tabs>
        <w:ind w:left="1440"/>
      </w:pPr>
      <w:r>
        <w:t xml:space="preserve">baterie </w:t>
      </w:r>
      <w:proofErr w:type="spellStart"/>
      <w:r>
        <w:t>McGRATH</w:t>
      </w:r>
      <w:proofErr w:type="spellEnd"/>
      <w:r>
        <w:t xml:space="preserve">® MAC 3.6 V </w:t>
      </w:r>
      <w:proofErr w:type="spellStart"/>
      <w:r>
        <w:t>Batterie</w:t>
      </w:r>
      <w:proofErr w:type="spellEnd"/>
      <w:r>
        <w:t>, 250 min provozní doba</w:t>
      </w:r>
    </w:p>
    <w:p w14:paraId="745B4835" w14:textId="77777777" w:rsidR="002809AE" w:rsidRDefault="009608B4">
      <w:pPr>
        <w:pStyle w:val="Zkladntext1"/>
        <w:framePr w:w="9125" w:h="1099" w:hRule="exact" w:wrap="none" w:vAnchor="page" w:hAnchor="page" w:x="1436" w:y="14235"/>
        <w:numPr>
          <w:ilvl w:val="0"/>
          <w:numId w:val="2"/>
        </w:numPr>
        <w:tabs>
          <w:tab w:val="left" w:pos="2130"/>
          <w:tab w:val="left" w:pos="2131"/>
        </w:tabs>
        <w:spacing w:after="0"/>
        <w:ind w:left="1440"/>
      </w:pPr>
      <w:proofErr w:type="spellStart"/>
      <w:r>
        <w:t>McGRATH</w:t>
      </w:r>
      <w:proofErr w:type="spellEnd"/>
      <w:r>
        <w:t>® MAC čepel velikost 3</w:t>
      </w:r>
    </w:p>
    <w:p w14:paraId="6CEDFC15" w14:textId="77777777" w:rsidR="002809AE" w:rsidRDefault="009608B4">
      <w:pPr>
        <w:pStyle w:val="Zhlavnebozpat0"/>
        <w:framePr w:wrap="none" w:vAnchor="page" w:hAnchor="page" w:x="5478" w:y="15459"/>
      </w:pPr>
      <w:r>
        <w:t>strana 1/3</w:t>
      </w:r>
    </w:p>
    <w:p w14:paraId="00ECA1F3" w14:textId="77777777" w:rsidR="002809AE" w:rsidRDefault="002809AE">
      <w:pPr>
        <w:spacing w:line="1" w:lineRule="exact"/>
        <w:sectPr w:rsidR="002809A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0DA58C" w14:textId="77777777" w:rsidR="002809AE" w:rsidRDefault="002809AE">
      <w:pPr>
        <w:spacing w:line="1" w:lineRule="exact"/>
      </w:pPr>
    </w:p>
    <w:p w14:paraId="53949D2A" w14:textId="77777777" w:rsidR="002809AE" w:rsidRDefault="009608B4">
      <w:pPr>
        <w:pStyle w:val="Zkladntext1"/>
        <w:framePr w:w="9125" w:h="3115" w:hRule="exact" w:wrap="none" w:vAnchor="page" w:hAnchor="page" w:x="1436" w:y="1455"/>
        <w:numPr>
          <w:ilvl w:val="0"/>
          <w:numId w:val="2"/>
        </w:numPr>
        <w:tabs>
          <w:tab w:val="left" w:pos="2134"/>
          <w:tab w:val="left" w:pos="2136"/>
        </w:tabs>
        <w:ind w:left="1440"/>
        <w:jc w:val="both"/>
      </w:pPr>
      <w:proofErr w:type="spellStart"/>
      <w:r>
        <w:rPr>
          <w:lang w:val="en-US" w:eastAsia="en-US" w:bidi="en-US"/>
        </w:rPr>
        <w:t>McGRATH</w:t>
      </w:r>
      <w:proofErr w:type="spellEnd"/>
      <w:r>
        <w:rPr>
          <w:lang w:val="en-US" w:eastAsia="en-US" w:bidi="en-US"/>
        </w:rPr>
        <w:t xml:space="preserve">® MAC </w:t>
      </w:r>
      <w:r>
        <w:t xml:space="preserve">čepel velikost </w:t>
      </w:r>
      <w:r>
        <w:rPr>
          <w:lang w:val="en-US" w:eastAsia="en-US" w:bidi="en-US"/>
        </w:rPr>
        <w:t>4</w:t>
      </w:r>
    </w:p>
    <w:p w14:paraId="075E272B" w14:textId="77777777" w:rsidR="002809AE" w:rsidRDefault="009608B4">
      <w:pPr>
        <w:pStyle w:val="Zkladntext1"/>
        <w:framePr w:w="9125" w:h="3115" w:hRule="exact" w:wrap="none" w:vAnchor="page" w:hAnchor="page" w:x="1436" w:y="1455"/>
        <w:spacing w:after="780"/>
        <w:ind w:left="1440"/>
        <w:jc w:val="both"/>
      </w:pPr>
      <w:r>
        <w:t>Movité věci společně s příslušenstvím se dále označují jako „Majetek“.</w:t>
      </w:r>
    </w:p>
    <w:p w14:paraId="421162C1" w14:textId="77777777" w:rsidR="002809AE" w:rsidRDefault="009608B4">
      <w:pPr>
        <w:pStyle w:val="Zkladntext1"/>
        <w:framePr w:w="9125" w:h="3115" w:hRule="exact" w:wrap="none" w:vAnchor="page" w:hAnchor="page" w:x="1436" w:y="1455"/>
        <w:numPr>
          <w:ilvl w:val="0"/>
          <w:numId w:val="1"/>
        </w:numPr>
        <w:tabs>
          <w:tab w:val="left" w:pos="721"/>
        </w:tabs>
        <w:ind w:left="720" w:hanging="340"/>
        <w:jc w:val="both"/>
      </w:pPr>
      <w:r>
        <w:t>Příslušnost hospodařit s Majetkem má založenou Převodce, jakožto organizační složka</w:t>
      </w:r>
      <w:r>
        <w:br/>
        <w:t>státu, a nabyl jej darem.</w:t>
      </w:r>
    </w:p>
    <w:p w14:paraId="3006608E" w14:textId="77777777" w:rsidR="002809AE" w:rsidRDefault="009608B4">
      <w:pPr>
        <w:pStyle w:val="Zkladntext1"/>
        <w:framePr w:w="9125" w:h="3115" w:hRule="exact" w:wrap="none" w:vAnchor="page" w:hAnchor="page" w:x="1436" w:y="1455"/>
        <w:numPr>
          <w:ilvl w:val="0"/>
          <w:numId w:val="1"/>
        </w:numPr>
        <w:tabs>
          <w:tab w:val="left" w:pos="726"/>
        </w:tabs>
        <w:ind w:firstLine="380"/>
        <w:jc w:val="both"/>
      </w:pPr>
      <w:r>
        <w:t xml:space="preserve">O nepotřebnosti majetku rozhodl </w:t>
      </w:r>
      <w:r>
        <w:t>ministr zdravotnictví pod č.j. MZDR 98/2021/HOS.</w:t>
      </w:r>
    </w:p>
    <w:p w14:paraId="7FB2E446" w14:textId="77777777" w:rsidR="002809AE" w:rsidRDefault="009608B4">
      <w:pPr>
        <w:pStyle w:val="Zkladntext1"/>
        <w:framePr w:w="9125" w:h="3115" w:hRule="exact" w:wrap="none" w:vAnchor="page" w:hAnchor="page" w:x="1436" w:y="1455"/>
        <w:numPr>
          <w:ilvl w:val="0"/>
          <w:numId w:val="1"/>
        </w:numPr>
        <w:tabs>
          <w:tab w:val="left" w:pos="721"/>
        </w:tabs>
        <w:spacing w:after="0"/>
        <w:ind w:left="720" w:hanging="340"/>
        <w:jc w:val="both"/>
      </w:pPr>
      <w:r>
        <w:t>Nabyvatel se zavazuje majetek převzít do své příslušnosti hospodařit a naložit s ním</w:t>
      </w:r>
      <w:r>
        <w:br/>
        <w:t>v souladu se svými potřebami.</w:t>
      </w:r>
    </w:p>
    <w:p w14:paraId="0CEC5695" w14:textId="77777777" w:rsidR="002809AE" w:rsidRDefault="009608B4">
      <w:pPr>
        <w:pStyle w:val="Nadpis10"/>
        <w:framePr w:w="9125" w:h="605" w:hRule="exact" w:wrap="none" w:vAnchor="page" w:hAnchor="page" w:x="1436" w:y="4911"/>
        <w:spacing w:after="0"/>
      </w:pPr>
      <w:bookmarkStart w:id="5" w:name="bookmark11"/>
      <w:r>
        <w:t>Čl. II.</w:t>
      </w:r>
      <w:bookmarkEnd w:id="5"/>
    </w:p>
    <w:p w14:paraId="61C23D10" w14:textId="77777777" w:rsidR="002809AE" w:rsidRDefault="009608B4">
      <w:pPr>
        <w:pStyle w:val="Nadpis10"/>
        <w:framePr w:w="9125" w:h="605" w:hRule="exact" w:wrap="none" w:vAnchor="page" w:hAnchor="page" w:x="1436" w:y="4911"/>
        <w:spacing w:after="0"/>
      </w:pPr>
      <w:r>
        <w:t>Prohlášení stran smlouvy</w:t>
      </w:r>
    </w:p>
    <w:p w14:paraId="73AD6BB9" w14:textId="77777777" w:rsidR="002809AE" w:rsidRDefault="009608B4">
      <w:pPr>
        <w:pStyle w:val="Zkladntext1"/>
        <w:framePr w:w="9125" w:h="2482" w:hRule="exact" w:wrap="none" w:vAnchor="page" w:hAnchor="page" w:x="1436" w:y="5761"/>
        <w:numPr>
          <w:ilvl w:val="0"/>
          <w:numId w:val="3"/>
        </w:numPr>
        <w:tabs>
          <w:tab w:val="left" w:pos="713"/>
        </w:tabs>
        <w:ind w:left="720" w:hanging="340"/>
        <w:jc w:val="both"/>
      </w:pPr>
      <w:r>
        <w:t xml:space="preserve">Převodce prohlašuje, že je v souladu s právními </w:t>
      </w:r>
      <w:r>
        <w:t>předpisy, zejména se zákonem</w:t>
      </w:r>
      <w:r>
        <w:br/>
        <w:t>č. 219/2000 Sb., o majetku České republiky a jejím vystupování v právních vztazích,</w:t>
      </w:r>
      <w:r>
        <w:br/>
        <w:t>oprávněn provést změnu příslušnost hospodařit s Majetkem za podmínek upravených</w:t>
      </w:r>
      <w:r>
        <w:br/>
        <w:t>touto smlouvou na Nabyvatele.</w:t>
      </w:r>
    </w:p>
    <w:p w14:paraId="5F0A7B09" w14:textId="77777777" w:rsidR="002809AE" w:rsidRDefault="009608B4">
      <w:pPr>
        <w:pStyle w:val="Zkladntext1"/>
        <w:framePr w:w="9125" w:h="2482" w:hRule="exact" w:wrap="none" w:vAnchor="page" w:hAnchor="page" w:x="1436" w:y="5761"/>
        <w:numPr>
          <w:ilvl w:val="0"/>
          <w:numId w:val="3"/>
        </w:numPr>
        <w:tabs>
          <w:tab w:val="left" w:pos="726"/>
        </w:tabs>
        <w:ind w:left="720" w:hanging="340"/>
        <w:jc w:val="both"/>
      </w:pPr>
      <w:r>
        <w:t>Nabyvatel prohlašuje, že je v sou</w:t>
      </w:r>
      <w:r>
        <w:t>ladu s právními předpisy oprávněn od Převodce</w:t>
      </w:r>
      <w:r>
        <w:br/>
        <w:t>přijmout majetek do své příslušnosti hospodařit za podmínek upravených touto</w:t>
      </w:r>
      <w:r>
        <w:br/>
        <w:t>smlouvou.</w:t>
      </w:r>
    </w:p>
    <w:p w14:paraId="301EF897" w14:textId="77777777" w:rsidR="002809AE" w:rsidRDefault="009608B4">
      <w:pPr>
        <w:pStyle w:val="Zkladntext1"/>
        <w:framePr w:w="9125" w:h="2482" w:hRule="exact" w:wrap="none" w:vAnchor="page" w:hAnchor="page" w:x="1436" w:y="5761"/>
        <w:numPr>
          <w:ilvl w:val="0"/>
          <w:numId w:val="3"/>
        </w:numPr>
        <w:tabs>
          <w:tab w:val="left" w:pos="721"/>
        </w:tabs>
        <w:spacing w:after="0"/>
        <w:ind w:firstLine="380"/>
        <w:jc w:val="both"/>
      </w:pPr>
      <w:r>
        <w:t>Nabyvatel prohlašuje, že Majetek je potřebný pro jeho činnost.</w:t>
      </w:r>
    </w:p>
    <w:p w14:paraId="2F33770C" w14:textId="77777777" w:rsidR="002809AE" w:rsidRDefault="009608B4">
      <w:pPr>
        <w:pStyle w:val="Nadpis10"/>
        <w:framePr w:w="9125" w:h="610" w:hRule="exact" w:wrap="none" w:vAnchor="page" w:hAnchor="page" w:x="1436" w:y="8977"/>
        <w:spacing w:after="0"/>
      </w:pPr>
      <w:bookmarkStart w:id="6" w:name="bookmark14"/>
      <w:r>
        <w:t>Čl. III.</w:t>
      </w:r>
      <w:bookmarkEnd w:id="6"/>
    </w:p>
    <w:p w14:paraId="646AD80E" w14:textId="77777777" w:rsidR="002809AE" w:rsidRDefault="009608B4">
      <w:pPr>
        <w:pStyle w:val="Nadpis10"/>
        <w:framePr w:w="9125" w:h="610" w:hRule="exact" w:wrap="none" w:vAnchor="page" w:hAnchor="page" w:x="1436" w:y="8977"/>
        <w:spacing w:after="0"/>
      </w:pPr>
      <w:r>
        <w:t>Změna příslušnosti hospodaření</w:t>
      </w:r>
    </w:p>
    <w:p w14:paraId="71EF82F9" w14:textId="77777777" w:rsidR="002809AE" w:rsidRDefault="009608B4">
      <w:pPr>
        <w:pStyle w:val="Zkladntext1"/>
        <w:framePr w:w="9125" w:h="3427" w:hRule="exact" w:wrap="none" w:vAnchor="page" w:hAnchor="page" w:x="1436" w:y="9831"/>
        <w:numPr>
          <w:ilvl w:val="0"/>
          <w:numId w:val="4"/>
        </w:numPr>
        <w:tabs>
          <w:tab w:val="left" w:pos="713"/>
        </w:tabs>
        <w:ind w:left="720" w:hanging="340"/>
        <w:jc w:val="both"/>
      </w:pPr>
      <w:r>
        <w:t>Nabyvatel je seznáme</w:t>
      </w:r>
      <w:r>
        <w:t>n se stavem Majetku a v tomto stavu jej přejímá do své</w:t>
      </w:r>
      <w:r>
        <w:br/>
        <w:t>příslušnosti hospodařit s majetkem státu.</w:t>
      </w:r>
    </w:p>
    <w:p w14:paraId="0C808E42" w14:textId="77777777" w:rsidR="002809AE" w:rsidRDefault="009608B4">
      <w:pPr>
        <w:pStyle w:val="Zkladntext1"/>
        <w:framePr w:w="9125" w:h="3427" w:hRule="exact" w:wrap="none" w:vAnchor="page" w:hAnchor="page" w:x="1436" w:y="9831"/>
        <w:numPr>
          <w:ilvl w:val="0"/>
          <w:numId w:val="4"/>
        </w:numPr>
        <w:tabs>
          <w:tab w:val="left" w:pos="726"/>
        </w:tabs>
        <w:ind w:left="720" w:hanging="340"/>
        <w:jc w:val="both"/>
      </w:pPr>
      <w:r>
        <w:t>Příslušnost hospodařit s Majetkem se mění ve prospěch Nabyvatele dnem fyzické</w:t>
      </w:r>
      <w:r>
        <w:br/>
        <w:t>převzetí Majetku, a to bezúplatně.</w:t>
      </w:r>
    </w:p>
    <w:p w14:paraId="3ADE40EF" w14:textId="77777777" w:rsidR="002809AE" w:rsidRDefault="009608B4">
      <w:pPr>
        <w:pStyle w:val="Zkladntext1"/>
        <w:framePr w:w="9125" w:h="3427" w:hRule="exact" w:wrap="none" w:vAnchor="page" w:hAnchor="page" w:x="1436" w:y="9831"/>
        <w:numPr>
          <w:ilvl w:val="0"/>
          <w:numId w:val="4"/>
        </w:numPr>
        <w:tabs>
          <w:tab w:val="left" w:pos="721"/>
        </w:tabs>
        <w:ind w:left="720" w:hanging="340"/>
        <w:jc w:val="both"/>
      </w:pPr>
      <w:r>
        <w:t xml:space="preserve">Nabyvatel bere na vědomí, že Majetek je </w:t>
      </w:r>
      <w:r>
        <w:t>uložen ve Fakultní nemocnici Bulovka (FNB)</w:t>
      </w:r>
      <w:r>
        <w:br/>
        <w:t>se sídlem Budínova 67/2, Libeň, 180 00 Praha, a zavazuje se, že jej na své náklady</w:t>
      </w:r>
      <w:r>
        <w:br/>
        <w:t>převezme a na své náklady zajistí odvoz Majetku. Nabyvatel bere na vědomí, že</w:t>
      </w:r>
      <w:r>
        <w:br/>
        <w:t>Převodce zmocnil FNB k předání Majetku.</w:t>
      </w:r>
    </w:p>
    <w:p w14:paraId="7B6DEB2F" w14:textId="77777777" w:rsidR="002809AE" w:rsidRDefault="009608B4">
      <w:pPr>
        <w:pStyle w:val="Zkladntext1"/>
        <w:framePr w:w="9125" w:h="3427" w:hRule="exact" w:wrap="none" w:vAnchor="page" w:hAnchor="page" w:x="1436" w:y="9831"/>
        <w:numPr>
          <w:ilvl w:val="0"/>
          <w:numId w:val="4"/>
        </w:numPr>
        <w:tabs>
          <w:tab w:val="left" w:pos="726"/>
        </w:tabs>
        <w:spacing w:after="0"/>
        <w:ind w:left="720" w:hanging="340"/>
        <w:jc w:val="both"/>
      </w:pPr>
      <w:r>
        <w:t xml:space="preserve">K fyzickému </w:t>
      </w:r>
      <w:r>
        <w:t>převzetí a předání Majetku dojde do 60 dnů ode nabytí účinnosti této</w:t>
      </w:r>
      <w:r>
        <w:br/>
        <w:t>smlouvy, a to na základě písemné výzvy Převodce doručené Nabyvateli. Součástí výzvy</w:t>
      </w:r>
      <w:r>
        <w:br/>
        <w:t>budou informace k zajištění převzetí, zejména místo, čas a kontaktní osoba za FNB.</w:t>
      </w:r>
    </w:p>
    <w:p w14:paraId="42E46C86" w14:textId="77777777" w:rsidR="002809AE" w:rsidRDefault="009608B4">
      <w:pPr>
        <w:pStyle w:val="Nadpis10"/>
        <w:framePr w:w="9125" w:h="605" w:hRule="exact" w:wrap="none" w:vAnchor="page" w:hAnchor="page" w:x="1436" w:y="13998"/>
        <w:spacing w:after="0"/>
      </w:pPr>
      <w:bookmarkStart w:id="7" w:name="bookmark17"/>
      <w:r>
        <w:t>Čl. IV.</w:t>
      </w:r>
      <w:bookmarkEnd w:id="7"/>
    </w:p>
    <w:p w14:paraId="502433A9" w14:textId="77777777" w:rsidR="002809AE" w:rsidRDefault="009608B4">
      <w:pPr>
        <w:pStyle w:val="Nadpis10"/>
        <w:framePr w:w="9125" w:h="605" w:hRule="exact" w:wrap="none" w:vAnchor="page" w:hAnchor="page" w:x="1436" w:y="13998"/>
        <w:spacing w:after="0"/>
      </w:pPr>
      <w:r>
        <w:t>Závěrečná uj</w:t>
      </w:r>
      <w:r>
        <w:t>ednání</w:t>
      </w:r>
    </w:p>
    <w:p w14:paraId="17DEB237" w14:textId="77777777" w:rsidR="002809AE" w:rsidRDefault="009608B4">
      <w:pPr>
        <w:pStyle w:val="Zkladntext1"/>
        <w:framePr w:w="9125" w:h="581" w:hRule="exact" w:wrap="none" w:vAnchor="page" w:hAnchor="page" w:x="1436" w:y="14847"/>
        <w:numPr>
          <w:ilvl w:val="0"/>
          <w:numId w:val="5"/>
        </w:numPr>
        <w:tabs>
          <w:tab w:val="left" w:pos="713"/>
        </w:tabs>
        <w:spacing w:after="0"/>
        <w:ind w:left="720" w:hanging="340"/>
        <w:jc w:val="both"/>
      </w:pPr>
      <w:r>
        <w:t>Vzájemné vztahy stran smlouvy, které nejsou výslovně upraveny v této smlouvě, se řídí</w:t>
      </w:r>
      <w:r>
        <w:br/>
        <w:t>účinným právním řádem České republiky, a to zejména aplikovatelnými ustanoveními</w:t>
      </w:r>
    </w:p>
    <w:p w14:paraId="556796F6" w14:textId="77777777" w:rsidR="002809AE" w:rsidRDefault="009608B4">
      <w:pPr>
        <w:pStyle w:val="Zhlavnebozpat0"/>
        <w:framePr w:wrap="none" w:vAnchor="page" w:hAnchor="page" w:x="5473" w:y="15572"/>
      </w:pPr>
      <w:r>
        <w:t>strana 2/3</w:t>
      </w:r>
    </w:p>
    <w:p w14:paraId="021730F0" w14:textId="77777777" w:rsidR="002809AE" w:rsidRDefault="002809AE">
      <w:pPr>
        <w:spacing w:line="1" w:lineRule="exact"/>
        <w:sectPr w:rsidR="002809A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BD2B4C" w14:textId="77777777" w:rsidR="002809AE" w:rsidRDefault="002809AE">
      <w:pPr>
        <w:spacing w:line="1" w:lineRule="exact"/>
      </w:pPr>
    </w:p>
    <w:p w14:paraId="4A32E0B9" w14:textId="77777777" w:rsidR="002809AE" w:rsidRDefault="009608B4">
      <w:pPr>
        <w:pStyle w:val="Zkladntext1"/>
        <w:framePr w:w="8822" w:h="4944" w:hRule="exact" w:wrap="none" w:vAnchor="page" w:hAnchor="page" w:x="1587" w:y="1436"/>
        <w:spacing w:after="120"/>
        <w:ind w:left="720" w:firstLine="20"/>
        <w:jc w:val="both"/>
      </w:pPr>
      <w:r>
        <w:t>zákona č. 219/2000 Sb., o majetku České republ</w:t>
      </w:r>
      <w:r>
        <w:t>iky a jejím vystupování v právních</w:t>
      </w:r>
      <w:r>
        <w:br/>
        <w:t>vztazích, a zákona č. 89/2012 Sb., občanský zákoník.</w:t>
      </w:r>
    </w:p>
    <w:p w14:paraId="1CE3E915" w14:textId="77777777" w:rsidR="002809AE" w:rsidRDefault="009608B4">
      <w:pPr>
        <w:pStyle w:val="Zkladntext1"/>
        <w:framePr w:w="8822" w:h="4944" w:hRule="exact" w:wrap="none" w:vAnchor="page" w:hAnchor="page" w:x="1587" w:y="1436"/>
        <w:numPr>
          <w:ilvl w:val="0"/>
          <w:numId w:val="5"/>
        </w:numPr>
        <w:tabs>
          <w:tab w:val="left" w:pos="331"/>
        </w:tabs>
        <w:spacing w:after="120"/>
        <w:ind w:left="420" w:hanging="420"/>
        <w:jc w:val="both"/>
      </w:pPr>
      <w:r>
        <w:t>Strany smlouvy mohou smlouvu měnit, doplňovat a upřesňovat pouze oboustranně</w:t>
      </w:r>
      <w:r>
        <w:br/>
        <w:t>odsouhlasenými a průběžně číslovanými písemnými dodatky.</w:t>
      </w:r>
    </w:p>
    <w:p w14:paraId="6E71963B" w14:textId="77777777" w:rsidR="002809AE" w:rsidRDefault="009608B4">
      <w:pPr>
        <w:pStyle w:val="Zkladntext1"/>
        <w:framePr w:w="8822" w:h="4944" w:hRule="exact" w:wrap="none" w:vAnchor="page" w:hAnchor="page" w:x="1587" w:y="1436"/>
        <w:numPr>
          <w:ilvl w:val="0"/>
          <w:numId w:val="5"/>
        </w:numPr>
        <w:tabs>
          <w:tab w:val="left" w:pos="331"/>
        </w:tabs>
        <w:spacing w:after="120"/>
        <w:ind w:left="420" w:hanging="420"/>
        <w:jc w:val="both"/>
      </w:pPr>
      <w:r>
        <w:t xml:space="preserve">Tato smlouva je </w:t>
      </w:r>
      <w:r>
        <w:t>vyhotovena ve třech stejnopisech, z nichž každý má platnost originálu.</w:t>
      </w:r>
      <w:r>
        <w:br/>
        <w:t>Dva stejnopisy si ponechá Převodce a jeden stejnopis obdrží Nabyvatel. V případě, že</w:t>
      </w:r>
      <w:r>
        <w:br/>
        <w:t>je tato smlouva uzavřena elektronickými prostředky, obdrží každá smluvní strana jeden</w:t>
      </w:r>
      <w:r>
        <w:br/>
        <w:t>identický elek</w:t>
      </w:r>
      <w:r>
        <w:t>tronický soubor.</w:t>
      </w:r>
    </w:p>
    <w:p w14:paraId="169D39D7" w14:textId="77777777" w:rsidR="002809AE" w:rsidRDefault="009608B4">
      <w:pPr>
        <w:pStyle w:val="Zkladntext1"/>
        <w:framePr w:w="8822" w:h="4944" w:hRule="exact" w:wrap="none" w:vAnchor="page" w:hAnchor="page" w:x="1587" w:y="1436"/>
        <w:numPr>
          <w:ilvl w:val="0"/>
          <w:numId w:val="5"/>
        </w:numPr>
        <w:tabs>
          <w:tab w:val="left" w:pos="331"/>
        </w:tabs>
        <w:spacing w:after="120"/>
        <w:ind w:left="420" w:hanging="420"/>
        <w:jc w:val="both"/>
      </w:pPr>
      <w:r>
        <w:t>Tato smlouva nabývá platnosti dnem podpisu oběma jeho stranami. Obě smluvní strany</w:t>
      </w:r>
      <w:r>
        <w:br/>
        <w:t>berou na vědomí, že tato smlouva též podléhá zákonu č. 340/2015 Sb., o registru smluv,</w:t>
      </w:r>
      <w:r>
        <w:br/>
        <w:t>ve znění pozdějších předpisů. V případě povinnosti zveřejnění této sm</w:t>
      </w:r>
      <w:r>
        <w:t>louvy v registru</w:t>
      </w:r>
      <w:r>
        <w:br/>
        <w:t>smluv, se smluvní strany dohodly, že smlouvu zveřejní Převodce. V případě, že</w:t>
      </w:r>
      <w:r>
        <w:br/>
        <w:t>Převodce smlouvu nezveřejní v registru smluv, nebo neoznámí její zveřejnění</w:t>
      </w:r>
      <w:r>
        <w:br/>
        <w:t>Nabyvateli do 15 dnů od jejího uzavření, smlouvu v registru smluv zveřejní Nabyvatel.</w:t>
      </w:r>
    </w:p>
    <w:p w14:paraId="28C0AFDE" w14:textId="77777777" w:rsidR="002809AE" w:rsidRDefault="009608B4">
      <w:pPr>
        <w:pStyle w:val="Zkladntext1"/>
        <w:framePr w:w="8822" w:h="4944" w:hRule="exact" w:wrap="none" w:vAnchor="page" w:hAnchor="page" w:x="1587" w:y="1436"/>
        <w:numPr>
          <w:ilvl w:val="0"/>
          <w:numId w:val="5"/>
        </w:numPr>
        <w:tabs>
          <w:tab w:val="left" w:pos="331"/>
        </w:tabs>
        <w:spacing w:after="0"/>
        <w:ind w:left="420" w:hanging="420"/>
        <w:jc w:val="both"/>
      </w:pPr>
      <w:r>
        <w:t>Strany smlouvy shodně prohlašují, že si ji před uzavřením přečetly a s jejím obsahem</w:t>
      </w:r>
      <w:r>
        <w:br/>
        <w:t>souhlasí, neboť smlouva je projevem jejich pravé a svobodné vůle.</w:t>
      </w:r>
    </w:p>
    <w:p w14:paraId="0327AB6C" w14:textId="77777777" w:rsidR="002809AE" w:rsidRDefault="009608B4">
      <w:pPr>
        <w:pStyle w:val="Zkladntext1"/>
        <w:framePr w:wrap="none" w:vAnchor="page" w:hAnchor="page" w:x="1290" w:y="6745"/>
        <w:spacing w:after="0"/>
      </w:pPr>
      <w:r>
        <w:t>V Praze dne</w:t>
      </w:r>
    </w:p>
    <w:p w14:paraId="23E8048F" w14:textId="77777777" w:rsidR="002809AE" w:rsidRDefault="009608B4">
      <w:pPr>
        <w:pStyle w:val="Zkladntext1"/>
        <w:framePr w:wrap="none" w:vAnchor="page" w:hAnchor="page" w:x="2917" w:y="7849"/>
        <w:spacing w:after="0"/>
      </w:pPr>
      <w:r>
        <w:t>Za Převodce:</w:t>
      </w:r>
    </w:p>
    <w:p w14:paraId="1703AFE1" w14:textId="77777777" w:rsidR="002809AE" w:rsidRDefault="009608B4">
      <w:pPr>
        <w:pStyle w:val="Zkladntext1"/>
        <w:framePr w:w="8822" w:h="298" w:hRule="exact" w:wrap="none" w:vAnchor="page" w:hAnchor="page" w:x="1587" w:y="6745"/>
        <w:spacing w:after="0"/>
        <w:ind w:left="5366" w:right="1810"/>
        <w:jc w:val="center"/>
      </w:pPr>
      <w:r>
        <w:t>V Olomouci dne</w:t>
      </w:r>
    </w:p>
    <w:p w14:paraId="037F11A0" w14:textId="77777777" w:rsidR="002809AE" w:rsidRDefault="009608B4">
      <w:pPr>
        <w:pStyle w:val="Zkladntext1"/>
        <w:framePr w:w="8822" w:h="307" w:hRule="exact" w:wrap="none" w:vAnchor="page" w:hAnchor="page" w:x="1587" w:y="7849"/>
        <w:spacing w:after="0"/>
        <w:ind w:left="5760" w:right="1560"/>
        <w:jc w:val="center"/>
      </w:pPr>
      <w:r>
        <w:t>Za Nabyvatele:</w:t>
      </w:r>
    </w:p>
    <w:p w14:paraId="5263DF2B" w14:textId="77777777" w:rsidR="002809AE" w:rsidRDefault="009608B4">
      <w:pPr>
        <w:pStyle w:val="Zkladntext1"/>
        <w:framePr w:w="3974" w:h="1728" w:hRule="exact" w:wrap="none" w:vAnchor="page" w:hAnchor="page" w:x="1587" w:y="8540"/>
        <w:spacing w:after="0"/>
        <w:jc w:val="center"/>
      </w:pPr>
      <w:r>
        <w:rPr>
          <w:b/>
          <w:bCs/>
        </w:rPr>
        <w:t xml:space="preserve">Česká </w:t>
      </w:r>
      <w:proofErr w:type="gramStart"/>
      <w:r>
        <w:rPr>
          <w:b/>
          <w:bCs/>
        </w:rPr>
        <w:t>republika - Ministerstvo</w:t>
      </w:r>
      <w:proofErr w:type="gramEnd"/>
      <w:r>
        <w:rPr>
          <w:b/>
          <w:bCs/>
        </w:rPr>
        <w:br/>
        <w:t>zdravotnictví</w:t>
      </w:r>
    </w:p>
    <w:p w14:paraId="41A2D110" w14:textId="77777777" w:rsidR="002809AE" w:rsidRDefault="009608B4">
      <w:pPr>
        <w:pStyle w:val="Zkladntext1"/>
        <w:framePr w:w="3710" w:h="782" w:hRule="exact" w:wrap="none" w:vAnchor="page" w:hAnchor="page" w:x="6411" w:y="9212"/>
        <w:spacing w:after="0" w:line="209" w:lineRule="auto"/>
        <w:ind w:firstLine="180"/>
      </w:pPr>
      <w:r>
        <w:rPr>
          <w:b/>
          <w:bCs/>
        </w:rPr>
        <w:t>Fakultní nemocnice Olomouc</w:t>
      </w:r>
    </w:p>
    <w:p w14:paraId="5C94D236" w14:textId="77777777" w:rsidR="002809AE" w:rsidRDefault="009608B4">
      <w:pPr>
        <w:pStyle w:val="Zhlavnebozpat0"/>
        <w:framePr w:wrap="none" w:vAnchor="page" w:hAnchor="page" w:x="5326" w:y="15577"/>
      </w:pPr>
      <w:r>
        <w:t>strana 3/3</w:t>
      </w:r>
    </w:p>
    <w:p w14:paraId="54515A40" w14:textId="77777777" w:rsidR="002809AE" w:rsidRDefault="002809AE">
      <w:pPr>
        <w:spacing w:line="1" w:lineRule="exact"/>
      </w:pPr>
    </w:p>
    <w:sectPr w:rsidR="002809A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D56DE" w14:textId="77777777" w:rsidR="00000000" w:rsidRDefault="009608B4">
      <w:r>
        <w:separator/>
      </w:r>
    </w:p>
  </w:endnote>
  <w:endnote w:type="continuationSeparator" w:id="0">
    <w:p w14:paraId="4FA0A858" w14:textId="77777777" w:rsidR="00000000" w:rsidRDefault="0096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03406" w14:textId="77777777" w:rsidR="002809AE" w:rsidRDefault="002809AE"/>
  </w:footnote>
  <w:footnote w:type="continuationSeparator" w:id="0">
    <w:p w14:paraId="3B2A9039" w14:textId="77777777" w:rsidR="002809AE" w:rsidRDefault="002809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C3E79"/>
    <w:multiLevelType w:val="multilevel"/>
    <w:tmpl w:val="B97C77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1E61A9"/>
    <w:multiLevelType w:val="multilevel"/>
    <w:tmpl w:val="A8DED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2E5215"/>
    <w:multiLevelType w:val="multilevel"/>
    <w:tmpl w:val="8CB8D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2154A9"/>
    <w:multiLevelType w:val="multilevel"/>
    <w:tmpl w:val="5C1E74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4E7E64"/>
    <w:multiLevelType w:val="multilevel"/>
    <w:tmpl w:val="106A0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9AE"/>
    <w:rsid w:val="002809AE"/>
    <w:rsid w:val="009608B4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31EE"/>
  <w15:docId w15:val="{D4172C43-D2FB-42DA-A9EE-5A64EDD5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pacing w:after="100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pacing w:after="100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pacing w:after="60" w:line="276" w:lineRule="auto"/>
      <w:ind w:left="2060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pacing w:line="254" w:lineRule="auto"/>
      <w:ind w:left="90" w:firstLine="99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629</Words>
  <Characters>3712</Characters>
  <Application>Microsoft Office Word</Application>
  <DocSecurity>0</DocSecurity>
  <Lines>30</Lines>
  <Paragraphs>8</Paragraphs>
  <ScaleCrop>false</ScaleCrop>
  <Company>Office365 deploy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Pohl Martin, Mgr.</cp:lastModifiedBy>
  <cp:revision>3</cp:revision>
  <dcterms:created xsi:type="dcterms:W3CDTF">2022-06-14T07:52:00Z</dcterms:created>
  <dcterms:modified xsi:type="dcterms:W3CDTF">2022-06-14T07:54:00Z</dcterms:modified>
</cp:coreProperties>
</file>