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EA" w:rsidRDefault="00B5477C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589280</wp:posOffset>
            </wp:positionH>
            <wp:positionV relativeFrom="paragraph">
              <wp:posOffset>45720</wp:posOffset>
            </wp:positionV>
            <wp:extent cx="707390" cy="44513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5441315</wp:posOffset>
                </wp:positionH>
                <wp:positionV relativeFrom="paragraph">
                  <wp:posOffset>12700</wp:posOffset>
                </wp:positionV>
                <wp:extent cx="1216025" cy="8470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847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11EA" w:rsidRDefault="00B5477C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KAPLANOVA 1931/1</w:t>
                            </w:r>
                          </w:p>
                          <w:p w:rsidR="005711EA" w:rsidRDefault="00B5477C">
                            <w:pPr>
                              <w:pStyle w:val="Zkladntext20"/>
                              <w:shd w:val="clear" w:color="auto" w:fill="auto"/>
                              <w:jc w:val="left"/>
                            </w:pPr>
                            <w:r>
                              <w:t>148 00 PRAHA 11 - CHODOV</w:t>
                            </w:r>
                          </w:p>
                          <w:p w:rsidR="005711EA" w:rsidRDefault="00B5477C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TEL: 283 069 242</w:t>
                            </w:r>
                          </w:p>
                          <w:p w:rsidR="005711EA" w:rsidRDefault="00B5477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FAX: 283 069 241</w:t>
                            </w:r>
                          </w:p>
                          <w:p w:rsidR="005711EA" w:rsidRDefault="00B5477C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ind w:left="640"/>
                            </w:pPr>
                            <w:r>
                              <w:t xml:space="preserve">ID DS: DKKDKDJ </w:t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aopkcr@nature.cz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8.44999999999999pt;margin-top:1.pt;width:95.75pt;height:66.700000000000003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KAPLANOVA 1931/1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148 00 PRAHA 11 - CHODOV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TEL: 283 069 242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 283 069 241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64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ID DS: DKKDKDJ </w:t>
                      </w:r>
                      <w:r>
                        <w:fldChar w:fldCharType="begin"/>
                      </w:r>
                      <w:r>
                        <w:rPr/>
                        <w:instrText> HYPERLINK "mailto:aopkcr@nature.cz"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aopkcr@nature.cz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11EA" w:rsidRDefault="00B5477C">
      <w:pPr>
        <w:pStyle w:val="Zkladntext30"/>
        <w:shd w:val="clear" w:color="auto" w:fill="auto"/>
        <w:tabs>
          <w:tab w:val="left" w:leader="underscore" w:pos="-181"/>
        </w:tabs>
      </w:pPr>
      <w:r>
        <w:t xml:space="preserve">I AGENTURA OCHRANY </w:t>
      </w:r>
      <w:r>
        <w:rPr>
          <w:smallCaps/>
          <w:sz w:val="19"/>
          <w:szCs w:val="19"/>
        </w:rPr>
        <w:t xml:space="preserve">přírody a krajiny </w:t>
      </w:r>
      <w:r>
        <w:tab/>
        <w:t>I ČESKÉ REPUBLIKY</w:t>
      </w:r>
    </w:p>
    <w:p w:rsidR="005711EA" w:rsidRDefault="00B5477C">
      <w:pPr>
        <w:pStyle w:val="Zkladntext1"/>
        <w:shd w:val="clear" w:color="auto" w:fill="auto"/>
        <w:ind w:left="5460"/>
        <w:rPr>
          <w:sz w:val="20"/>
          <w:szCs w:val="20"/>
        </w:rPr>
      </w:pPr>
      <w:r>
        <w:rPr>
          <w:sz w:val="20"/>
          <w:szCs w:val="20"/>
        </w:rPr>
        <w:t>Číslo jednací: 07252/SVSL/22</w:t>
      </w:r>
    </w:p>
    <w:p w:rsidR="005711EA" w:rsidRDefault="00B5477C">
      <w:pPr>
        <w:pStyle w:val="Zkladntext1"/>
        <w:shd w:val="clear" w:color="auto" w:fill="auto"/>
        <w:spacing w:after="300"/>
        <w:ind w:left="5460"/>
        <w:rPr>
          <w:sz w:val="20"/>
          <w:szCs w:val="20"/>
        </w:rPr>
      </w:pPr>
      <w:r>
        <w:rPr>
          <w:sz w:val="20"/>
          <w:szCs w:val="20"/>
        </w:rPr>
        <w:t>Číslo smlouvy Dodavatele: 1379/15</w:t>
      </w:r>
    </w:p>
    <w:p w:rsidR="005711EA" w:rsidRDefault="00B5477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6</w:t>
      </w:r>
      <w:bookmarkEnd w:id="0"/>
      <w:bookmarkEnd w:id="1"/>
    </w:p>
    <w:p w:rsidR="005711EA" w:rsidRDefault="00B5477C">
      <w:pPr>
        <w:pStyle w:val="Zkladntext1"/>
        <w:shd w:val="clear" w:color="auto" w:fill="auto"/>
        <w:spacing w:after="480"/>
        <w:jc w:val="center"/>
      </w:pPr>
      <w:r>
        <w:rPr>
          <w:b/>
          <w:bCs/>
        </w:rPr>
        <w:t>ke smlouvě č. 11827/SVSL/15 ze dne 29. 10. 2015 na realizaci veřejné zakázky malého</w:t>
      </w:r>
      <w:r>
        <w:rPr>
          <w:b/>
          <w:bCs/>
        </w:rPr>
        <w:br/>
        <w:t>rozsahu s názvem „Dodávka licencí a implementace ekonomického informačního</w:t>
      </w:r>
      <w:r>
        <w:rPr>
          <w:b/>
          <w:bCs/>
        </w:rPr>
        <w:br/>
        <w:t>systému na AOPK ČR, včetně podpory systému (dále jen „Smlouva“)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7166"/>
      </w:tblGrid>
      <w:tr w:rsidR="005711EA">
        <w:trPr>
          <w:trHeight w:hRule="exact" w:val="264"/>
          <w:jc w:val="center"/>
        </w:trPr>
        <w:tc>
          <w:tcPr>
            <w:tcW w:w="1738" w:type="dxa"/>
            <w:shd w:val="clear" w:color="auto" w:fill="FFFFFF"/>
          </w:tcPr>
          <w:p w:rsidR="005711EA" w:rsidRDefault="005711EA">
            <w:pPr>
              <w:rPr>
                <w:sz w:val="10"/>
                <w:szCs w:val="10"/>
              </w:rPr>
            </w:pPr>
          </w:p>
        </w:tc>
        <w:tc>
          <w:tcPr>
            <w:tcW w:w="7166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ind w:left="1720"/>
            </w:pPr>
            <w:r>
              <w:rPr>
                <w:b/>
                <w:bCs/>
              </w:rPr>
              <w:t>I. Smluvní strany</w:t>
            </w:r>
          </w:p>
        </w:tc>
      </w:tr>
    </w:tbl>
    <w:p w:rsidR="005711EA" w:rsidRDefault="005711EA">
      <w:pPr>
        <w:spacing w:after="339" w:line="1" w:lineRule="exact"/>
      </w:pPr>
    </w:p>
    <w:p w:rsidR="005711EA" w:rsidRDefault="00B5477C">
      <w:pPr>
        <w:pStyle w:val="Zkladntext1"/>
        <w:shd w:val="clear" w:color="auto" w:fill="auto"/>
      </w:pPr>
      <w:r>
        <w:t xml:space="preserve">1.1 </w:t>
      </w:r>
      <w:r>
        <w:rPr>
          <w:b/>
          <w:bCs/>
        </w:rPr>
        <w:t>Objednatel</w:t>
      </w:r>
    </w:p>
    <w:p w:rsidR="005711EA" w:rsidRDefault="00B5477C">
      <w:pPr>
        <w:pStyle w:val="Zkladntext1"/>
        <w:shd w:val="clear" w:color="auto" w:fill="auto"/>
      </w:pPr>
      <w:r>
        <w:rPr>
          <w:b/>
          <w:bCs/>
        </w:rPr>
        <w:t>Česká republika - Agentura ochrany přírody a krajiny České republiky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109"/>
      </w:tblGrid>
      <w:tr w:rsidR="005711EA">
        <w:trPr>
          <w:trHeight w:hRule="exact" w:val="250"/>
          <w:jc w:val="center"/>
        </w:trPr>
        <w:tc>
          <w:tcPr>
            <w:tcW w:w="1795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Sídlo:</w:t>
            </w:r>
          </w:p>
        </w:tc>
        <w:tc>
          <w:tcPr>
            <w:tcW w:w="7109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5711EA">
        <w:trPr>
          <w:trHeight w:hRule="exact" w:val="264"/>
          <w:jc w:val="center"/>
        </w:trPr>
        <w:tc>
          <w:tcPr>
            <w:tcW w:w="1795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Zastoupený:</w:t>
            </w:r>
          </w:p>
        </w:tc>
        <w:tc>
          <w:tcPr>
            <w:tcW w:w="7109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RNDr. František Pelc</w:t>
            </w:r>
          </w:p>
        </w:tc>
      </w:tr>
      <w:tr w:rsidR="005711EA">
        <w:trPr>
          <w:trHeight w:hRule="exact" w:val="504"/>
          <w:jc w:val="center"/>
        </w:trPr>
        <w:tc>
          <w:tcPr>
            <w:tcW w:w="1795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Bankovní spojení:</w:t>
            </w:r>
          </w:p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IČO:</w:t>
            </w:r>
          </w:p>
        </w:tc>
        <w:tc>
          <w:tcPr>
            <w:tcW w:w="7109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ČNB Praha, Číslo účtu: 18228011/0710</w:t>
            </w:r>
          </w:p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629 335 91</w:t>
            </w:r>
          </w:p>
        </w:tc>
      </w:tr>
      <w:tr w:rsidR="005711EA">
        <w:trPr>
          <w:trHeight w:hRule="exact" w:val="278"/>
          <w:jc w:val="center"/>
        </w:trPr>
        <w:tc>
          <w:tcPr>
            <w:tcW w:w="1795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DIČ:</w:t>
            </w:r>
          </w:p>
        </w:tc>
        <w:tc>
          <w:tcPr>
            <w:tcW w:w="7109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neplátce DPH</w:t>
            </w:r>
          </w:p>
        </w:tc>
      </w:tr>
      <w:tr w:rsidR="005711EA">
        <w:trPr>
          <w:trHeight w:hRule="exact" w:val="226"/>
          <w:jc w:val="center"/>
        </w:trPr>
        <w:tc>
          <w:tcPr>
            <w:tcW w:w="1795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Telefon:</w:t>
            </w:r>
          </w:p>
        </w:tc>
        <w:tc>
          <w:tcPr>
            <w:tcW w:w="7109" w:type="dxa"/>
            <w:shd w:val="clear" w:color="auto" w:fill="FFFFFF"/>
            <w:vAlign w:val="bottom"/>
          </w:tcPr>
          <w:p w:rsidR="005711EA" w:rsidRDefault="005711EA">
            <w:pPr>
              <w:pStyle w:val="Jin0"/>
              <w:shd w:val="clear" w:color="auto" w:fill="auto"/>
              <w:spacing w:after="0"/>
            </w:pPr>
          </w:p>
        </w:tc>
      </w:tr>
    </w:tbl>
    <w:p w:rsidR="005711EA" w:rsidRDefault="005711EA">
      <w:pPr>
        <w:spacing w:after="299" w:line="1" w:lineRule="exact"/>
      </w:pPr>
    </w:p>
    <w:p w:rsidR="005711EA" w:rsidRDefault="00B5477C">
      <w:pPr>
        <w:pStyle w:val="Zkladntext1"/>
        <w:shd w:val="clear" w:color="auto" w:fill="auto"/>
        <w:spacing w:line="492" w:lineRule="auto"/>
      </w:pPr>
      <w:r>
        <w:t>(dále jen „objednatel”) a</w:t>
      </w:r>
    </w:p>
    <w:p w:rsidR="005711EA" w:rsidRDefault="00B5477C">
      <w:pPr>
        <w:pStyle w:val="Zkladntext1"/>
        <w:shd w:val="clear" w:color="auto" w:fill="auto"/>
      </w:pPr>
      <w:r>
        <w:t xml:space="preserve">1.2 </w:t>
      </w:r>
      <w:r>
        <w:rPr>
          <w:b/>
          <w:bCs/>
        </w:rPr>
        <w:t>Dodavatel</w:t>
      </w:r>
    </w:p>
    <w:p w:rsidR="005711EA" w:rsidRDefault="00B5477C">
      <w:pPr>
        <w:pStyle w:val="Zkladntext1"/>
        <w:shd w:val="clear" w:color="auto" w:fill="auto"/>
      </w:pPr>
      <w:r>
        <w:rPr>
          <w:b/>
          <w:bCs/>
        </w:rPr>
        <w:t>MÚZO Praha, s. r. 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66"/>
      </w:tblGrid>
      <w:tr w:rsidR="005711EA" w:rsidTr="00685677">
        <w:trPr>
          <w:trHeight w:hRule="exact" w:val="269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Sídlo: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Politických vězňů 15, 110 00 Praha 1</w:t>
            </w:r>
          </w:p>
        </w:tc>
      </w:tr>
      <w:tr w:rsidR="005711EA" w:rsidTr="00685677">
        <w:trPr>
          <w:trHeight w:hRule="exact" w:val="264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Zastoupený: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Ing. Petr Zaoral a Jan Maršík, jednatelé společnosti</w:t>
            </w:r>
          </w:p>
        </w:tc>
      </w:tr>
      <w:tr w:rsidR="005711EA" w:rsidTr="00685677">
        <w:trPr>
          <w:trHeight w:hRule="exact" w:val="504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Bankovní spojení:</w:t>
            </w:r>
          </w:p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IČO: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ČSOB Praha, Číslo účtu: 18228011/0710</w:t>
            </w:r>
          </w:p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49622897</w:t>
            </w:r>
          </w:p>
        </w:tc>
      </w:tr>
      <w:tr w:rsidR="005711EA" w:rsidTr="00685677">
        <w:trPr>
          <w:trHeight w:hRule="exact" w:val="912"/>
          <w:jc w:val="center"/>
        </w:trPr>
        <w:tc>
          <w:tcPr>
            <w:tcW w:w="1843" w:type="dxa"/>
            <w:shd w:val="clear" w:color="auto" w:fill="FFFFFF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DIČ:</w:t>
            </w:r>
          </w:p>
        </w:tc>
        <w:tc>
          <w:tcPr>
            <w:tcW w:w="7066" w:type="dxa"/>
            <w:shd w:val="clear" w:color="auto" w:fill="FFFFFF"/>
            <w:vAlign w:val="center"/>
          </w:tcPr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t>CZ49622897</w:t>
            </w:r>
          </w:p>
          <w:p w:rsidR="005711EA" w:rsidRDefault="00B5477C">
            <w:pPr>
              <w:pStyle w:val="Jin0"/>
              <w:shd w:val="clear" w:color="auto" w:fill="auto"/>
              <w:spacing w:after="0"/>
            </w:pPr>
            <w:r>
              <w:rPr>
                <w:i/>
                <w:iCs/>
              </w:rPr>
              <w:t>zapsaný v obchodním rejstříku vedeným Městským soudem v Praze, sp. zn. oddíl C, vložka 24646</w:t>
            </w:r>
          </w:p>
        </w:tc>
      </w:tr>
      <w:tr w:rsidR="005711EA" w:rsidTr="00685677">
        <w:trPr>
          <w:trHeight w:hRule="exact" w:val="384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Telefon: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5711EA" w:rsidRDefault="005711EA">
            <w:pPr>
              <w:pStyle w:val="Jin0"/>
              <w:shd w:val="clear" w:color="auto" w:fill="auto"/>
              <w:spacing w:after="0"/>
            </w:pPr>
          </w:p>
        </w:tc>
      </w:tr>
      <w:tr w:rsidR="005711EA" w:rsidTr="00685677">
        <w:trPr>
          <w:trHeight w:hRule="exact" w:val="288"/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5711EA" w:rsidRDefault="00B5477C">
            <w:pPr>
              <w:pStyle w:val="Jin0"/>
              <w:shd w:val="clear" w:color="auto" w:fill="auto"/>
              <w:spacing w:after="0"/>
              <w:jc w:val="both"/>
            </w:pPr>
            <w:r>
              <w:t>E-mail: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5711EA" w:rsidRDefault="005711EA">
            <w:pPr>
              <w:pStyle w:val="Jin0"/>
              <w:shd w:val="clear" w:color="auto" w:fill="auto"/>
              <w:spacing w:after="0"/>
            </w:pPr>
            <w:bookmarkStart w:id="2" w:name="_GoBack"/>
            <w:bookmarkEnd w:id="2"/>
          </w:p>
        </w:tc>
      </w:tr>
    </w:tbl>
    <w:p w:rsidR="005711EA" w:rsidRDefault="00B5477C">
      <w:pPr>
        <w:pStyle w:val="Titulektabulky0"/>
        <w:shd w:val="clear" w:color="auto" w:fill="auto"/>
        <w:sectPr w:rsidR="005711EA">
          <w:pgSz w:w="11900" w:h="16840"/>
          <w:pgMar w:top="606" w:right="1468" w:bottom="606" w:left="1374" w:header="178" w:footer="178" w:gutter="0"/>
          <w:pgNumType w:start="1"/>
          <w:cols w:space="720"/>
          <w:noEndnote/>
          <w:docGrid w:linePitch="360"/>
        </w:sectPr>
      </w:pPr>
      <w:r>
        <w:t>(dále jen „dodavatel”)</w:t>
      </w:r>
    </w:p>
    <w:p w:rsidR="005711EA" w:rsidRDefault="00B5477C">
      <w:pPr>
        <w:pStyle w:val="Nadpis20"/>
        <w:keepNext/>
        <w:keepLines/>
        <w:shd w:val="clear" w:color="auto" w:fill="auto"/>
      </w:pPr>
      <w:bookmarkStart w:id="3" w:name="bookmark2"/>
      <w:bookmarkStart w:id="4" w:name="bookmark3"/>
      <w:r>
        <w:lastRenderedPageBreak/>
        <w:t>II.</w:t>
      </w:r>
      <w:bookmarkEnd w:id="3"/>
      <w:bookmarkEnd w:id="4"/>
    </w:p>
    <w:p w:rsidR="005711EA" w:rsidRDefault="00B5477C">
      <w:pPr>
        <w:pStyle w:val="Zkladntext1"/>
        <w:numPr>
          <w:ilvl w:val="0"/>
          <w:numId w:val="1"/>
        </w:numPr>
        <w:shd w:val="clear" w:color="auto" w:fill="auto"/>
        <w:tabs>
          <w:tab w:val="left" w:pos="518"/>
        </w:tabs>
        <w:spacing w:after="480"/>
        <w:ind w:left="440" w:hanging="440"/>
        <w:jc w:val="both"/>
      </w:pPr>
      <w:r>
        <w:t>Vzhledem k tomu, že během účinnosti smlouvy nastala nutnost zajištění trvalé podpory a údržby MS SQL Serveru se smluvní strany dohodly na uzavření tohoto dodatku č. 6 ke Smlouvě (dále jen „Dodatek“).</w:t>
      </w:r>
    </w:p>
    <w:p w:rsidR="005711EA" w:rsidRDefault="00B5477C">
      <w:pPr>
        <w:pStyle w:val="Nadpis20"/>
        <w:keepNext/>
        <w:keepLines/>
        <w:shd w:val="clear" w:color="auto" w:fill="auto"/>
      </w:pPr>
      <w:bookmarkStart w:id="5" w:name="bookmark4"/>
      <w:bookmarkStart w:id="6" w:name="bookmark5"/>
      <w:r>
        <w:t>III.</w:t>
      </w:r>
      <w:bookmarkEnd w:id="5"/>
      <w:bookmarkEnd w:id="6"/>
    </w:p>
    <w:p w:rsidR="005711EA" w:rsidRDefault="00B5477C">
      <w:pPr>
        <w:pStyle w:val="Zkladntext1"/>
        <w:numPr>
          <w:ilvl w:val="0"/>
          <w:numId w:val="2"/>
        </w:numPr>
        <w:shd w:val="clear" w:color="auto" w:fill="auto"/>
        <w:tabs>
          <w:tab w:val="left" w:pos="518"/>
        </w:tabs>
        <w:ind w:left="440" w:hanging="440"/>
        <w:jc w:val="both"/>
      </w:pPr>
      <w:r>
        <w:t>Podpora provozu ekonomického informačního systému podle čl. 2.3 smlouvy se tímto dodatkem rozšiřuje o poskytování služeb trvalé podpory a údržby MS SQL serveru, která zahrnuje tyto činnosti:</w:t>
      </w:r>
    </w:p>
    <w:p w:rsidR="005711EA" w:rsidRDefault="00B5477C">
      <w:pPr>
        <w:pStyle w:val="Zkladntext1"/>
        <w:shd w:val="clear" w:color="auto" w:fill="auto"/>
        <w:spacing w:after="0"/>
        <w:ind w:left="1280" w:hanging="700"/>
        <w:jc w:val="both"/>
      </w:pPr>
      <w:r>
        <w:t>- Pravidelná kontrola integrity a neporušenosti databází EIS a systémových databází.</w:t>
      </w:r>
    </w:p>
    <w:p w:rsidR="005711EA" w:rsidRDefault="00B5477C">
      <w:pPr>
        <w:pStyle w:val="Zkladntext1"/>
        <w:shd w:val="clear" w:color="auto" w:fill="auto"/>
        <w:spacing w:after="0"/>
        <w:ind w:firstLine="580"/>
        <w:jc w:val="both"/>
      </w:pPr>
      <w:r>
        <w:t>- Pravidelná kontrola nastavených automatických procesů na MS SQL Serveru.</w:t>
      </w:r>
    </w:p>
    <w:p w:rsidR="005711EA" w:rsidRDefault="00B5477C">
      <w:pPr>
        <w:pStyle w:val="Zkladntext1"/>
        <w:shd w:val="clear" w:color="auto" w:fill="auto"/>
        <w:spacing w:after="0"/>
        <w:ind w:firstLine="580"/>
        <w:jc w:val="both"/>
      </w:pPr>
      <w:r>
        <w:t>- Pravidelná kontrola zatížení serveru a případná optimalizace databáze.</w:t>
      </w:r>
    </w:p>
    <w:p w:rsidR="005711EA" w:rsidRDefault="00B5477C">
      <w:pPr>
        <w:pStyle w:val="Zkladntext1"/>
        <w:shd w:val="clear" w:color="auto" w:fill="auto"/>
        <w:ind w:firstLine="580"/>
        <w:jc w:val="both"/>
      </w:pPr>
      <w:r>
        <w:t>- Pravidelná kontrola růstu databáze a logů včetně kontroly místa na disku.</w:t>
      </w:r>
    </w:p>
    <w:p w:rsidR="005711EA" w:rsidRDefault="00B5477C">
      <w:pPr>
        <w:pStyle w:val="Zkladntext1"/>
        <w:numPr>
          <w:ilvl w:val="0"/>
          <w:numId w:val="2"/>
        </w:numPr>
        <w:shd w:val="clear" w:color="auto" w:fill="auto"/>
        <w:tabs>
          <w:tab w:val="left" w:pos="518"/>
        </w:tabs>
        <w:ind w:left="440" w:hanging="440"/>
        <w:jc w:val="both"/>
      </w:pPr>
      <w:r>
        <w:t>Služby trvalé podpory a údržby MS SQL serveru budou poskytovány v rozsahu 3 hod. měsíčně ode dne nabytí účinnosti tohoto dodatku po dobu trvání smlouvy.</w:t>
      </w:r>
    </w:p>
    <w:p w:rsidR="005711EA" w:rsidRDefault="00B5477C">
      <w:pPr>
        <w:pStyle w:val="Zkladntext1"/>
        <w:numPr>
          <w:ilvl w:val="0"/>
          <w:numId w:val="2"/>
        </w:numPr>
        <w:shd w:val="clear" w:color="auto" w:fill="auto"/>
        <w:tabs>
          <w:tab w:val="left" w:pos="518"/>
        </w:tabs>
        <w:jc w:val="both"/>
      </w:pPr>
      <w:r>
        <w:t>Cena za Služby trvalé podpory a údržby MS SQL serveru</w:t>
      </w:r>
    </w:p>
    <w:p w:rsidR="005711EA" w:rsidRDefault="00B5477C">
      <w:pPr>
        <w:pStyle w:val="Zkladntext1"/>
        <w:shd w:val="clear" w:color="auto" w:fill="auto"/>
        <w:ind w:firstLine="440"/>
        <w:jc w:val="both"/>
      </w:pPr>
      <w:r>
        <w:t>6 300,- Kč měsíčně bez DPH, tj. 7 623,- Kč měsíčně s DPH</w:t>
      </w:r>
    </w:p>
    <w:p w:rsidR="005711EA" w:rsidRDefault="00B5477C">
      <w:pPr>
        <w:pStyle w:val="Zkladntext1"/>
        <w:shd w:val="clear" w:color="auto" w:fill="auto"/>
        <w:ind w:firstLine="440"/>
        <w:jc w:val="both"/>
      </w:pPr>
      <w:r>
        <w:t>Dodavatel je plátcem DPH.</w:t>
      </w:r>
    </w:p>
    <w:p w:rsidR="005711EA" w:rsidRDefault="00B5477C">
      <w:pPr>
        <w:pStyle w:val="Zkladntext1"/>
        <w:numPr>
          <w:ilvl w:val="0"/>
          <w:numId w:val="2"/>
        </w:numPr>
        <w:shd w:val="clear" w:color="auto" w:fill="auto"/>
        <w:tabs>
          <w:tab w:val="left" w:pos="518"/>
        </w:tabs>
        <w:spacing w:after="480"/>
        <w:ind w:left="440" w:hanging="440"/>
        <w:jc w:val="both"/>
      </w:pPr>
      <w:r>
        <w:t xml:space="preserve">Platba za služby trvalé podpory a údržby MS SQL serveru bude součástí faktury za podporu a provoz ekonomického informačního systému dle Smlouvy, kdy faktura bude rozšířena o položku Trvalá podpora a údržba MS SQL serveru a celková cena faktury bude navýšena o cenu uvedenou v bodu </w:t>
      </w:r>
      <w:proofErr w:type="gramStart"/>
      <w:r>
        <w:t>3.3. tohoto</w:t>
      </w:r>
      <w:proofErr w:type="gramEnd"/>
      <w:r>
        <w:t xml:space="preserve"> dodatku za odpovídající počet měsíců poskytování této služby v daném fakturačním období (pololetí).</w:t>
      </w:r>
    </w:p>
    <w:p w:rsidR="005711EA" w:rsidRDefault="00B5477C">
      <w:pPr>
        <w:pStyle w:val="Nadpis20"/>
        <w:keepNext/>
        <w:keepLines/>
        <w:shd w:val="clear" w:color="auto" w:fill="auto"/>
      </w:pPr>
      <w:bookmarkStart w:id="7" w:name="bookmark6"/>
      <w:bookmarkStart w:id="8" w:name="bookmark7"/>
      <w:r>
        <w:t>IV.</w:t>
      </w:r>
      <w:bookmarkEnd w:id="7"/>
      <w:bookmarkEnd w:id="8"/>
    </w:p>
    <w:p w:rsidR="005711EA" w:rsidRDefault="00B5477C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jc w:val="both"/>
      </w:pPr>
      <w:r>
        <w:t>Ostatní ustanovení Smlouvy zůstávají beze změny.</w:t>
      </w:r>
    </w:p>
    <w:p w:rsidR="005711EA" w:rsidRDefault="00B5477C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ind w:left="440" w:hanging="440"/>
        <w:jc w:val="both"/>
      </w:pPr>
      <w:r>
        <w:t>Dodavatel bere na vědomí, že tento Dodatek může podléhat povinnosti jeho uveřejnění podle zákona č. 340/2015 Sb., 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 Zveřejnění provede Objednatel.</w:t>
      </w:r>
    </w:p>
    <w:p w:rsidR="005711EA" w:rsidRDefault="00B5477C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ind w:left="440" w:hanging="440"/>
        <w:jc w:val="both"/>
      </w:pPr>
      <w:r>
        <w:t>Tento Dodatek nabývá účinnosti dnem podpisu oprávněným zástupcem poslední smluvní strany. Podléhá-li však tento Dodatek povinnosti uveřejnění prostřednictvím registru smluv podle zákona o registru smluv, nenabude účinnosti dříve než dnem jeho uveřejnění. Smluvní strany se budou vzájemně o nabytí účinnosti Dodatku neprodleně informovat.</w:t>
      </w:r>
    </w:p>
    <w:p w:rsidR="005711EA" w:rsidRDefault="00B5477C">
      <w:pPr>
        <w:pStyle w:val="Zkladntext1"/>
        <w:numPr>
          <w:ilvl w:val="1"/>
          <w:numId w:val="2"/>
        </w:numPr>
        <w:shd w:val="clear" w:color="auto" w:fill="auto"/>
        <w:tabs>
          <w:tab w:val="left" w:pos="518"/>
        </w:tabs>
        <w:jc w:val="both"/>
        <w:sectPr w:rsidR="005711EA">
          <w:footerReference w:type="default" r:id="rId9"/>
          <w:pgSz w:w="11900" w:h="16840"/>
          <w:pgMar w:top="1402" w:right="1373" w:bottom="1402" w:left="1517" w:header="974" w:footer="3" w:gutter="0"/>
          <w:cols w:space="720"/>
          <w:noEndnote/>
          <w:docGrid w:linePitch="360"/>
        </w:sectPr>
      </w:pPr>
      <w:r>
        <w:t>Dodatek se vyhovuje v elektronickém originále.</w:t>
      </w:r>
    </w:p>
    <w:p w:rsidR="005711EA" w:rsidRDefault="00B5477C">
      <w:pPr>
        <w:pStyle w:val="Zkladntext1"/>
        <w:framePr w:w="1142" w:h="298" w:wrap="none" w:hAnchor="page" w:x="1447" w:y="1"/>
        <w:shd w:val="clear" w:color="auto" w:fill="auto"/>
        <w:spacing w:after="0"/>
      </w:pPr>
      <w:r>
        <w:lastRenderedPageBreak/>
        <w:t>Objednatel</w:t>
      </w:r>
    </w:p>
    <w:p w:rsidR="005711EA" w:rsidRDefault="00B5477C">
      <w:pPr>
        <w:pStyle w:val="Zkladntext1"/>
        <w:framePr w:w="1056" w:h="293" w:wrap="none" w:hAnchor="page" w:x="6483" w:y="1"/>
        <w:shd w:val="clear" w:color="auto" w:fill="auto"/>
        <w:spacing w:after="0"/>
      </w:pPr>
      <w:r>
        <w:t>Dodavatel</w:t>
      </w:r>
    </w:p>
    <w:p w:rsidR="005711EA" w:rsidRDefault="00B5477C">
      <w:pPr>
        <w:pStyle w:val="Zkladntext1"/>
        <w:framePr w:w="2141" w:h="547" w:wrap="none" w:hAnchor="page" w:x="2196" w:y="1407"/>
        <w:pBdr>
          <w:top w:val="single" w:sz="4" w:space="0" w:color="auto"/>
        </w:pBdr>
        <w:shd w:val="clear" w:color="auto" w:fill="auto"/>
        <w:spacing w:after="0"/>
        <w:jc w:val="center"/>
      </w:pPr>
      <w:r>
        <w:t>RNDr. František Pelc</w:t>
      </w:r>
      <w:r>
        <w:br/>
        <w:t>ředitel</w:t>
      </w:r>
    </w:p>
    <w:p w:rsidR="005711EA" w:rsidRDefault="00B5477C">
      <w:pPr>
        <w:pStyle w:val="Zkladntext1"/>
        <w:framePr w:w="1594" w:h="2117" w:wrap="none" w:hAnchor="page" w:x="7740" w:y="1407"/>
        <w:pBdr>
          <w:top w:val="single" w:sz="4" w:space="0" w:color="auto"/>
        </w:pBdr>
        <w:shd w:val="clear" w:color="auto" w:fill="auto"/>
        <w:spacing w:after="1060"/>
        <w:jc w:val="center"/>
      </w:pPr>
      <w:r>
        <w:t>Ing. Petr Zaoral</w:t>
      </w:r>
      <w:r>
        <w:br/>
        <w:t>Jednatel</w:t>
      </w:r>
    </w:p>
    <w:p w:rsidR="005711EA" w:rsidRDefault="00B5477C">
      <w:pPr>
        <w:pStyle w:val="Zkladntext1"/>
        <w:framePr w:w="1594" w:h="2117" w:wrap="none" w:hAnchor="page" w:x="7740" w:y="1407"/>
        <w:pBdr>
          <w:top w:val="single" w:sz="4" w:space="0" w:color="auto"/>
        </w:pBdr>
        <w:shd w:val="clear" w:color="auto" w:fill="auto"/>
        <w:spacing w:after="0"/>
        <w:jc w:val="center"/>
      </w:pPr>
      <w:r>
        <w:t>Jan Maršík</w:t>
      </w:r>
    </w:p>
    <w:p w:rsidR="005711EA" w:rsidRDefault="00B5477C">
      <w:pPr>
        <w:pStyle w:val="Zkladntext1"/>
        <w:framePr w:w="1594" w:h="2117" w:wrap="none" w:hAnchor="page" w:x="7740" w:y="1407"/>
        <w:shd w:val="clear" w:color="auto" w:fill="auto"/>
        <w:spacing w:after="0"/>
        <w:jc w:val="center"/>
      </w:pPr>
      <w:r>
        <w:t>Jednatel</w:t>
      </w:r>
    </w:p>
    <w:p w:rsidR="005711EA" w:rsidRDefault="005711EA">
      <w:pPr>
        <w:spacing w:line="360" w:lineRule="exact"/>
      </w:pPr>
    </w:p>
    <w:p w:rsidR="005711EA" w:rsidRDefault="005711EA">
      <w:pPr>
        <w:spacing w:line="360" w:lineRule="exact"/>
      </w:pPr>
    </w:p>
    <w:p w:rsidR="005711EA" w:rsidRDefault="005711EA">
      <w:pPr>
        <w:spacing w:line="360" w:lineRule="exact"/>
      </w:pPr>
    </w:p>
    <w:p w:rsidR="005711EA" w:rsidRDefault="005711EA">
      <w:pPr>
        <w:spacing w:line="360" w:lineRule="exact"/>
      </w:pPr>
    </w:p>
    <w:p w:rsidR="005711EA" w:rsidRDefault="005711EA">
      <w:pPr>
        <w:spacing w:line="360" w:lineRule="exact"/>
      </w:pPr>
    </w:p>
    <w:p w:rsidR="005711EA" w:rsidRDefault="005711EA">
      <w:pPr>
        <w:spacing w:line="360" w:lineRule="exact"/>
      </w:pPr>
    </w:p>
    <w:p w:rsidR="005711EA" w:rsidRDefault="005711EA">
      <w:pPr>
        <w:spacing w:line="360" w:lineRule="exact"/>
      </w:pPr>
    </w:p>
    <w:p w:rsidR="005711EA" w:rsidRDefault="005711EA">
      <w:pPr>
        <w:spacing w:line="360" w:lineRule="exact"/>
      </w:pPr>
    </w:p>
    <w:p w:rsidR="005711EA" w:rsidRDefault="005711EA">
      <w:pPr>
        <w:spacing w:after="642" w:line="1" w:lineRule="exact"/>
      </w:pPr>
    </w:p>
    <w:p w:rsidR="005711EA" w:rsidRDefault="005711EA">
      <w:pPr>
        <w:spacing w:line="1" w:lineRule="exact"/>
      </w:pPr>
    </w:p>
    <w:sectPr w:rsidR="005711EA">
      <w:pgSz w:w="11900" w:h="16840"/>
      <w:pgMar w:top="2156" w:right="2567" w:bottom="1005" w:left="1446" w:header="172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B1" w:rsidRDefault="006C3CB1">
      <w:r>
        <w:separator/>
      </w:r>
    </w:p>
  </w:endnote>
  <w:endnote w:type="continuationSeparator" w:id="0">
    <w:p w:rsidR="006C3CB1" w:rsidRDefault="006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EA" w:rsidRDefault="00B5477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9991725</wp:posOffset>
              </wp:positionV>
              <wp:extent cx="22225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1EA" w:rsidRDefault="00B5477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5677" w:rsidRPr="0068567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|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0.15pt;margin-top:786.75pt;width:17.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" filled="f" stroked="f">
              <v:textbox style="mso-fit-shape-to-text:t" inset="0,0,0,0">
                <w:txbxContent>
                  <w:p w:rsidR="005711EA" w:rsidRDefault="00B5477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5677" w:rsidRPr="0068567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|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B1" w:rsidRDefault="006C3CB1"/>
  </w:footnote>
  <w:footnote w:type="continuationSeparator" w:id="0">
    <w:p w:rsidR="006C3CB1" w:rsidRDefault="006C3C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63F0"/>
    <w:multiLevelType w:val="multilevel"/>
    <w:tmpl w:val="71D4381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A0CC6"/>
    <w:multiLevelType w:val="multilevel"/>
    <w:tmpl w:val="5762A27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EA"/>
    <w:rsid w:val="005711EA"/>
    <w:rsid w:val="00685677"/>
    <w:rsid w:val="006C3CB1"/>
    <w:rsid w:val="008657A3"/>
    <w:rsid w:val="00B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DA490-8CAB-4FE9-9527-2EFEF431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Calibri" w:eastAsia="Calibri" w:hAnsi="Calibri" w:cs="Calibri"/>
      <w:color w:val="006B4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 w:line="276" w:lineRule="auto"/>
      <w:ind w:left="-1400" w:firstLine="1400"/>
    </w:pPr>
    <w:rPr>
      <w:rFonts w:ascii="Arial" w:eastAsia="Arial" w:hAnsi="Arial" w:cs="Arial"/>
      <w:b/>
      <w:bCs/>
      <w:color w:val="006B4D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Nagy</dc:creator>
  <cp:keywords/>
  <cp:lastModifiedBy>Ivana Kohoutová</cp:lastModifiedBy>
  <cp:revision>4</cp:revision>
  <dcterms:created xsi:type="dcterms:W3CDTF">2022-06-08T10:23:00Z</dcterms:created>
  <dcterms:modified xsi:type="dcterms:W3CDTF">2022-06-09T08:11:00Z</dcterms:modified>
</cp:coreProperties>
</file>