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3F60" w14:textId="77777777" w:rsidR="000E748C" w:rsidRDefault="00731C52">
      <w:pPr>
        <w:pStyle w:val="Headerorfooter0"/>
        <w:framePr w:wrap="none" w:vAnchor="page" w:hAnchor="page" w:x="1619" w:y="885"/>
        <w:shd w:val="clear" w:color="auto" w:fill="auto"/>
      </w:pPr>
      <w:r>
        <w:rPr>
          <w:rStyle w:val="HeaderorfooterSmallCaps"/>
          <w:b/>
          <w:bCs/>
        </w:rPr>
        <w:t>Legal Crew</w:t>
      </w:r>
    </w:p>
    <w:p w14:paraId="02ED3F61" w14:textId="57089668" w:rsidR="000E748C" w:rsidRDefault="00731C52">
      <w:pPr>
        <w:pStyle w:val="Heading10"/>
        <w:framePr w:w="9293" w:h="4809" w:hRule="exact" w:wrap="none" w:vAnchor="page" w:hAnchor="page" w:x="1413" w:y="1548"/>
        <w:shd w:val="clear" w:color="auto" w:fill="auto"/>
        <w:ind w:right="20" w:firstLine="0"/>
      </w:pPr>
      <w:bookmarkStart w:id="0" w:name="bookmark0"/>
      <w:r>
        <w:t>Smlouva o poskytování právních služeb</w:t>
      </w:r>
      <w:r>
        <w:br/>
        <w:t>(„Smlouva</w:t>
      </w:r>
      <w:r w:rsidR="00393A0B">
        <w:t>“</w:t>
      </w:r>
      <w:r>
        <w:t>)</w:t>
      </w:r>
      <w:bookmarkEnd w:id="0"/>
    </w:p>
    <w:p w14:paraId="02ED3F62" w14:textId="77777777" w:rsidR="000E748C" w:rsidRDefault="00731C52">
      <w:pPr>
        <w:pStyle w:val="Bodytext30"/>
        <w:framePr w:w="9293" w:h="4809" w:hRule="exact" w:wrap="none" w:vAnchor="page" w:hAnchor="page" w:x="1413" w:y="1548"/>
        <w:shd w:val="clear" w:color="auto" w:fill="auto"/>
        <w:ind w:left="640"/>
      </w:pPr>
      <w:r>
        <w:t>Smluvní strany</w:t>
      </w:r>
    </w:p>
    <w:p w14:paraId="02ED3F63" w14:textId="74A52911" w:rsidR="000E748C" w:rsidRDefault="00731C52">
      <w:pPr>
        <w:pStyle w:val="Heading10"/>
        <w:framePr w:w="9293" w:h="4809" w:hRule="exact" w:wrap="none" w:vAnchor="page" w:hAnchor="page" w:x="1413" w:y="1548"/>
        <w:numPr>
          <w:ilvl w:val="0"/>
          <w:numId w:val="1"/>
        </w:numPr>
        <w:shd w:val="clear" w:color="auto" w:fill="auto"/>
        <w:tabs>
          <w:tab w:val="left" w:pos="574"/>
        </w:tabs>
        <w:ind w:left="640"/>
        <w:jc w:val="both"/>
      </w:pPr>
      <w:bookmarkStart w:id="1" w:name="bookmark1"/>
      <w:r>
        <w:t>Hudební divadlo v Karl</w:t>
      </w:r>
      <w:r w:rsidR="00393A0B">
        <w:t>í</w:t>
      </w:r>
      <w:r>
        <w:t>ně</w:t>
      </w:r>
      <w:bookmarkEnd w:id="1"/>
    </w:p>
    <w:p w14:paraId="02ED3F64" w14:textId="77777777" w:rsidR="000E748C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left="1060" w:hanging="420"/>
      </w:pPr>
      <w:r>
        <w:t>IČ: 00064335</w:t>
      </w:r>
    </w:p>
    <w:p w14:paraId="69FB3B5F" w14:textId="77777777" w:rsidR="00393A0B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firstLine="640"/>
      </w:pPr>
      <w:r>
        <w:t xml:space="preserve">se sídlem Křižíkova 283/10, Karlín, 186 00 Praha </w:t>
      </w:r>
      <w:r w:rsidR="00393A0B">
        <w:t xml:space="preserve">                                                                                     </w:t>
      </w:r>
    </w:p>
    <w:p w14:paraId="34A89E72" w14:textId="77777777" w:rsidR="00393A0B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firstLine="640"/>
        <w:rPr>
          <w:rStyle w:val="Bodytext2Bold"/>
        </w:rPr>
      </w:pPr>
      <w:r w:rsidRPr="00393A0B">
        <w:rPr>
          <w:rStyle w:val="Bodytext2Bold"/>
          <w:b w:val="0"/>
        </w:rPr>
        <w:t>(„</w:t>
      </w:r>
      <w:r>
        <w:rPr>
          <w:rStyle w:val="Bodytext2Bold"/>
        </w:rPr>
        <w:t>Klient</w:t>
      </w:r>
      <w:r w:rsidRPr="00393A0B">
        <w:rPr>
          <w:rStyle w:val="Bodytext2Bold"/>
          <w:b w:val="0"/>
        </w:rPr>
        <w:t>")</w:t>
      </w:r>
      <w:r>
        <w:rPr>
          <w:rStyle w:val="Bodytext2Bold"/>
        </w:rPr>
        <w:t xml:space="preserve"> </w:t>
      </w:r>
    </w:p>
    <w:p w14:paraId="02ED3F65" w14:textId="6621AAF6" w:rsidR="000E748C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firstLine="640"/>
      </w:pPr>
      <w:r>
        <w:t>a</w:t>
      </w:r>
    </w:p>
    <w:p w14:paraId="02ED3F66" w14:textId="77777777" w:rsidR="000E748C" w:rsidRDefault="00731C52">
      <w:pPr>
        <w:pStyle w:val="Heading10"/>
        <w:framePr w:w="9293" w:h="4809" w:hRule="exact" w:wrap="none" w:vAnchor="page" w:hAnchor="page" w:x="1413" w:y="1548"/>
        <w:numPr>
          <w:ilvl w:val="0"/>
          <w:numId w:val="1"/>
        </w:numPr>
        <w:shd w:val="clear" w:color="auto" w:fill="auto"/>
        <w:tabs>
          <w:tab w:val="left" w:pos="574"/>
        </w:tabs>
        <w:ind w:left="640"/>
        <w:jc w:val="both"/>
      </w:pPr>
      <w:bookmarkStart w:id="2" w:name="bookmark2"/>
      <w:r>
        <w:t>Mgr. Ondřej Plánička, advokát</w:t>
      </w:r>
      <w:bookmarkEnd w:id="2"/>
    </w:p>
    <w:p w14:paraId="02ED3F67" w14:textId="77777777" w:rsidR="000E748C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left="1060" w:hanging="420"/>
      </w:pPr>
      <w:r>
        <w:t>Číslo evidenční ČAK: 15665</w:t>
      </w:r>
    </w:p>
    <w:p w14:paraId="02ED3F68" w14:textId="105D1A01" w:rsidR="000E748C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left="640" w:firstLine="0"/>
      </w:pPr>
      <w:r>
        <w:t xml:space="preserve">se sídlem Jana </w:t>
      </w:r>
      <w:r>
        <w:t xml:space="preserve">Masaryka 436/51, 120 00 Praha 2 - Vinohrady </w:t>
      </w:r>
      <w:r w:rsidR="00393A0B">
        <w:t xml:space="preserve">                                                  </w:t>
      </w:r>
      <w:r>
        <w:t>IČO: 02971755, DIČ: CZ8503182578</w:t>
      </w:r>
    </w:p>
    <w:p w14:paraId="02ED3F69" w14:textId="77777777" w:rsidR="000E748C" w:rsidRDefault="00731C52">
      <w:pPr>
        <w:pStyle w:val="Bodytext20"/>
        <w:framePr w:w="9293" w:h="4809" w:hRule="exact" w:wrap="none" w:vAnchor="page" w:hAnchor="page" w:x="1413" w:y="1548"/>
        <w:shd w:val="clear" w:color="auto" w:fill="auto"/>
        <w:ind w:left="1060" w:hanging="420"/>
      </w:pPr>
      <w:r w:rsidRPr="00393A0B">
        <w:rPr>
          <w:rStyle w:val="Bodytext2Bold"/>
          <w:b w:val="0"/>
        </w:rPr>
        <w:t>(„</w:t>
      </w:r>
      <w:r>
        <w:rPr>
          <w:rStyle w:val="Bodytext2Bold"/>
        </w:rPr>
        <w:t>Poskytovatel</w:t>
      </w:r>
      <w:r w:rsidRPr="00393A0B">
        <w:rPr>
          <w:rStyle w:val="Bodytext2Bold"/>
          <w:b w:val="0"/>
        </w:rPr>
        <w:t xml:space="preserve">", </w:t>
      </w:r>
      <w:r>
        <w:t xml:space="preserve">společně s Klientem dál jen jako </w:t>
      </w:r>
      <w:r w:rsidRPr="00393A0B">
        <w:rPr>
          <w:rStyle w:val="Bodytext2Bold"/>
          <w:b w:val="0"/>
        </w:rPr>
        <w:t>„</w:t>
      </w:r>
      <w:r>
        <w:rPr>
          <w:rStyle w:val="Bodytext2Bold"/>
        </w:rPr>
        <w:t>Strany</w:t>
      </w:r>
      <w:r w:rsidRPr="00393A0B">
        <w:rPr>
          <w:rStyle w:val="Bodytext2Bold"/>
          <w:b w:val="0"/>
        </w:rPr>
        <w:t>"</w:t>
      </w:r>
      <w:r>
        <w:rPr>
          <w:rStyle w:val="Bodytext2Bold"/>
        </w:rPr>
        <w:t xml:space="preserve"> </w:t>
      </w:r>
      <w:r>
        <w:t>nebo každý z nich samostatně jako</w:t>
      </w:r>
    </w:p>
    <w:p w14:paraId="02ED3F6A" w14:textId="77777777" w:rsidR="000E748C" w:rsidRPr="00393A0B" w:rsidRDefault="00731C52">
      <w:pPr>
        <w:pStyle w:val="Bodytext30"/>
        <w:framePr w:w="9293" w:h="4809" w:hRule="exact" w:wrap="none" w:vAnchor="page" w:hAnchor="page" w:x="1413" w:y="1548"/>
        <w:shd w:val="clear" w:color="auto" w:fill="auto"/>
        <w:spacing w:line="224" w:lineRule="exact"/>
        <w:ind w:left="1060" w:hanging="420"/>
        <w:jc w:val="left"/>
        <w:rPr>
          <w:b w:val="0"/>
        </w:rPr>
      </w:pPr>
      <w:r w:rsidRPr="00393A0B">
        <w:rPr>
          <w:b w:val="0"/>
        </w:rPr>
        <w:t>„</w:t>
      </w:r>
      <w:r>
        <w:t>Strana</w:t>
      </w:r>
      <w:r w:rsidRPr="00393A0B">
        <w:rPr>
          <w:b w:val="0"/>
        </w:rPr>
        <w:t>")</w:t>
      </w:r>
    </w:p>
    <w:p w14:paraId="02ED3F6B" w14:textId="77777777" w:rsidR="000E748C" w:rsidRDefault="00731C52">
      <w:pPr>
        <w:pStyle w:val="Heading10"/>
        <w:framePr w:w="9293" w:h="8591" w:hRule="exact" w:wrap="none" w:vAnchor="page" w:hAnchor="page" w:x="1413" w:y="6771"/>
        <w:numPr>
          <w:ilvl w:val="0"/>
          <w:numId w:val="2"/>
        </w:numPr>
        <w:shd w:val="clear" w:color="auto" w:fill="auto"/>
        <w:tabs>
          <w:tab w:val="left" w:pos="574"/>
        </w:tabs>
        <w:spacing w:after="115" w:line="224" w:lineRule="exact"/>
        <w:ind w:left="640"/>
        <w:jc w:val="both"/>
      </w:pPr>
      <w:bookmarkStart w:id="3" w:name="bookmark3"/>
      <w:r>
        <w:t>Poskytované služby</w:t>
      </w:r>
      <w:bookmarkEnd w:id="3"/>
    </w:p>
    <w:p w14:paraId="02ED3F6C" w14:textId="5EBB6098" w:rsidR="000E748C" w:rsidRDefault="00731C52">
      <w:pPr>
        <w:pStyle w:val="Bodytext20"/>
        <w:framePr w:w="9293" w:h="8591" w:hRule="exact" w:wrap="none" w:vAnchor="page" w:hAnchor="page" w:x="1413" w:y="6771"/>
        <w:numPr>
          <w:ilvl w:val="1"/>
          <w:numId w:val="2"/>
        </w:numPr>
        <w:shd w:val="clear" w:color="auto" w:fill="auto"/>
        <w:tabs>
          <w:tab w:val="left" w:pos="574"/>
        </w:tabs>
        <w:spacing w:after="120" w:line="230" w:lineRule="exact"/>
        <w:ind w:left="640"/>
        <w:jc w:val="both"/>
      </w:pPr>
      <w:r>
        <w:t>Za podmínek uvedených v této Smlouvě bude Poskytovatel po</w:t>
      </w:r>
      <w:r>
        <w:t xml:space="preserve">skytovat Klientovi právní služby </w:t>
      </w:r>
      <w:r w:rsidRPr="00393A0B">
        <w:rPr>
          <w:rStyle w:val="Bodytext2Bold"/>
          <w:b w:val="0"/>
        </w:rPr>
        <w:t>(„</w:t>
      </w:r>
      <w:r>
        <w:rPr>
          <w:rStyle w:val="Bodytext2Bold"/>
        </w:rPr>
        <w:t>Služby</w:t>
      </w:r>
      <w:r w:rsidRPr="00393A0B">
        <w:rPr>
          <w:rStyle w:val="Bodytext2Bold"/>
          <w:b w:val="0"/>
        </w:rPr>
        <w:t xml:space="preserve">") </w:t>
      </w:r>
      <w:r>
        <w:t>obecného charakteru se zaměřením na obchodní, pracovní, autorské</w:t>
      </w:r>
      <w:r w:rsidR="00393A0B">
        <w:t xml:space="preserve"> </w:t>
      </w:r>
      <w:r>
        <w:t xml:space="preserve">a občanské právo. Rozsah Služeb, které bude Poskytovatel poskytovat Klientovi na základě této Smlouvy, je uveden v </w:t>
      </w:r>
      <w:r>
        <w:rPr>
          <w:rStyle w:val="Bodytext21"/>
        </w:rPr>
        <w:t>Příloze 1</w:t>
      </w:r>
      <w:r>
        <w:t xml:space="preserve"> této Smlouvy.</w:t>
      </w:r>
    </w:p>
    <w:p w14:paraId="02ED3F6D" w14:textId="77777777" w:rsidR="000E748C" w:rsidRDefault="00731C52">
      <w:pPr>
        <w:pStyle w:val="Bodytext20"/>
        <w:framePr w:w="9293" w:h="8591" w:hRule="exact" w:wrap="none" w:vAnchor="page" w:hAnchor="page" w:x="1413" w:y="6771"/>
        <w:numPr>
          <w:ilvl w:val="1"/>
          <w:numId w:val="2"/>
        </w:numPr>
        <w:shd w:val="clear" w:color="auto" w:fill="auto"/>
        <w:tabs>
          <w:tab w:val="left" w:pos="574"/>
        </w:tabs>
        <w:spacing w:after="125" w:line="230" w:lineRule="exact"/>
        <w:ind w:left="640"/>
        <w:jc w:val="both"/>
      </w:pPr>
      <w:r>
        <w:t xml:space="preserve">Rozsah Služeb poskytovaných Poskytovatelem Klientovi může být rozšířen nad rámec uvedený v </w:t>
      </w:r>
      <w:r>
        <w:rPr>
          <w:rStyle w:val="Bodytext21"/>
        </w:rPr>
        <w:t>Příloze 1</w:t>
      </w:r>
      <w:r>
        <w:t xml:space="preserve"> této Smlouvy:</w:t>
      </w:r>
    </w:p>
    <w:p w14:paraId="02ED3F6E" w14:textId="77777777" w:rsidR="000E748C" w:rsidRDefault="00731C52">
      <w:pPr>
        <w:pStyle w:val="Bodytext20"/>
        <w:framePr w:w="9293" w:h="8591" w:hRule="exact" w:wrap="none" w:vAnchor="page" w:hAnchor="page" w:x="1413" w:y="6771"/>
        <w:numPr>
          <w:ilvl w:val="0"/>
          <w:numId w:val="3"/>
        </w:numPr>
        <w:shd w:val="clear" w:color="auto" w:fill="auto"/>
        <w:tabs>
          <w:tab w:val="left" w:pos="1072"/>
        </w:tabs>
        <w:spacing w:after="115" w:line="224" w:lineRule="exact"/>
        <w:ind w:left="1060" w:hanging="420"/>
      </w:pPr>
      <w:r>
        <w:t>dodatkem k této Smlouvě; nebo</w:t>
      </w:r>
    </w:p>
    <w:p w14:paraId="02ED3F6F" w14:textId="79A8A726" w:rsidR="000E748C" w:rsidRDefault="00731C52">
      <w:pPr>
        <w:pStyle w:val="Bodytext20"/>
        <w:framePr w:w="9293" w:h="8591" w:hRule="exact" w:wrap="none" w:vAnchor="page" w:hAnchor="page" w:x="1413" w:y="6771"/>
        <w:numPr>
          <w:ilvl w:val="0"/>
          <w:numId w:val="3"/>
        </w:numPr>
        <w:shd w:val="clear" w:color="auto" w:fill="auto"/>
        <w:tabs>
          <w:tab w:val="left" w:pos="1072"/>
        </w:tabs>
        <w:spacing w:after="125" w:line="230" w:lineRule="exact"/>
        <w:ind w:left="1060" w:hanging="420"/>
      </w:pPr>
      <w:r>
        <w:t xml:space="preserve">na základě instrukce Klienta k poskytnutí jiných právních služeb, než jsou uvedeny </w:t>
      </w:r>
      <w:r w:rsidR="00393A0B">
        <w:t xml:space="preserve">                        </w:t>
      </w:r>
      <w:r>
        <w:t xml:space="preserve">v </w:t>
      </w:r>
      <w:r>
        <w:rPr>
          <w:rStyle w:val="Bodytext21"/>
        </w:rPr>
        <w:t>Příloze 1</w:t>
      </w:r>
      <w:r>
        <w:t xml:space="preserve"> této Smlouvy a</w:t>
      </w:r>
    </w:p>
    <w:p w14:paraId="02ED3F70" w14:textId="77777777" w:rsidR="000E748C" w:rsidRDefault="00731C52">
      <w:pPr>
        <w:pStyle w:val="Bodytext20"/>
        <w:framePr w:w="9293" w:h="8591" w:hRule="exact" w:wrap="none" w:vAnchor="page" w:hAnchor="page" w:x="1413" w:y="6771"/>
        <w:numPr>
          <w:ilvl w:val="0"/>
          <w:numId w:val="4"/>
        </w:numPr>
        <w:shd w:val="clear" w:color="auto" w:fill="auto"/>
        <w:tabs>
          <w:tab w:val="left" w:pos="1485"/>
        </w:tabs>
        <w:spacing w:after="115" w:line="224" w:lineRule="exact"/>
        <w:ind w:left="1500" w:hanging="440"/>
        <w:jc w:val="both"/>
      </w:pPr>
      <w:r>
        <w:t>P</w:t>
      </w:r>
      <w:r>
        <w:t>oskytovatel tuto instrukci potvrdí; nebo</w:t>
      </w:r>
    </w:p>
    <w:p w14:paraId="02ED3F71" w14:textId="5591DC6F" w:rsidR="000E748C" w:rsidRDefault="00731C52">
      <w:pPr>
        <w:pStyle w:val="Bodytext20"/>
        <w:framePr w:w="9293" w:h="8591" w:hRule="exact" w:wrap="none" w:vAnchor="page" w:hAnchor="page" w:x="1413" w:y="6771"/>
        <w:numPr>
          <w:ilvl w:val="0"/>
          <w:numId w:val="4"/>
        </w:numPr>
        <w:shd w:val="clear" w:color="auto" w:fill="auto"/>
        <w:tabs>
          <w:tab w:val="left" w:pos="1485"/>
        </w:tabs>
        <w:spacing w:after="125" w:line="230" w:lineRule="exact"/>
        <w:ind w:left="1500" w:hanging="440"/>
        <w:jc w:val="both"/>
      </w:pPr>
      <w:r>
        <w:t>v souladu s instrukcí Klienta, přičemž akceptace takové instrukce ze strany Poskytovatele nastane tím, ž</w:t>
      </w:r>
      <w:r w:rsidR="00393A0B">
        <w:t>e takovou službu poskytne, resp.</w:t>
      </w:r>
      <w:r>
        <w:t>zajistí její poskytování. Přijetí instrukce nebo poskytnutí služby se považuje</w:t>
      </w:r>
      <w:r>
        <w:t xml:space="preserve"> za dohodu o rozšíření rozsahu služeb dle této Smlouvy.</w:t>
      </w:r>
    </w:p>
    <w:p w14:paraId="02ED3F72" w14:textId="77777777" w:rsidR="000E748C" w:rsidRDefault="00731C52">
      <w:pPr>
        <w:pStyle w:val="Heading10"/>
        <w:framePr w:w="9293" w:h="8591" w:hRule="exact" w:wrap="none" w:vAnchor="page" w:hAnchor="page" w:x="1413" w:y="6771"/>
        <w:numPr>
          <w:ilvl w:val="0"/>
          <w:numId w:val="2"/>
        </w:numPr>
        <w:shd w:val="clear" w:color="auto" w:fill="auto"/>
        <w:tabs>
          <w:tab w:val="left" w:pos="574"/>
        </w:tabs>
        <w:spacing w:after="119" w:line="224" w:lineRule="exact"/>
        <w:ind w:left="640"/>
        <w:jc w:val="both"/>
      </w:pPr>
      <w:bookmarkStart w:id="4" w:name="bookmark4"/>
      <w:r>
        <w:t>Personální obsazení</w:t>
      </w:r>
      <w:bookmarkEnd w:id="4"/>
    </w:p>
    <w:p w14:paraId="02ED3F73" w14:textId="57C281F0" w:rsidR="000E748C" w:rsidRDefault="00731C52">
      <w:pPr>
        <w:pStyle w:val="Bodytext20"/>
        <w:framePr w:w="9293" w:h="8591" w:hRule="exact" w:wrap="none" w:vAnchor="page" w:hAnchor="page" w:x="1413" w:y="6771"/>
        <w:numPr>
          <w:ilvl w:val="1"/>
          <w:numId w:val="2"/>
        </w:numPr>
        <w:shd w:val="clear" w:color="auto" w:fill="auto"/>
        <w:tabs>
          <w:tab w:val="left" w:pos="574"/>
        </w:tabs>
        <w:spacing w:after="20" w:line="226" w:lineRule="exact"/>
        <w:ind w:left="640"/>
        <w:jc w:val="both"/>
      </w:pPr>
      <w:r>
        <w:t>Poskytovatel bude poskytovat Služby prostřednictvím, advokátů, advokátních koncipientů a dalších osob zaměstnaných Poskytovatelem. Tyto osoby jednají při poskytování Služeb dle tét</w:t>
      </w:r>
      <w:r>
        <w:t>o Smlouvy jménem a na účet Poskytovatele, respektive tam, kde poskytování Služeb jménem Poskytovatele nepřipouštějí v jednotlivých případech zvláštní právní předpisy, vlastním jménem a na účet Poskytovatele. Účastníkem právních vztahů založených v souvislo</w:t>
      </w:r>
      <w:r>
        <w:t>sti s poskytováním Služeb dle této Smlouvy vůči Klientovi bude v souladu s ustanoveními zákona č. 85/1996 Sb., o advokacii, ve znění pozdějších předpisů („Zákon o advokacii") výlučně Poskytovatel. Vyžaduje-</w:t>
      </w:r>
      <w:r>
        <w:t>li to povaha záležitosti, popřípadě v jiných odův</w:t>
      </w:r>
      <w:r>
        <w:t>odněných případech, je Poskytovatel oprávněn k poskytnutí Služby využít i externí spolupracovníky za podmínek dle této Smlouvy.</w:t>
      </w:r>
    </w:p>
    <w:p w14:paraId="02ED3F74" w14:textId="77777777" w:rsidR="000E748C" w:rsidRDefault="00731C52">
      <w:pPr>
        <w:pStyle w:val="Bodytext20"/>
        <w:framePr w:w="9293" w:h="8591" w:hRule="exact" w:wrap="none" w:vAnchor="page" w:hAnchor="page" w:x="1413" w:y="6771"/>
        <w:numPr>
          <w:ilvl w:val="1"/>
          <w:numId w:val="2"/>
        </w:numPr>
        <w:shd w:val="clear" w:color="auto" w:fill="auto"/>
        <w:tabs>
          <w:tab w:val="left" w:pos="574"/>
        </w:tabs>
        <w:spacing w:line="350" w:lineRule="exact"/>
        <w:ind w:left="640"/>
        <w:jc w:val="both"/>
      </w:pPr>
      <w:r>
        <w:t>Základní tým Poskytovatele určený pro poskytování Služeb na základě této Smlouvy budou tvořit:</w:t>
      </w:r>
    </w:p>
    <w:p w14:paraId="02ED3F75" w14:textId="7D712AE9" w:rsidR="000E748C" w:rsidRDefault="00731C52">
      <w:pPr>
        <w:pStyle w:val="Bodytext20"/>
        <w:framePr w:w="9293" w:h="8591" w:hRule="exact" w:wrap="none" w:vAnchor="page" w:hAnchor="page" w:x="1413" w:y="6771"/>
        <w:shd w:val="clear" w:color="auto" w:fill="auto"/>
        <w:spacing w:line="350" w:lineRule="exact"/>
        <w:ind w:left="1060" w:right="5160" w:firstLine="0"/>
      </w:pPr>
      <w:r>
        <w:rPr>
          <w:rStyle w:val="Bodytext2Bold"/>
        </w:rPr>
        <w:t xml:space="preserve">Mgr. Ondřej </w:t>
      </w:r>
      <w:r w:rsidRPr="00393A0B">
        <w:rPr>
          <w:b/>
        </w:rPr>
        <w:t>P</w:t>
      </w:r>
      <w:r w:rsidR="00393A0B" w:rsidRPr="00393A0B">
        <w:rPr>
          <w:b/>
        </w:rPr>
        <w:t>l</w:t>
      </w:r>
      <w:r w:rsidRPr="00393A0B">
        <w:rPr>
          <w:b/>
        </w:rPr>
        <w:t>ánička</w:t>
      </w:r>
      <w:r>
        <w:t xml:space="preserve">, advokát </w:t>
      </w:r>
      <w:r>
        <w:rPr>
          <w:rStyle w:val="Bodytext2Bold"/>
        </w:rPr>
        <w:t>Mgr</w:t>
      </w:r>
      <w:r>
        <w:rPr>
          <w:rStyle w:val="Bodytext2Bold"/>
        </w:rPr>
        <w:t xml:space="preserve">. Barbora </w:t>
      </w:r>
      <w:r w:rsidRPr="00393A0B">
        <w:rPr>
          <w:b/>
        </w:rPr>
        <w:t>Masařová</w:t>
      </w:r>
      <w:r w:rsidR="00393A0B">
        <w:t>,</w:t>
      </w:r>
      <w:r>
        <w:t>advokát.</w:t>
      </w:r>
    </w:p>
    <w:p w14:paraId="02ED3F76" w14:textId="77777777" w:rsidR="000E748C" w:rsidRDefault="00731C52">
      <w:pPr>
        <w:pStyle w:val="Bodytext20"/>
        <w:framePr w:w="9293" w:h="8591" w:hRule="exact" w:wrap="none" w:vAnchor="page" w:hAnchor="page" w:x="1413" w:y="6771"/>
        <w:numPr>
          <w:ilvl w:val="1"/>
          <w:numId w:val="2"/>
        </w:numPr>
        <w:shd w:val="clear" w:color="auto" w:fill="auto"/>
        <w:tabs>
          <w:tab w:val="left" w:pos="574"/>
        </w:tabs>
        <w:spacing w:line="230" w:lineRule="exact"/>
        <w:ind w:left="640"/>
        <w:jc w:val="both"/>
      </w:pPr>
      <w:r>
        <w:t xml:space="preserve">Personální složení určeného právního týmu může být rozšířeno nebo změněno, zejména bude-li si to vyžadovat povaha nebo rozsah práce, přičemž Poskytovatel bude dbát na zachování maximální efektivnosti poskytování Služeb a na </w:t>
      </w:r>
      <w:r>
        <w:t>úsporu nákladů pro Klienta.</w:t>
      </w:r>
    </w:p>
    <w:p w14:paraId="02ED3F77" w14:textId="77777777" w:rsidR="000E748C" w:rsidRDefault="000E748C">
      <w:pPr>
        <w:rPr>
          <w:sz w:val="2"/>
          <w:szCs w:val="2"/>
        </w:rPr>
        <w:sectPr w:rsidR="000E74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ED3F78" w14:textId="77777777" w:rsidR="000E748C" w:rsidRDefault="00731C52">
      <w:pPr>
        <w:pStyle w:val="Headerorfooter0"/>
        <w:framePr w:wrap="none" w:vAnchor="page" w:hAnchor="page" w:x="1657" w:y="881"/>
        <w:shd w:val="clear" w:color="auto" w:fill="auto"/>
      </w:pPr>
      <w:r>
        <w:rPr>
          <w:rStyle w:val="HeaderorfooterSmallCaps"/>
          <w:b/>
          <w:bCs/>
        </w:rPr>
        <w:lastRenderedPageBreak/>
        <w:t>Legal Crew</w:t>
      </w:r>
    </w:p>
    <w:p w14:paraId="02ED3F79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1" w:line="226" w:lineRule="exact"/>
        <w:ind w:left="640"/>
        <w:jc w:val="both"/>
      </w:pPr>
      <w:r>
        <w:t>Na žádost Klienta zajistí Poskytovatel překlady právních dokumentů do anglického jazyka. V případě, že Klient bude požadovat ověřený překlad právního dokumentu nebo potřeba ověřeného překladu v</w:t>
      </w:r>
      <w:r>
        <w:t>yplyne z požadavků právních předpisů, Poskytovatel zajistí vypracování takového překladu ze strany externího soudem jmenovaného tlumočníka (v takovém případě se bude postupovat v souladu s článkem 3).</w:t>
      </w:r>
    </w:p>
    <w:p w14:paraId="02ED3F7A" w14:textId="77777777" w:rsidR="000E748C" w:rsidRDefault="00731C52">
      <w:pPr>
        <w:pStyle w:val="Heading10"/>
        <w:framePr w:w="9245" w:h="13654" w:hRule="exact" w:wrap="none" w:vAnchor="page" w:hAnchor="page" w:x="1437" w:y="1653"/>
        <w:numPr>
          <w:ilvl w:val="0"/>
          <w:numId w:val="2"/>
        </w:numPr>
        <w:shd w:val="clear" w:color="auto" w:fill="auto"/>
        <w:tabs>
          <w:tab w:val="left" w:pos="572"/>
        </w:tabs>
        <w:spacing w:after="119" w:line="224" w:lineRule="exact"/>
        <w:ind w:left="640"/>
        <w:jc w:val="both"/>
      </w:pPr>
      <w:bookmarkStart w:id="5" w:name="bookmark5"/>
      <w:r>
        <w:t>Spolupráce s dalšími experty</w:t>
      </w:r>
      <w:bookmarkEnd w:id="5"/>
    </w:p>
    <w:p w14:paraId="02ED3F7B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0" w:line="226" w:lineRule="exact"/>
        <w:ind w:left="640"/>
        <w:jc w:val="both"/>
      </w:pPr>
      <w:r>
        <w:t>Vyžaduje-li to zvláštní po</w:t>
      </w:r>
      <w:r>
        <w:t>vaha případu, je Poskytovatel oprávněn při poskytování Služeb spolupracovat s externími advokáty, znalci, poradci a dalšími odborníky. Nedohodnou-li se Klient a Poskytovatel jinak, budou takoví advokáti, znalci, poradci a odborníci ustanoveni na náklady Kl</w:t>
      </w:r>
      <w:r>
        <w:t>ienta přímo jako zástupci Klienta a výlučně tito advokáti, znalci, poradci a odborníci budou Klientovi odpovědni za poskytnutí příslušných služeb a poradenství v souladu s příslušnými právními předpisy a profesními pravidly. Klient uzavře smlouvu o poskyto</w:t>
      </w:r>
      <w:r>
        <w:t>vání služeb s externím poradcem bez odkladu, tak aby nebylo ohroženo včasné poskytnutí Služeb ze strany Poskytovatele. Potřebu ustanovení takových osob a náklady s tím spojené Poskytovatel vždy předem projedná s Klientem.</w:t>
      </w:r>
    </w:p>
    <w:p w14:paraId="02ED3F7C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1" w:line="226" w:lineRule="exact"/>
        <w:ind w:left="640"/>
        <w:jc w:val="both"/>
      </w:pPr>
      <w:r>
        <w:t>Poskytovatel je oprávněn, v případ</w:t>
      </w:r>
      <w:r>
        <w:t>ě, že jej o to Klient požádá, uhradit za Klienta odměnu za služby a další náklady na externí advokáty, znalce, poradce a další odborníky. V takovém případě Poskytovatel zahrne částky takto za Klienta uhrazené do Hotových výdajů (jak je tento pojem definová</w:t>
      </w:r>
      <w:r>
        <w:t>n v článku 6) a vyúčtuje je Klientovi v souladu s článkem 6.</w:t>
      </w:r>
    </w:p>
    <w:p w14:paraId="02ED3F7D" w14:textId="77777777" w:rsidR="000E748C" w:rsidRDefault="00731C52">
      <w:pPr>
        <w:pStyle w:val="Heading10"/>
        <w:framePr w:w="9245" w:h="13654" w:hRule="exact" w:wrap="none" w:vAnchor="page" w:hAnchor="page" w:x="1437" w:y="1653"/>
        <w:numPr>
          <w:ilvl w:val="0"/>
          <w:numId w:val="2"/>
        </w:numPr>
        <w:shd w:val="clear" w:color="auto" w:fill="auto"/>
        <w:tabs>
          <w:tab w:val="left" w:pos="572"/>
        </w:tabs>
        <w:spacing w:after="115" w:line="224" w:lineRule="exact"/>
        <w:ind w:left="640"/>
        <w:jc w:val="both"/>
      </w:pPr>
      <w:bookmarkStart w:id="6" w:name="bookmark6"/>
      <w:r>
        <w:t xml:space="preserve">Zadávání a přebírání </w:t>
      </w:r>
      <w:r>
        <w:rPr>
          <w:rStyle w:val="Heading1NotBold"/>
        </w:rPr>
        <w:t>pokynů</w:t>
      </w:r>
      <w:bookmarkEnd w:id="6"/>
    </w:p>
    <w:p w14:paraId="02ED3F7E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0" w:line="230" w:lineRule="exact"/>
        <w:ind w:left="640"/>
        <w:jc w:val="both"/>
      </w:pPr>
      <w:r>
        <w:t xml:space="preserve">Jménem Klienta je oprávněn udělovat Poskytovateli pokyny pan Egon Kulhánek, popř. další osoby, jejichž jména Klient písemně oznámí Poskytovateli spolu se sdělením o </w:t>
      </w:r>
      <w:r>
        <w:t>jejich oprávnění k tomuto jednání za Klienta.</w:t>
      </w:r>
    </w:p>
    <w:p w14:paraId="02ED3F7F" w14:textId="1F809ED2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0" w:line="230" w:lineRule="exact"/>
        <w:ind w:left="640"/>
        <w:jc w:val="both"/>
      </w:pPr>
      <w:r>
        <w:t>Úkoly zadané jinou osobou, než je uvedena v článku 4.1.</w:t>
      </w:r>
      <w:r>
        <w:t xml:space="preserve"> je Poskytovatel oprávněn plnit jen, je</w:t>
      </w:r>
      <w:r>
        <w:softHyphen/>
        <w:t>li zřejmé, že nelze včas opatřit souhlas oprávněné osoby a že hrozí nebezpečí z prodlení. V takovém případě oznámí</w:t>
      </w:r>
      <w:r>
        <w:t xml:space="preserve"> Poskytovatel tuto skutečnost bez zbytečného odkladu osobě uvedené v článku 4.1.</w:t>
      </w:r>
    </w:p>
    <w:p w14:paraId="02ED3F80" w14:textId="334F7F1B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4" w:line="230" w:lineRule="exact"/>
        <w:ind w:left="640"/>
        <w:jc w:val="both"/>
      </w:pPr>
      <w:r>
        <w:t xml:space="preserve">V rámci Poskytovatele jsou k přijímání pokynů oprávněni osoby uvedené v článku 2.2., </w:t>
      </w:r>
      <w:r>
        <w:t>popř. další osoby, jejichž jména Poskytovatel písemně oznámí Klientovi spolu se sdělením o</w:t>
      </w:r>
      <w:r>
        <w:t xml:space="preserve"> jejich oprávnění přijímat úkoly od Klienta.</w:t>
      </w:r>
    </w:p>
    <w:p w14:paraId="02ED3F81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13" w:line="226" w:lineRule="exact"/>
        <w:ind w:left="640"/>
        <w:jc w:val="both"/>
      </w:pPr>
      <w:r>
        <w:t xml:space="preserve">Klient je povinen včasně a přesně informovat Poskytovatele o všech skutečnostech podstatných pro účinné poskytování Služeb a odpovídá za správnost a úplnost poskytnutých podkladů. Poskytovatel tyto informace a </w:t>
      </w:r>
      <w:r>
        <w:t>podklady po skutkové stránce nepřezkoumává a vychází z informací Klienta s výjimkou případů, kdy Klient o přezkoumání Poskytovatele požádá.</w:t>
      </w:r>
    </w:p>
    <w:p w14:paraId="02ED3F82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9" w:line="235" w:lineRule="exact"/>
        <w:ind w:left="640"/>
        <w:jc w:val="both"/>
      </w:pPr>
      <w:r>
        <w:t xml:space="preserve">Klient je povinen poskytovat Poskytovateli veškerou potřebnou součinnost potřebnou k účinnému a hospodárnému </w:t>
      </w:r>
      <w:r>
        <w:t>poskytování Služeb.</w:t>
      </w:r>
    </w:p>
    <w:p w14:paraId="02ED3F83" w14:textId="77777777" w:rsidR="000E748C" w:rsidRDefault="00731C52">
      <w:pPr>
        <w:pStyle w:val="Heading10"/>
        <w:framePr w:w="9245" w:h="13654" w:hRule="exact" w:wrap="none" w:vAnchor="page" w:hAnchor="page" w:x="1437" w:y="1653"/>
        <w:numPr>
          <w:ilvl w:val="0"/>
          <w:numId w:val="2"/>
        </w:numPr>
        <w:shd w:val="clear" w:color="auto" w:fill="auto"/>
        <w:tabs>
          <w:tab w:val="left" w:pos="572"/>
        </w:tabs>
        <w:spacing w:after="119" w:line="224" w:lineRule="exact"/>
        <w:ind w:left="640"/>
        <w:jc w:val="both"/>
      </w:pPr>
      <w:bookmarkStart w:id="7" w:name="bookmark7"/>
      <w:r>
        <w:t>Odměna</w:t>
      </w:r>
      <w:bookmarkEnd w:id="7"/>
    </w:p>
    <w:p w14:paraId="02ED3F84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1" w:line="226" w:lineRule="exact"/>
        <w:ind w:left="640"/>
        <w:jc w:val="both"/>
      </w:pPr>
      <w:r>
        <w:t xml:space="preserve">Na základě vyhlášky Ministerstva spravedlnosti č. 177/1996 Sb., o odměnách advokátů a náhradách advokátů za poskytování právních služeb (advokátní tarif), ve znění pozdějších předpisů </w:t>
      </w:r>
      <w:r>
        <w:rPr>
          <w:rStyle w:val="Bodytext2Bold"/>
        </w:rPr>
        <w:t xml:space="preserve">(„Advokátní tarif), </w:t>
      </w:r>
      <w:r>
        <w:t>Strany sjednaly smluvní o</w:t>
      </w:r>
      <w:r>
        <w:t xml:space="preserve">dměnu za Služby poskytnuté na základě této Smlouvy uvedenou v </w:t>
      </w:r>
      <w:r>
        <w:rPr>
          <w:rStyle w:val="Bodytext21"/>
        </w:rPr>
        <w:t>Příloze 1</w:t>
      </w:r>
      <w:r>
        <w:t xml:space="preserve"> této Smlouvy </w:t>
      </w:r>
      <w:r>
        <w:rPr>
          <w:rStyle w:val="Bodytext2Bold"/>
        </w:rPr>
        <w:t xml:space="preserve">(„Odměna"). </w:t>
      </w:r>
      <w:r>
        <w:t xml:space="preserve">Částka uvedená v </w:t>
      </w:r>
      <w:r>
        <w:rPr>
          <w:rStyle w:val="Bodytext21"/>
        </w:rPr>
        <w:t>Příloze 1</w:t>
      </w:r>
      <w:r>
        <w:t xml:space="preserve"> je uvedena bez DPH a nezahrnuje případné Hotové výdaje (jak jsou definovány níže).</w:t>
      </w:r>
    </w:p>
    <w:p w14:paraId="02ED3F85" w14:textId="77777777" w:rsidR="000E748C" w:rsidRDefault="00731C52">
      <w:pPr>
        <w:pStyle w:val="Heading10"/>
        <w:framePr w:w="9245" w:h="13654" w:hRule="exact" w:wrap="none" w:vAnchor="page" w:hAnchor="page" w:x="1437" w:y="1653"/>
        <w:numPr>
          <w:ilvl w:val="0"/>
          <w:numId w:val="2"/>
        </w:numPr>
        <w:shd w:val="clear" w:color="auto" w:fill="auto"/>
        <w:tabs>
          <w:tab w:val="left" w:pos="572"/>
        </w:tabs>
        <w:spacing w:after="115" w:line="224" w:lineRule="exact"/>
        <w:ind w:left="640"/>
        <w:jc w:val="both"/>
      </w:pPr>
      <w:bookmarkStart w:id="8" w:name="bookmark8"/>
      <w:r>
        <w:t>Náhrada hotových výdajů</w:t>
      </w:r>
      <w:bookmarkEnd w:id="8"/>
    </w:p>
    <w:p w14:paraId="02ED3F86" w14:textId="77777777" w:rsidR="000E748C" w:rsidRDefault="00731C52">
      <w:pPr>
        <w:pStyle w:val="Bodytext20"/>
        <w:framePr w:w="9245" w:h="13654" w:hRule="exact" w:wrap="none" w:vAnchor="page" w:hAnchor="page" w:x="1437" w:y="1653"/>
        <w:numPr>
          <w:ilvl w:val="1"/>
          <w:numId w:val="2"/>
        </w:numPr>
        <w:shd w:val="clear" w:color="auto" w:fill="auto"/>
        <w:tabs>
          <w:tab w:val="left" w:pos="572"/>
        </w:tabs>
        <w:spacing w:after="120" w:line="230" w:lineRule="exact"/>
        <w:ind w:left="640"/>
        <w:jc w:val="both"/>
      </w:pPr>
      <w:r>
        <w:t>Vedle Odměny má Poskytova</w:t>
      </w:r>
      <w:r>
        <w:t xml:space="preserve">tel vůči Klientovi rovněž nárok na úhradu veškerých hotových výdajů </w:t>
      </w:r>
      <w:r>
        <w:rPr>
          <w:rStyle w:val="Bodytext2Bold"/>
        </w:rPr>
        <w:t xml:space="preserve">(„Hotové výdaje"). </w:t>
      </w:r>
      <w:r>
        <w:t>Hotové výdaje zahrnují zejména cestovní náklady, soudní a správní poplatky a dále odměnu a náklady externích advokátů, znalců, překladatelů a dalších odborníků, které Kl</w:t>
      </w:r>
      <w:r>
        <w:t>ient odsouhlasil a jejich odměnu a náklady uhradil či má uhradit Poskytovatel za Klienta v souladu s článkem 3.2.</w:t>
      </w:r>
    </w:p>
    <w:p w14:paraId="02ED3F87" w14:textId="77777777" w:rsidR="000E748C" w:rsidRDefault="00731C52">
      <w:pPr>
        <w:pStyle w:val="Bodytext20"/>
        <w:framePr w:w="9245" w:h="13654" w:hRule="exact" w:wrap="none" w:vAnchor="page" w:hAnchor="page" w:x="1437" w:y="1653"/>
        <w:shd w:val="clear" w:color="auto" w:fill="auto"/>
        <w:spacing w:line="230" w:lineRule="exact"/>
        <w:ind w:left="640"/>
        <w:jc w:val="both"/>
      </w:pPr>
      <w:r>
        <w:t xml:space="preserve">6 2. Hotové výdaje budou fakturovány spolu s Odměnou za právní služby v souladu s článkem 7. Tím není dotčeno právo Poskytovatele fakturovat </w:t>
      </w:r>
      <w:r>
        <w:t>Hotové výdaje i dodatečně, zejména v případech, kdy se dozví o skutečné výši Hotových výdajů až v okamžiku, kdy Odměna za právní služby byla již Klientem zcela uhrazena.</w:t>
      </w:r>
    </w:p>
    <w:p w14:paraId="02ED3F88" w14:textId="77777777" w:rsidR="000E748C" w:rsidRDefault="000E748C">
      <w:pPr>
        <w:rPr>
          <w:sz w:val="2"/>
          <w:szCs w:val="2"/>
        </w:rPr>
        <w:sectPr w:rsidR="000E74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ED3F89" w14:textId="77777777" w:rsidR="000E748C" w:rsidRDefault="00731C52">
      <w:pPr>
        <w:pStyle w:val="Headerorfooter0"/>
        <w:framePr w:wrap="none" w:vAnchor="page" w:hAnchor="page" w:x="1617" w:y="881"/>
        <w:shd w:val="clear" w:color="auto" w:fill="auto"/>
      </w:pPr>
      <w:r>
        <w:rPr>
          <w:rStyle w:val="HeaderorfooterSmallCaps"/>
          <w:b/>
          <w:bCs/>
        </w:rPr>
        <w:lastRenderedPageBreak/>
        <w:t>Legal Crew</w:t>
      </w:r>
    </w:p>
    <w:p w14:paraId="02ED3F8A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0"/>
          <w:numId w:val="5"/>
        </w:numPr>
        <w:shd w:val="clear" w:color="auto" w:fill="auto"/>
        <w:tabs>
          <w:tab w:val="left" w:pos="566"/>
        </w:tabs>
        <w:spacing w:after="125" w:line="230" w:lineRule="exact"/>
        <w:ind w:left="640"/>
        <w:jc w:val="both"/>
      </w:pPr>
      <w:r>
        <w:t>Služební cestou se pro účely této Smlouvy rozumí ja</w:t>
      </w:r>
      <w:r>
        <w:t>kákoli cesta realizovaná v souvislosti s poskytováním Služeb kterýmkoli právníkem či jiným odborníkem z týmu Poskytovatele mimo Prahu. Hotové výdaje na služební cesty v částce vyšší než 3000,- Kč v každém jednotlivém případě Poskytovatel projedná před jeji</w:t>
      </w:r>
      <w:r>
        <w:t>ch vynaložením.</w:t>
      </w:r>
    </w:p>
    <w:p w14:paraId="02ED3F8B" w14:textId="77777777" w:rsidR="000E748C" w:rsidRDefault="00731C52">
      <w:pPr>
        <w:pStyle w:val="Heading10"/>
        <w:framePr w:w="9307" w:h="13773" w:hRule="exact" w:wrap="none" w:vAnchor="page" w:hAnchor="page" w:x="1405" w:y="1635"/>
        <w:numPr>
          <w:ilvl w:val="0"/>
          <w:numId w:val="2"/>
        </w:numPr>
        <w:shd w:val="clear" w:color="auto" w:fill="auto"/>
        <w:tabs>
          <w:tab w:val="left" w:pos="566"/>
        </w:tabs>
        <w:spacing w:after="115" w:line="224" w:lineRule="exact"/>
        <w:ind w:left="640"/>
        <w:jc w:val="both"/>
      </w:pPr>
      <w:bookmarkStart w:id="9" w:name="bookmark9"/>
      <w:r>
        <w:t>Vyúčtování a platební podmínky</w:t>
      </w:r>
      <w:bookmarkEnd w:id="9"/>
    </w:p>
    <w:p w14:paraId="02ED3F8C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4" w:line="230" w:lineRule="exact"/>
        <w:ind w:left="640"/>
        <w:jc w:val="both"/>
      </w:pPr>
      <w:r>
        <w:t>Odměna za právní služby, náhrada za promeškaný čas a Hotové výdaje budou hrazeny na základě daňového dokladu vystaveného Klientovi. Za poskytnuté Služby je Poskytovatel oprávněn účtovat (fakturovat) měsíčně. F</w:t>
      </w:r>
      <w:r>
        <w:t>aktura bude vystavována ve standardním formátu Poskytovatele.</w:t>
      </w:r>
    </w:p>
    <w:p w14:paraId="02ED3F8D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16" w:line="226" w:lineRule="exact"/>
        <w:ind w:left="640"/>
        <w:jc w:val="both"/>
      </w:pPr>
      <w:r>
        <w:t xml:space="preserve">Klient se zavazuje každou z faktur uhradit na účet Poskytovatele uvedený v dané faktuře, a to ve lhůtě splatnosti uvedené na faktuře, respektive do čtrnácti dní od doručení faktury, pokud není </w:t>
      </w:r>
      <w:r>
        <w:t>lhůta splatnosti uvedena na faktuře nebo je kratší než čtrnáct dnů od doručení faktury. Fakturovaná částka je uhrazena dnem, kdy bude v plné výši připsána na účet Poskytovatele uvedený v tomto článku 7.2. Případné reklamace faktury je nutno provést písemně</w:t>
      </w:r>
      <w:r>
        <w:t xml:space="preserve"> s přezkoumatelným odůvodněním, a to do deseti dní ode dne doručení faktury. Pokud Klient neprovede reklamaci faktury do deseti dní od doručení faktury, je uplynutím této doby faktura ze strany Klienta schválena mlčením.</w:t>
      </w:r>
    </w:p>
    <w:p w14:paraId="02ED3F8E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0" w:line="230" w:lineRule="exact"/>
        <w:ind w:left="640"/>
        <w:jc w:val="both"/>
      </w:pPr>
      <w:r>
        <w:t>Pokud se Poskytovatel a Klient nedo</w:t>
      </w:r>
      <w:r>
        <w:t>hodnou jinak, budou Služby poskytovány formou dílčích zdanitelných plnění dle zákona o DPH. Vyúčtování Služeb bude považováno za den uskutečnění dílčího zdanitelného plnění a bude zasíláno Klientovi podle rozsahu poskytnutých Služeb.</w:t>
      </w:r>
    </w:p>
    <w:p w14:paraId="02ED3F8F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5" w:line="230" w:lineRule="exact"/>
        <w:ind w:left="640"/>
        <w:jc w:val="both"/>
      </w:pPr>
      <w:r>
        <w:t>Odměna Poskytovatele n</w:t>
      </w:r>
      <w:r>
        <w:t>ezahrnuje případnou českou daň z přidané hodnoty. Poskytovatel je oprávněn fakturované částky navýšit o českou daň z přidané hodnoty, a to ve výši stanovené příslušnými právními předpisy ke dni vzniku povinnosti přiznat daň.</w:t>
      </w:r>
    </w:p>
    <w:p w14:paraId="02ED3F90" w14:textId="77777777" w:rsidR="000E748C" w:rsidRDefault="00731C52">
      <w:pPr>
        <w:pStyle w:val="Heading10"/>
        <w:framePr w:w="9307" w:h="13773" w:hRule="exact" w:wrap="none" w:vAnchor="page" w:hAnchor="page" w:x="1405" w:y="1635"/>
        <w:numPr>
          <w:ilvl w:val="0"/>
          <w:numId w:val="2"/>
        </w:numPr>
        <w:shd w:val="clear" w:color="auto" w:fill="auto"/>
        <w:tabs>
          <w:tab w:val="left" w:pos="566"/>
        </w:tabs>
        <w:spacing w:after="115" w:line="224" w:lineRule="exact"/>
        <w:ind w:left="640"/>
        <w:jc w:val="both"/>
      </w:pPr>
      <w:bookmarkStart w:id="10" w:name="bookmark10"/>
      <w:r>
        <w:t>Závěrečná ustanovení</w:t>
      </w:r>
      <w:bookmarkEnd w:id="10"/>
    </w:p>
    <w:p w14:paraId="02ED3F91" w14:textId="77777777" w:rsidR="000E748C" w:rsidRPr="00731C52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0" w:line="230" w:lineRule="exact"/>
        <w:ind w:left="640"/>
        <w:jc w:val="both"/>
        <w:rPr>
          <w:b/>
        </w:rPr>
      </w:pPr>
      <w:r>
        <w:t xml:space="preserve">Strany se </w:t>
      </w:r>
      <w:r>
        <w:t xml:space="preserve">dohodly, že se tento závazek bude řídit právním řádem České republiky, zejména příslušnými ustanoveními Zákona o advokacii a Občanského zákoníku, pravidly profesionální etiky a pravidly soutěže advokátů České republiky (etický kodex) a dalšími stavovskými </w:t>
      </w:r>
      <w:r>
        <w:t xml:space="preserve">předpisy vydanými Českou advokátní komorou </w:t>
      </w:r>
      <w:r w:rsidRPr="00731C52">
        <w:rPr>
          <w:rStyle w:val="Bodytext2Bold"/>
          <w:b w:val="0"/>
        </w:rPr>
        <w:t>(„</w:t>
      </w:r>
      <w:r>
        <w:rPr>
          <w:rStyle w:val="Bodytext2Bold"/>
        </w:rPr>
        <w:t>Stavovské předpisy</w:t>
      </w:r>
      <w:r w:rsidRPr="00731C52">
        <w:rPr>
          <w:rStyle w:val="Bodytext2Bold"/>
          <w:b w:val="0"/>
        </w:rPr>
        <w:t>").</w:t>
      </w:r>
    </w:p>
    <w:p w14:paraId="02ED3F92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0" w:line="230" w:lineRule="exact"/>
        <w:ind w:left="640"/>
        <w:jc w:val="both"/>
      </w:pPr>
      <w:r>
        <w:t>Ustanovení obchodních zvyklostí se pro výklad této Smlouvy použijí až po ustanoveních Občanského zákoníku, či jiných právních předpisů a dále ustanoveních Stavovských předpisů jako celku (p</w:t>
      </w:r>
      <w:r>
        <w:t>řednost před obchodními zvyklostmi tedy mají i ta ustanovení těchto předpisů, která nemají donucující charakter).</w:t>
      </w:r>
    </w:p>
    <w:p w14:paraId="02ED3F93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0" w:line="230" w:lineRule="exact"/>
        <w:ind w:left="640"/>
        <w:jc w:val="both"/>
      </w:pPr>
      <w:r>
        <w:t>Strany potvrzují, že pokud bude při poskytování Služeb dle této Smlouvy Poskytovatel spolupracovat s externími advokáty, znalci, poradci či da</w:t>
      </w:r>
      <w:r>
        <w:t>lšími odborníky nepřebírá tím Poskytovatel vůči Klientovi povinnost zajistit, aby mu tato třetí osoba splnila, ani závazek, že tato třetí osoba Klientovi splní.</w:t>
      </w:r>
    </w:p>
    <w:p w14:paraId="02ED3F94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0" w:line="230" w:lineRule="exact"/>
        <w:ind w:left="640"/>
        <w:jc w:val="both"/>
      </w:pPr>
      <w:r>
        <w:t xml:space="preserve">Služby poskytované na základě této Smlouvy jsou určeny výlučně pro potřeby a využití ze strany </w:t>
      </w:r>
      <w:r>
        <w:t>Klienta. Klient se zavazuje, že bude zachovávat mlčenlivost ohledně výsledků Služeb a neposkytne bez předchozího souhlasu Poskytovatele výsledky Služeb třetím osobám, s výjimkou osob propojených s Klientem a poradců Klienta, jež jsou vázáni ve vztahu k výs</w:t>
      </w:r>
      <w:r>
        <w:t>ledkům Služeb povinností mlčenlivosti.</w:t>
      </w:r>
    </w:p>
    <w:p w14:paraId="02ED3F95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0" w:line="230" w:lineRule="exact"/>
        <w:ind w:left="640"/>
        <w:jc w:val="both"/>
      </w:pPr>
      <w:r>
        <w:t>Veškeré duševní vlastnictví Poskytovatele existující k datu nabytí účinnosti této Smlouvy a jakékoli jeho změny či rozšíření zůstává ve výhradním vlastnictví Poskytovatele.</w:t>
      </w:r>
    </w:p>
    <w:p w14:paraId="02ED3F96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after="124" w:line="230" w:lineRule="exact"/>
        <w:ind w:left="640"/>
        <w:jc w:val="both"/>
      </w:pPr>
      <w:r>
        <w:t xml:space="preserve">Poskytovatel udělí Klientovi nevýhradní, </w:t>
      </w:r>
      <w:r>
        <w:t>nepřenosné a časově neomezené právo k užití duševního vlastnictví Poskytovatele, bude-li to nezbytné k využití jednotlivých právních služeb poskytnutých Poskytovatelem. Rozmnožování a změny duševního vlastnictví Poskytovatele jsou přípustné, pokud jsou nez</w:t>
      </w:r>
      <w:r>
        <w:t>bytné k tomu, aby mohl Klient využít právní služby poskytnuté Poskytovatelem.</w:t>
      </w:r>
    </w:p>
    <w:p w14:paraId="02ED3F97" w14:textId="77777777" w:rsidR="000E748C" w:rsidRDefault="00731C52">
      <w:pPr>
        <w:pStyle w:val="Bodytext20"/>
        <w:framePr w:w="9307" w:h="13773" w:hRule="exact" w:wrap="none" w:vAnchor="page" w:hAnchor="page" w:x="1405" w:y="1635"/>
        <w:numPr>
          <w:ilvl w:val="1"/>
          <w:numId w:val="2"/>
        </w:numPr>
        <w:shd w:val="clear" w:color="auto" w:fill="auto"/>
        <w:tabs>
          <w:tab w:val="left" w:pos="566"/>
        </w:tabs>
        <w:spacing w:line="226" w:lineRule="exact"/>
        <w:ind w:left="640"/>
        <w:jc w:val="both"/>
      </w:pPr>
      <w:r>
        <w:t>Jestliže Poskytovatel vytvoří jakékoli výsledky zakládající autorské právo nebo jiná práva duševního vlastnictví, zůstanou tato ve výhradním vlastnictví Poskytovatele. Jestliže j</w:t>
      </w:r>
      <w:r>
        <w:t>e Klient spoluautorem, vzdává se Klient svého podílu na právech na využití předmětných výsledků. Jestliže jsou spoluautory zaměstnanci nebo zástupci Klienta, Klient zajistí, aby od nich získal veškerá práva k užití a využití příslušných výsledků, jakož i p</w:t>
      </w:r>
      <w:r>
        <w:t>rohlášení o vzdání se jejich práv.</w:t>
      </w:r>
    </w:p>
    <w:p w14:paraId="02ED3F98" w14:textId="77777777" w:rsidR="000E748C" w:rsidRDefault="000E748C">
      <w:pPr>
        <w:rPr>
          <w:sz w:val="2"/>
          <w:szCs w:val="2"/>
        </w:rPr>
        <w:sectPr w:rsidR="000E74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ED3F99" w14:textId="77777777" w:rsidR="000E748C" w:rsidRDefault="00731C52">
      <w:pPr>
        <w:pStyle w:val="Headerorfooter0"/>
        <w:framePr w:wrap="none" w:vAnchor="page" w:hAnchor="page" w:x="1667" w:y="881"/>
        <w:shd w:val="clear" w:color="auto" w:fill="auto"/>
      </w:pPr>
      <w:r>
        <w:rPr>
          <w:rStyle w:val="HeaderorfooterSmallCaps"/>
          <w:b/>
          <w:bCs/>
        </w:rPr>
        <w:lastRenderedPageBreak/>
        <w:t>Legal Crew</w:t>
      </w:r>
    </w:p>
    <w:p w14:paraId="02ED3F9A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0" w:line="226" w:lineRule="exact"/>
        <w:ind w:left="640"/>
        <w:jc w:val="both"/>
      </w:pPr>
      <w:r>
        <w:t>Strany berou na vědomí, že v průběhu poskytování Služeb mohou být Poskytovatelem zpracovávány osobní údaje Klienta anebo třetích osob. Účelem zpracovávání těchto osobních údajů je ochran</w:t>
      </w:r>
      <w:r>
        <w:t>a práv a oprávněných zájmů Klienta a Poskytovatele, a plnění povinností podle této Smlouvy. Poskytovatel se zavazuje přijmout příslušná technickoorganizační opatření k zajištění ochrany osobních údajů. Klient bere na vědomí, že jím používané elektronické k</w:t>
      </w:r>
      <w:r>
        <w:t>ontakty při komunikaci s Poskytovatelem (nebo jinak Klientem poskytnuté) mohou být Poskytovatelem použity pro nabízení jeho dalších služeb, pokud to Klient neodmítne.</w:t>
      </w:r>
    </w:p>
    <w:p w14:paraId="02ED3F9B" w14:textId="7183B3F4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16" w:line="226" w:lineRule="exact"/>
        <w:ind w:left="640"/>
        <w:jc w:val="both"/>
      </w:pPr>
      <w:r>
        <w:t xml:space="preserve">Klient podpisem této Smlouvy prohlašuje, že se seznámil s </w:t>
      </w:r>
      <w:r>
        <w:rPr>
          <w:rStyle w:val="Bodytext2Italic"/>
        </w:rPr>
        <w:t xml:space="preserve">„Poučením klienta“, </w:t>
      </w:r>
      <w:r>
        <w:t xml:space="preserve">které tvoří        </w:t>
      </w:r>
      <w:r>
        <w:rPr>
          <w:rStyle w:val="Bodytext21"/>
        </w:rPr>
        <w:t>Př</w:t>
      </w:r>
      <w:r>
        <w:rPr>
          <w:rStyle w:val="Bodytext21"/>
        </w:rPr>
        <w:t>ílohu 2</w:t>
      </w:r>
      <w:r>
        <w:t xml:space="preserve"> této Smlouvy, že jeho znění porozuměl a nemá proti tomuto poučení žádných námitek.</w:t>
      </w:r>
    </w:p>
    <w:p w14:paraId="02ED3F9C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0" w:line="230" w:lineRule="exact"/>
        <w:ind w:left="640"/>
        <w:jc w:val="both"/>
      </w:pPr>
      <w:r>
        <w:t xml:space="preserve">Klient prohlašuje, že osobní údaje třetích osob předávané Poskytovateli byly získány a zpracovávány v souladu s příslušnými právními předpisy. Pokud by mělo </w:t>
      </w:r>
      <w:r>
        <w:t>zaniknout oprávnění Klienta ke zpracování těchto osobních údajů v průběhu poskytování Služeb, je o tom neprodleně povinen informovat Poskytovatele, aby mohla být přijata příslušná opatření.</w:t>
      </w:r>
    </w:p>
    <w:p w14:paraId="02ED3F9D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4" w:line="230" w:lineRule="exact"/>
        <w:ind w:left="640"/>
        <w:jc w:val="both"/>
      </w:pPr>
      <w:r>
        <w:t>Klient může kdykoli ukončit tuto Smlouvu písemnou výpovědí doručen</w:t>
      </w:r>
      <w:r>
        <w:t>ou Poskytovateli. Není-li ve výpovědi stanoveno jinak, výpověď nabude účinnosti dnem jejího doručení Poskytovateli.</w:t>
      </w:r>
    </w:p>
    <w:p w14:paraId="02ED3F9E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16" w:line="226" w:lineRule="exact"/>
        <w:ind w:left="640"/>
        <w:jc w:val="both"/>
      </w:pPr>
      <w:r>
        <w:t>Poskytovatel je oprávněn kdykoli ukončit tuto Smlouvu písemnou výpovědí doručenou Klientovi. Výpověď nabývá účinnost ke dni, který následuje</w:t>
      </w:r>
      <w:r>
        <w:t xml:space="preserve"> jeden měsíc po dni doručení výpovědi Klientovi. Tím není dotčeno právo Poskytovatele ukončit tuto Smlouvu v případech a za podmínek stanovených obecně závaznými právními předpisy, zejména ustanovení § 20 Zákona o advokacii.</w:t>
      </w:r>
    </w:p>
    <w:p w14:paraId="02ED3F9F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16" w:line="230" w:lineRule="exact"/>
        <w:ind w:left="640"/>
        <w:jc w:val="both"/>
      </w:pPr>
      <w:r>
        <w:t>V případě výpovědi této Smlouvy</w:t>
      </w:r>
      <w:r>
        <w:t xml:space="preserve"> Poskytovatelem dle ustanovení § 20 Zákona o advokacii nebude Poskytovatel povinen hradit Klientovi škodu z toho vzešlou.</w:t>
      </w:r>
    </w:p>
    <w:p w14:paraId="02ED3FA0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4" w:line="235" w:lineRule="exact"/>
        <w:ind w:left="640"/>
        <w:jc w:val="both"/>
      </w:pPr>
      <w:r>
        <w:t xml:space="preserve">Ukončením Smlouvy nejsou dotčeny nároky Stran vzniklé před ukončením Smlouvy, zejména nárok Poskytovatele na úhradu Odměny a Hotových </w:t>
      </w:r>
      <w:r>
        <w:t>výdajů.</w:t>
      </w:r>
    </w:p>
    <w:p w14:paraId="02ED3FA1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16" w:line="230" w:lineRule="exact"/>
        <w:ind w:left="640"/>
        <w:jc w:val="both"/>
      </w:pPr>
      <w:r>
        <w:t>Klient tímto souhlasí s tím, aby Poskytovatel přijal plnění Odměny za právní služby, nebo Hotových výdajů, které za Klienta poskytne Poskytovateli třetí osoba, přičemž Poskytovatel není povinen takové plnění třetí osoby za Klienta přijmout.</w:t>
      </w:r>
    </w:p>
    <w:p w14:paraId="02ED3FA2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9" w:line="235" w:lineRule="exact"/>
        <w:ind w:left="640"/>
        <w:jc w:val="both"/>
      </w:pPr>
      <w:r>
        <w:t xml:space="preserve">Pro </w:t>
      </w:r>
      <w:r>
        <w:t>účely této Smlouvy se vylučuje uzavření této Smlouvy/uzavření dodatku k této Smlouvě v důsledku přijetí nabídky jedné Strany druhou Stranou s jakýmikoliv (i nepodstatnými) odchylkami či dodatky.</w:t>
      </w:r>
    </w:p>
    <w:p w14:paraId="02ED3FA3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15" w:line="224" w:lineRule="exact"/>
        <w:ind w:left="640"/>
        <w:jc w:val="both"/>
      </w:pPr>
      <w:r>
        <w:t xml:space="preserve">Tato Smlouva a právní vztahy založené touto Smlouvou se řídí </w:t>
      </w:r>
      <w:r>
        <w:t>českým právem.</w:t>
      </w:r>
    </w:p>
    <w:p w14:paraId="02ED3FA4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0" w:line="230" w:lineRule="exact"/>
        <w:ind w:left="640"/>
        <w:jc w:val="both"/>
      </w:pPr>
      <w:r>
        <w:t>V případě vzniklých sporů se Strany pokusí najít smírné řešení společným jednáním. Pokud nedojde k nalezení smírného řešení, bude spor řešen věcně příslušným českým soudem.</w:t>
      </w:r>
    </w:p>
    <w:p w14:paraId="02ED3FA5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28" w:line="230" w:lineRule="exact"/>
        <w:ind w:left="640"/>
        <w:jc w:val="both"/>
      </w:pPr>
      <w:r>
        <w:t xml:space="preserve">V případě, že tato Smlouva požaduje, aby určité právní jednání, </w:t>
      </w:r>
      <w:r>
        <w:t>respektive vzájemná oznámení a komunikace Stran dle této Smlouvy byly učiněny v písemné formě, je písemná forma dodržena i v případě, že takové právní jednání, komunikace či oznámení bude učiněno prostřednictvím emailu, a to pro:</w:t>
      </w:r>
    </w:p>
    <w:p w14:paraId="02ED3FA6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0"/>
          <w:numId w:val="6"/>
        </w:numPr>
        <w:shd w:val="clear" w:color="auto" w:fill="auto"/>
        <w:tabs>
          <w:tab w:val="left" w:pos="1072"/>
        </w:tabs>
        <w:ind w:left="640" w:firstLine="0"/>
      </w:pPr>
      <w:r>
        <w:t xml:space="preserve">Poskytovatele: z emailové </w:t>
      </w:r>
      <w:r>
        <w:t>adresy osob uvedených v článku 2.2.;</w:t>
      </w:r>
    </w:p>
    <w:p w14:paraId="02ED3FA7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0"/>
          <w:numId w:val="6"/>
        </w:numPr>
        <w:shd w:val="clear" w:color="auto" w:fill="auto"/>
        <w:tabs>
          <w:tab w:val="left" w:pos="1072"/>
        </w:tabs>
        <w:ind w:left="640" w:firstLine="0"/>
      </w:pPr>
      <w:r>
        <w:t>Klienta: z emailové adresy osob uvedených v článku 4.1.</w:t>
      </w:r>
    </w:p>
    <w:p w14:paraId="02ED3FA8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shd w:val="clear" w:color="auto" w:fill="auto"/>
        <w:ind w:left="640" w:firstLine="0"/>
      </w:pPr>
      <w:r>
        <w:t>Toto ujednání neplatí pro případy výpovědi, či odstoupení od této Smlouvy.</w:t>
      </w:r>
    </w:p>
    <w:p w14:paraId="02ED3FA9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5" w:line="230" w:lineRule="exact"/>
        <w:ind w:left="640"/>
        <w:jc w:val="both"/>
      </w:pPr>
      <w:r>
        <w:t>Klient tímto potvrzuje, že Poskytovatel je oprávněn při poskytování Služeb dle této Smlo</w:t>
      </w:r>
      <w:r>
        <w:t xml:space="preserve">uvy používat pro komunikaci s Klientem, včetně zasílání návrhů smluv, právních analýz a jiných výstupů poskytování Služeb, emaily odeslané z emailových adres v doméně </w:t>
      </w:r>
      <w:r>
        <w:rPr>
          <w:lang w:val="en-US" w:eastAsia="en-US" w:bidi="en-US"/>
        </w:rPr>
        <w:t xml:space="preserve">pavelkapartners.cz. </w:t>
      </w:r>
      <w:r>
        <w:t>V případě, že si Klient přeje pro konkrétní případ použití emailu vyl</w:t>
      </w:r>
      <w:r>
        <w:t>oučit, respektive si přeje použít určitý způsob zabezpečení emailové komunikace, je povinen na to Poskytovatele předem písemně upozornit.</w:t>
      </w:r>
    </w:p>
    <w:p w14:paraId="02ED3FAA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15" w:line="224" w:lineRule="exact"/>
        <w:ind w:left="640"/>
        <w:jc w:val="both"/>
      </w:pPr>
      <w:r>
        <w:t>Přílohy, na které se ve Smlouvě odkazuje, tvoří nedílnou součást této Smlouvy.</w:t>
      </w:r>
    </w:p>
    <w:p w14:paraId="02ED3FAB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after="125" w:line="230" w:lineRule="exact"/>
        <w:ind w:left="640"/>
        <w:jc w:val="both"/>
      </w:pPr>
      <w:r>
        <w:t>Je-li nebo stane-li se kterékoli ustano</w:t>
      </w:r>
      <w:r>
        <w:t>vení této Smlouvy neplatným či nevykonatelným, nebude tím dotčena platnost ani vykonatelnost kteréhokoli jiného ustanovení této Smlouvy a Strany toto ustanovení nahradí ustanovením platným svým obsahem a účelem se co nejvíce blížícím původnímu ustanovení.</w:t>
      </w:r>
    </w:p>
    <w:p w14:paraId="02ED3FAC" w14:textId="77777777" w:rsidR="000E748C" w:rsidRDefault="00731C52" w:rsidP="00731C52">
      <w:pPr>
        <w:pStyle w:val="Bodytext20"/>
        <w:framePr w:w="9226" w:h="14221" w:hRule="exact" w:wrap="none" w:vAnchor="page" w:hAnchor="page" w:x="1446" w:y="1649"/>
        <w:numPr>
          <w:ilvl w:val="1"/>
          <w:numId w:val="2"/>
        </w:numPr>
        <w:shd w:val="clear" w:color="auto" w:fill="auto"/>
        <w:tabs>
          <w:tab w:val="left" w:pos="569"/>
        </w:tabs>
        <w:spacing w:line="224" w:lineRule="exact"/>
        <w:ind w:left="640"/>
        <w:jc w:val="both"/>
      </w:pPr>
      <w:r>
        <w:t>Tato Smlouva může být měněna pouze písemnými dodatky podepsanými oběma Stranami.</w:t>
      </w:r>
    </w:p>
    <w:p w14:paraId="02ED3FAD" w14:textId="77777777" w:rsidR="000E748C" w:rsidRDefault="000E748C">
      <w:pPr>
        <w:rPr>
          <w:sz w:val="2"/>
          <w:szCs w:val="2"/>
        </w:rPr>
        <w:sectPr w:rsidR="000E74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ED3FAE" w14:textId="77777777" w:rsidR="000E748C" w:rsidRDefault="00731C52">
      <w:pPr>
        <w:pStyle w:val="Headerorfooter0"/>
        <w:framePr w:wrap="none" w:vAnchor="page" w:hAnchor="page" w:x="1645" w:y="905"/>
        <w:shd w:val="clear" w:color="auto" w:fill="auto"/>
      </w:pPr>
      <w:r>
        <w:rPr>
          <w:rStyle w:val="HeaderorfooterSmallCaps"/>
          <w:b/>
          <w:bCs/>
        </w:rPr>
        <w:lastRenderedPageBreak/>
        <w:t>Legal Crew</w:t>
      </w:r>
    </w:p>
    <w:p w14:paraId="02ED3FAF" w14:textId="77777777" w:rsidR="000E748C" w:rsidRDefault="00731C52">
      <w:pPr>
        <w:pStyle w:val="Bodytext20"/>
        <w:framePr w:w="9230" w:h="1640" w:hRule="exact" w:wrap="none" w:vAnchor="page" w:hAnchor="page" w:x="1520" w:y="1659"/>
        <w:numPr>
          <w:ilvl w:val="1"/>
          <w:numId w:val="2"/>
        </w:numPr>
        <w:shd w:val="clear" w:color="auto" w:fill="auto"/>
        <w:tabs>
          <w:tab w:val="left" w:pos="577"/>
        </w:tabs>
        <w:spacing w:after="120" w:line="230" w:lineRule="exact"/>
        <w:ind w:left="600" w:hanging="600"/>
      </w:pPr>
      <w:r>
        <w:t>Tato Smlouva je vyhotovena ve dvou stejnopisech v českém jazyce. Každá Strana obdrží po jednom stejnopise.</w:t>
      </w:r>
    </w:p>
    <w:p w14:paraId="02ED3FB0" w14:textId="4C3166AB" w:rsidR="000E748C" w:rsidRDefault="00731C52">
      <w:pPr>
        <w:pStyle w:val="Bodytext20"/>
        <w:framePr w:w="9230" w:h="1640" w:hRule="exact" w:wrap="none" w:vAnchor="page" w:hAnchor="page" w:x="1520" w:y="1659"/>
        <w:numPr>
          <w:ilvl w:val="1"/>
          <w:numId w:val="2"/>
        </w:numPr>
        <w:shd w:val="clear" w:color="auto" w:fill="auto"/>
        <w:tabs>
          <w:tab w:val="left" w:pos="577"/>
        </w:tabs>
        <w:spacing w:after="124" w:line="230" w:lineRule="exact"/>
        <w:ind w:left="600" w:hanging="600"/>
      </w:pPr>
      <w:r>
        <w:t xml:space="preserve">Tato Smlouva nabývá platnosti </w:t>
      </w:r>
      <w:r>
        <w:t xml:space="preserve">podpisem obou Stran a účinnosti dnem uveřejnění dle Zákona            </w:t>
      </w:r>
      <w:r>
        <w:t>č. 340/2015 Sb. o registru smluv.</w:t>
      </w:r>
    </w:p>
    <w:p w14:paraId="02ED3FB1" w14:textId="77777777" w:rsidR="000E748C" w:rsidRDefault="00731C52">
      <w:pPr>
        <w:pStyle w:val="Bodytext20"/>
        <w:framePr w:w="9230" w:h="1640" w:hRule="exact" w:wrap="none" w:vAnchor="page" w:hAnchor="page" w:x="1520" w:y="1659"/>
        <w:numPr>
          <w:ilvl w:val="1"/>
          <w:numId w:val="2"/>
        </w:numPr>
        <w:shd w:val="clear" w:color="auto" w:fill="auto"/>
        <w:tabs>
          <w:tab w:val="left" w:pos="577"/>
        </w:tabs>
        <w:spacing w:line="226" w:lineRule="exact"/>
        <w:ind w:left="600" w:hanging="600"/>
      </w:pPr>
      <w:r>
        <w:t>Strany prohlašují, že podmínky této Smlouvy byly předmětem jejich vzájemných jednání, Strany plně rozumí obsahu a podmínkám Smlouvy a mají zájem být jimi vázány.</w:t>
      </w:r>
    </w:p>
    <w:p w14:paraId="02ED3FB2" w14:textId="3474A2FC" w:rsidR="000E748C" w:rsidRDefault="00731C52" w:rsidP="00731C52">
      <w:pPr>
        <w:pStyle w:val="Picturecaption0"/>
        <w:framePr w:w="9230" w:h="1741" w:hRule="exact" w:wrap="none" w:vAnchor="page" w:hAnchor="page" w:x="1520" w:y="3753"/>
        <w:shd w:val="clear" w:color="auto" w:fill="auto"/>
        <w:tabs>
          <w:tab w:val="left" w:pos="4546"/>
          <w:tab w:val="left" w:pos="6413"/>
        </w:tabs>
        <w:rPr>
          <w:rStyle w:val="Picturecaption1"/>
        </w:rPr>
      </w:pPr>
      <w:r>
        <w:t>V</w:t>
      </w:r>
      <w:r>
        <w:t xml:space="preserve"> Praze dne    </w:t>
      </w:r>
      <w:r>
        <w:rPr>
          <w:rStyle w:val="Picturecaption1"/>
        </w:rPr>
        <w:t xml:space="preserve">9.5.22                                                  </w:t>
      </w:r>
      <w:r>
        <w:t>V Praze dne</w:t>
      </w:r>
      <w:r>
        <w:tab/>
      </w:r>
      <w:r>
        <w:rPr>
          <w:rStyle w:val="Picturecaption1"/>
        </w:rPr>
        <w:t>9.5.22</w:t>
      </w:r>
    </w:p>
    <w:p w14:paraId="799D6EC4" w14:textId="23F1A686" w:rsidR="00731C52" w:rsidRDefault="00731C52" w:rsidP="00731C52">
      <w:pPr>
        <w:pStyle w:val="Picturecaption0"/>
        <w:framePr w:w="9230" w:h="1741" w:hRule="exact" w:wrap="none" w:vAnchor="page" w:hAnchor="page" w:x="1520" w:y="3753"/>
        <w:shd w:val="clear" w:color="auto" w:fill="auto"/>
        <w:tabs>
          <w:tab w:val="left" w:pos="4546"/>
          <w:tab w:val="left" w:pos="6413"/>
        </w:tabs>
        <w:rPr>
          <w:rStyle w:val="Picturecaption1"/>
        </w:rPr>
      </w:pPr>
    </w:p>
    <w:p w14:paraId="088E1A48" w14:textId="7E8507CF" w:rsidR="00731C52" w:rsidRDefault="00731C52" w:rsidP="00731C52">
      <w:pPr>
        <w:pStyle w:val="Picturecaption0"/>
        <w:framePr w:w="9230" w:h="1741" w:hRule="exact" w:wrap="none" w:vAnchor="page" w:hAnchor="page" w:x="1520" w:y="3753"/>
        <w:shd w:val="clear" w:color="auto" w:fill="auto"/>
        <w:tabs>
          <w:tab w:val="left" w:pos="4546"/>
          <w:tab w:val="left" w:pos="6413"/>
        </w:tabs>
      </w:pPr>
      <w:r>
        <w:rPr>
          <w:rStyle w:val="Picturecaption1"/>
          <w:color w:val="auto"/>
        </w:rPr>
        <w:t xml:space="preserve">Za </w:t>
      </w:r>
      <w:r>
        <w:rPr>
          <w:rStyle w:val="Picturecaption1"/>
          <w:b/>
          <w:color w:val="auto"/>
        </w:rPr>
        <w:t xml:space="preserve">Poskytovatele                                                      </w:t>
      </w:r>
      <w:r>
        <w:rPr>
          <w:rStyle w:val="Picturecaption1"/>
          <w:color w:val="auto"/>
        </w:rPr>
        <w:t xml:space="preserve">Za </w:t>
      </w:r>
      <w:r>
        <w:rPr>
          <w:rStyle w:val="Picturecaption1"/>
          <w:b/>
          <w:color w:val="auto"/>
        </w:rPr>
        <w:t>Klienta</w:t>
      </w:r>
    </w:p>
    <w:p w14:paraId="02ED3FB5" w14:textId="77777777" w:rsidR="000E748C" w:rsidRDefault="00731C52">
      <w:pPr>
        <w:pStyle w:val="Headerorfooter20"/>
        <w:framePr w:wrap="none" w:vAnchor="page" w:hAnchor="page" w:x="1616" w:y="5873"/>
        <w:shd w:val="clear" w:color="auto" w:fill="auto"/>
      </w:pPr>
      <w:r>
        <w:t>Mgr. Ondřej Plánička, advokát</w:t>
      </w:r>
    </w:p>
    <w:p w14:paraId="02ED3FB6" w14:textId="77777777" w:rsidR="000E748C" w:rsidRDefault="00731C52">
      <w:pPr>
        <w:pStyle w:val="Headerorfooter20"/>
        <w:framePr w:wrap="none" w:vAnchor="page" w:hAnchor="page" w:x="6167" w:y="5864"/>
        <w:shd w:val="clear" w:color="auto" w:fill="auto"/>
      </w:pPr>
      <w:r>
        <w:t xml:space="preserve">Egon Kulhánek, </w:t>
      </w:r>
      <w:r>
        <w:t>ředitel</w:t>
      </w:r>
    </w:p>
    <w:p w14:paraId="02ED3FB7" w14:textId="77777777" w:rsidR="000E748C" w:rsidRDefault="000E748C">
      <w:pPr>
        <w:rPr>
          <w:sz w:val="2"/>
          <w:szCs w:val="2"/>
        </w:rPr>
      </w:pPr>
      <w:bookmarkStart w:id="11" w:name="_GoBack"/>
      <w:bookmarkEnd w:id="11"/>
    </w:p>
    <w:sectPr w:rsidR="000E74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3FBD" w14:textId="77777777" w:rsidR="00000000" w:rsidRDefault="00731C52">
      <w:r>
        <w:separator/>
      </w:r>
    </w:p>
  </w:endnote>
  <w:endnote w:type="continuationSeparator" w:id="0">
    <w:p w14:paraId="02ED3FBF" w14:textId="77777777" w:rsidR="00000000" w:rsidRDefault="0073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Jasmine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D3FB9" w14:textId="77777777" w:rsidR="000E748C" w:rsidRDefault="000E748C"/>
  </w:footnote>
  <w:footnote w:type="continuationSeparator" w:id="0">
    <w:p w14:paraId="02ED3FBA" w14:textId="77777777" w:rsidR="000E748C" w:rsidRDefault="000E7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8EB"/>
    <w:multiLevelType w:val="multilevel"/>
    <w:tmpl w:val="8C228080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03D61"/>
    <w:multiLevelType w:val="multilevel"/>
    <w:tmpl w:val="F9DC352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5734D"/>
    <w:multiLevelType w:val="multilevel"/>
    <w:tmpl w:val="2E20DB10"/>
    <w:lvl w:ilvl="0">
      <w:start w:val="3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C7190"/>
    <w:multiLevelType w:val="multilevel"/>
    <w:tmpl w:val="024C7B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A5BB8"/>
    <w:multiLevelType w:val="multilevel"/>
    <w:tmpl w:val="BE6A5C5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A46B68"/>
    <w:multiLevelType w:val="multilevel"/>
    <w:tmpl w:val="9CACE0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748C"/>
    <w:rsid w:val="000E748C"/>
    <w:rsid w:val="00393A0B"/>
    <w:rsid w:val="007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D3F60"/>
  <w15:docId w15:val="{1C8A94FD-7560-41BB-984E-17407302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spacing w:val="30"/>
      <w:sz w:val="42"/>
      <w:szCs w:val="42"/>
      <w:u w:val="none"/>
      <w:lang w:val="en-US" w:eastAsia="en-US" w:bidi="en-US"/>
    </w:rPr>
  </w:style>
  <w:style w:type="character" w:customStyle="1" w:styleId="HeaderorfooterSmallCaps">
    <w:name w:val="Header or footer + Small Caps"/>
    <w:basedOn w:val="Headerorfooter"/>
    <w:rPr>
      <w:rFonts w:ascii="Microsoft Uighur" w:eastAsia="Microsoft Uighur" w:hAnsi="Microsoft Uighur" w:cs="Microsoft Uighur"/>
      <w:b/>
      <w:bCs/>
      <w:i w:val="0"/>
      <w:iCs w:val="0"/>
      <w:smallCaps/>
      <w:strike w:val="0"/>
      <w:color w:val="536D93"/>
      <w:spacing w:val="3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Italic">
    <w:name w:val="Picture caption + 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536D9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536D9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32" w:lineRule="exact"/>
    </w:pPr>
    <w:rPr>
      <w:rFonts w:ascii="Microsoft Uighur" w:eastAsia="Microsoft Uighur" w:hAnsi="Microsoft Uighur" w:cs="Microsoft Uighur"/>
      <w:b/>
      <w:bCs/>
      <w:spacing w:val="30"/>
      <w:sz w:val="42"/>
      <w:szCs w:val="42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46" w:lineRule="exact"/>
      <w:ind w:hanging="6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46" w:lineRule="exact"/>
      <w:ind w:hanging="6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46" w:lineRule="exact"/>
      <w:ind w:hanging="640"/>
    </w:pPr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20" w:line="212" w:lineRule="exact"/>
    </w:pPr>
    <w:rPr>
      <w:rFonts w:ascii="JasmineUPC" w:eastAsia="JasmineUPC" w:hAnsi="JasmineUPC" w:cs="JasmineUPC"/>
      <w:sz w:val="30"/>
      <w:szCs w:val="3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2263</Words>
  <Characters>13357</Characters>
  <Application>Microsoft Office Word</Application>
  <DocSecurity>0</DocSecurity>
  <Lines>111</Lines>
  <Paragraphs>31</Paragraphs>
  <ScaleCrop>false</ScaleCrop>
  <Company>Hudební divadlo Karlín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2022-06-08T09:08:00Z</dcterms:created>
  <dcterms:modified xsi:type="dcterms:W3CDTF">2022-06-08T09:16:00Z</dcterms:modified>
</cp:coreProperties>
</file>