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D3E482" w14:textId="20210D50" w:rsidR="004C46DA" w:rsidRPr="004C46DA" w:rsidRDefault="00DE5FFF" w:rsidP="004C46DA">
      <w:pPr>
        <w:pStyle w:val="Nzev"/>
        <w:rPr>
          <w:color w:val="000000"/>
          <w:sz w:val="28"/>
          <w:szCs w:val="28"/>
        </w:rPr>
      </w:pPr>
      <w:r>
        <w:rPr>
          <w:color w:val="000000"/>
          <w:sz w:val="28"/>
          <w:szCs w:val="28"/>
        </w:rPr>
        <w:t>Příloha č. 1 Smlouvy 1/2022</w:t>
      </w:r>
      <w:r w:rsidR="004C46DA">
        <w:rPr>
          <w:color w:val="000000"/>
          <w:sz w:val="28"/>
          <w:szCs w:val="28"/>
        </w:rPr>
        <w:t xml:space="preserve"> </w:t>
      </w:r>
      <w:r>
        <w:rPr>
          <w:color w:val="000000"/>
          <w:sz w:val="28"/>
          <w:szCs w:val="28"/>
        </w:rPr>
        <w:t>– Specifikace služby Tritius</w:t>
      </w:r>
      <w:r w:rsidR="004C46DA">
        <w:rPr>
          <w:color w:val="000000"/>
          <w:sz w:val="28"/>
          <w:szCs w:val="28"/>
        </w:rPr>
        <w:t xml:space="preserve"> </w:t>
      </w:r>
      <w:r w:rsidR="004C46DA">
        <w:rPr>
          <w:color w:val="000000"/>
          <w:sz w:val="28"/>
          <w:szCs w:val="28"/>
        </w:rPr>
        <w:br/>
        <w:t>S-0046/00067539/2020/1/2022</w:t>
      </w:r>
    </w:p>
    <w:p w14:paraId="00000002" w14:textId="77777777" w:rsidR="00DA2EC4" w:rsidRDefault="00DE5FFF">
      <w:pPr>
        <w:shd w:val="clear" w:color="auto" w:fill="FFFFFF"/>
        <w:spacing w:after="0" w:line="240" w:lineRule="auto"/>
        <w:rPr>
          <w:rFonts w:ascii="Georgia" w:eastAsia="Georgia" w:hAnsi="Georgia" w:cs="Georgia"/>
          <w:sz w:val="24"/>
          <w:szCs w:val="24"/>
        </w:rPr>
      </w:pPr>
      <w:r>
        <w:rPr>
          <w:rFonts w:ascii="Georgia" w:eastAsia="Georgia" w:hAnsi="Georgia" w:cs="Georgia"/>
          <w:sz w:val="24"/>
          <w:szCs w:val="24"/>
        </w:rPr>
        <w:t>Objednatel</w:t>
      </w:r>
    </w:p>
    <w:p w14:paraId="00000003" w14:textId="3C670148" w:rsidR="00DA2EC4" w:rsidRPr="00226EBB" w:rsidRDefault="00DE5FFF">
      <w:pPr>
        <w:shd w:val="clear" w:color="auto" w:fill="FFFFFF"/>
        <w:spacing w:after="0" w:line="240" w:lineRule="auto"/>
        <w:ind w:left="1428" w:hanging="708"/>
        <w:rPr>
          <w:rFonts w:ascii="Georgia" w:eastAsia="Georgia" w:hAnsi="Georgia" w:cs="Georgia"/>
          <w:b/>
          <w:sz w:val="24"/>
          <w:szCs w:val="24"/>
        </w:rPr>
      </w:pPr>
      <w:r w:rsidRPr="00226EBB">
        <w:rPr>
          <w:rFonts w:ascii="Georgia" w:eastAsia="Georgia" w:hAnsi="Georgia" w:cs="Georgia"/>
          <w:b/>
          <w:sz w:val="24"/>
          <w:szCs w:val="24"/>
        </w:rPr>
        <w:t xml:space="preserve">Oblastní muzeum Praha </w:t>
      </w:r>
      <w:r w:rsidR="00226EBB" w:rsidRPr="00226EBB">
        <w:rPr>
          <w:rFonts w:ascii="Georgia" w:eastAsia="Georgia" w:hAnsi="Georgia" w:cs="Georgia"/>
          <w:b/>
          <w:sz w:val="24"/>
          <w:szCs w:val="24"/>
        </w:rPr>
        <w:t xml:space="preserve">– </w:t>
      </w:r>
      <w:r w:rsidRPr="00226EBB">
        <w:rPr>
          <w:rFonts w:ascii="Georgia" w:eastAsia="Georgia" w:hAnsi="Georgia" w:cs="Georgia"/>
          <w:b/>
          <w:sz w:val="24"/>
          <w:szCs w:val="24"/>
        </w:rPr>
        <w:t xml:space="preserve">východ, </w:t>
      </w:r>
      <w:r w:rsidR="00226EBB" w:rsidRPr="00226EBB">
        <w:rPr>
          <w:rFonts w:ascii="Georgia" w:eastAsia="Georgia" w:hAnsi="Georgia" w:cs="Georgia"/>
          <w:b/>
          <w:sz w:val="24"/>
          <w:szCs w:val="24"/>
        </w:rPr>
        <w:t>příspěvková organizace</w:t>
      </w:r>
    </w:p>
    <w:p w14:paraId="00000004" w14:textId="4D75F610" w:rsidR="00DA2EC4" w:rsidRPr="00226EBB" w:rsidRDefault="00DE5FFF">
      <w:pPr>
        <w:shd w:val="clear" w:color="auto" w:fill="FFFFFF"/>
        <w:spacing w:after="0" w:line="240" w:lineRule="auto"/>
        <w:ind w:left="1428" w:hanging="708"/>
        <w:rPr>
          <w:rFonts w:ascii="Georgia" w:eastAsia="Georgia" w:hAnsi="Georgia" w:cs="Georgia"/>
          <w:sz w:val="24"/>
          <w:szCs w:val="24"/>
        </w:rPr>
      </w:pPr>
      <w:r w:rsidRPr="00226EBB">
        <w:rPr>
          <w:rFonts w:ascii="Georgia" w:eastAsia="Georgia" w:hAnsi="Georgia" w:cs="Georgia"/>
          <w:sz w:val="24"/>
          <w:szCs w:val="24"/>
        </w:rPr>
        <w:t>se sídlem Masarykovo náměstí 97/3, 250 01 Brandýs nad Labem</w:t>
      </w:r>
      <w:r w:rsidR="00226EBB">
        <w:rPr>
          <w:rFonts w:ascii="Georgia" w:eastAsia="Georgia" w:hAnsi="Georgia" w:cs="Georgia"/>
          <w:sz w:val="24"/>
          <w:szCs w:val="24"/>
        </w:rPr>
        <w:t>-St. Boleslav</w:t>
      </w:r>
    </w:p>
    <w:p w14:paraId="00000005" w14:textId="79581718" w:rsidR="00DA2EC4" w:rsidRPr="00226EBB" w:rsidRDefault="00226EBB">
      <w:pPr>
        <w:shd w:val="clear" w:color="auto" w:fill="FFFFFF"/>
        <w:spacing w:after="0" w:line="240" w:lineRule="auto"/>
        <w:ind w:left="1428" w:hanging="708"/>
        <w:rPr>
          <w:rFonts w:ascii="Georgia" w:eastAsia="Georgia" w:hAnsi="Georgia" w:cs="Georgia"/>
          <w:sz w:val="24"/>
          <w:szCs w:val="24"/>
        </w:rPr>
      </w:pPr>
      <w:r>
        <w:rPr>
          <w:rFonts w:ascii="Georgia" w:eastAsia="Georgia" w:hAnsi="Georgia" w:cs="Georgia"/>
          <w:sz w:val="24"/>
          <w:szCs w:val="24"/>
        </w:rPr>
        <w:t xml:space="preserve">IČ: 00067539, DIČ CZ00067539 – neplátce DPH, </w:t>
      </w:r>
      <w:r>
        <w:rPr>
          <w:rFonts w:ascii="Georgia" w:eastAsia="Georgia" w:hAnsi="Georgia" w:cs="Georgia"/>
          <w:sz w:val="16"/>
          <w:szCs w:val="16"/>
        </w:rPr>
        <w:t>datová schránka: bbbupsj</w:t>
      </w:r>
    </w:p>
    <w:p w14:paraId="00000006" w14:textId="05C57991" w:rsidR="00DA2EC4" w:rsidRDefault="00DE5FFF">
      <w:pPr>
        <w:shd w:val="clear" w:color="auto" w:fill="FFFFFF"/>
        <w:spacing w:after="0" w:line="240" w:lineRule="auto"/>
        <w:ind w:left="1428" w:hanging="708"/>
        <w:rPr>
          <w:rFonts w:ascii="Georgia" w:eastAsia="Georgia" w:hAnsi="Georgia" w:cs="Georgia"/>
          <w:sz w:val="24"/>
          <w:szCs w:val="24"/>
        </w:rPr>
      </w:pPr>
      <w:r w:rsidRPr="00226EBB">
        <w:rPr>
          <w:rFonts w:ascii="Georgia" w:eastAsia="Georgia" w:hAnsi="Georgia" w:cs="Georgia"/>
          <w:sz w:val="24"/>
          <w:szCs w:val="24"/>
        </w:rPr>
        <w:t xml:space="preserve">zastoupen </w:t>
      </w:r>
      <w:r w:rsidR="00226EBB" w:rsidRPr="00226EBB">
        <w:rPr>
          <w:rFonts w:ascii="Georgia" w:eastAsia="Georgia" w:hAnsi="Georgia" w:cs="Georgia"/>
          <w:sz w:val="24"/>
          <w:szCs w:val="24"/>
        </w:rPr>
        <w:t>Ing. Vlastislavem Janíkem, ředitelem</w:t>
      </w:r>
      <w:r w:rsidRPr="00226EBB">
        <w:rPr>
          <w:rFonts w:ascii="Georgia" w:eastAsia="Georgia" w:hAnsi="Georgia" w:cs="Georgia"/>
          <w:sz w:val="24"/>
          <w:szCs w:val="24"/>
        </w:rPr>
        <w:t xml:space="preserve"> organizace</w:t>
      </w:r>
    </w:p>
    <w:p w14:paraId="00000007" w14:textId="77777777" w:rsidR="00DA2EC4" w:rsidRDefault="00DE5FFF">
      <w:pPr>
        <w:shd w:val="clear" w:color="auto" w:fill="FFFFFF"/>
        <w:spacing w:after="0" w:line="240" w:lineRule="auto"/>
        <w:ind w:left="1428" w:hanging="708"/>
        <w:rPr>
          <w:rFonts w:ascii="Georgia" w:eastAsia="Georgia" w:hAnsi="Georgia" w:cs="Georgia"/>
          <w:i/>
          <w:sz w:val="20"/>
          <w:szCs w:val="20"/>
        </w:rPr>
      </w:pPr>
      <w:r>
        <w:rPr>
          <w:rFonts w:ascii="Georgia" w:eastAsia="Georgia" w:hAnsi="Georgia" w:cs="Georgia"/>
          <w:i/>
          <w:sz w:val="20"/>
          <w:szCs w:val="20"/>
        </w:rPr>
        <w:t>(dále jako „Objednatel“)</w:t>
      </w:r>
    </w:p>
    <w:p w14:paraId="00000008" w14:textId="77777777" w:rsidR="00DA2EC4" w:rsidRDefault="00DE5FFF">
      <w:pPr>
        <w:shd w:val="clear" w:color="auto" w:fill="FFFFFF"/>
        <w:spacing w:after="0" w:line="240" w:lineRule="auto"/>
        <w:rPr>
          <w:rFonts w:ascii="Georgia" w:eastAsia="Georgia" w:hAnsi="Georgia" w:cs="Georgia"/>
          <w:sz w:val="20"/>
          <w:szCs w:val="20"/>
        </w:rPr>
      </w:pPr>
      <w:r>
        <w:rPr>
          <w:rFonts w:ascii="Georgia" w:eastAsia="Georgia" w:hAnsi="Georgia" w:cs="Georgia"/>
          <w:sz w:val="20"/>
          <w:szCs w:val="20"/>
        </w:rPr>
        <w:t>a</w:t>
      </w:r>
    </w:p>
    <w:p w14:paraId="00000009" w14:textId="77777777" w:rsidR="00DA2EC4" w:rsidRDefault="00DA2EC4">
      <w:pPr>
        <w:shd w:val="clear" w:color="auto" w:fill="FFFFFF"/>
        <w:spacing w:after="0" w:line="240" w:lineRule="auto"/>
        <w:rPr>
          <w:rFonts w:ascii="Georgia" w:eastAsia="Georgia" w:hAnsi="Georgia" w:cs="Georgia"/>
          <w:sz w:val="20"/>
          <w:szCs w:val="20"/>
        </w:rPr>
      </w:pPr>
    </w:p>
    <w:p w14:paraId="0000000A" w14:textId="77777777" w:rsidR="00DA2EC4" w:rsidRDefault="00DE5FFF">
      <w:pPr>
        <w:shd w:val="clear" w:color="auto" w:fill="FFFFFF"/>
        <w:spacing w:after="0" w:line="240" w:lineRule="auto"/>
        <w:rPr>
          <w:rFonts w:ascii="Georgia" w:eastAsia="Georgia" w:hAnsi="Georgia" w:cs="Georgia"/>
          <w:sz w:val="24"/>
          <w:szCs w:val="24"/>
        </w:rPr>
      </w:pPr>
      <w:r>
        <w:rPr>
          <w:rFonts w:ascii="Georgia" w:eastAsia="Georgia" w:hAnsi="Georgia" w:cs="Georgia"/>
          <w:sz w:val="24"/>
          <w:szCs w:val="24"/>
        </w:rPr>
        <w:t>Poskytovatel</w:t>
      </w:r>
    </w:p>
    <w:p w14:paraId="0000000B" w14:textId="77777777" w:rsidR="00DA2EC4" w:rsidRDefault="00DE5FFF">
      <w:pPr>
        <w:shd w:val="clear" w:color="auto" w:fill="FFFFFF"/>
        <w:spacing w:after="0" w:line="240" w:lineRule="auto"/>
        <w:ind w:left="1428" w:hanging="708"/>
        <w:rPr>
          <w:rFonts w:ascii="Georgia" w:eastAsia="Georgia" w:hAnsi="Georgia" w:cs="Georgia"/>
          <w:b/>
          <w:sz w:val="24"/>
          <w:szCs w:val="24"/>
        </w:rPr>
      </w:pPr>
      <w:r>
        <w:rPr>
          <w:rFonts w:ascii="Georgia" w:eastAsia="Georgia" w:hAnsi="Georgia" w:cs="Georgia"/>
          <w:b/>
          <w:sz w:val="24"/>
          <w:szCs w:val="24"/>
        </w:rPr>
        <w:t>Tritius Solutions a.s.</w:t>
      </w:r>
    </w:p>
    <w:p w14:paraId="0000000C" w14:textId="77777777" w:rsidR="00DA2EC4" w:rsidRDefault="00DE5FFF">
      <w:pPr>
        <w:shd w:val="clear" w:color="auto" w:fill="FFFFFF"/>
        <w:spacing w:after="0" w:line="240" w:lineRule="auto"/>
        <w:ind w:left="1428" w:hanging="708"/>
        <w:rPr>
          <w:rFonts w:ascii="Georgia" w:eastAsia="Georgia" w:hAnsi="Georgia" w:cs="Georgia"/>
          <w:sz w:val="24"/>
          <w:szCs w:val="24"/>
        </w:rPr>
      </w:pPr>
      <w:r>
        <w:rPr>
          <w:rFonts w:ascii="Georgia" w:eastAsia="Georgia" w:hAnsi="Georgia" w:cs="Georgia"/>
          <w:sz w:val="24"/>
          <w:szCs w:val="24"/>
        </w:rPr>
        <w:t>se sídlem Vodní 258/13, Brno 602 00, Pošta na: Tomkova 2099, 390 01 Tábor</w:t>
      </w:r>
    </w:p>
    <w:p w14:paraId="0000000D" w14:textId="77777777" w:rsidR="00DA2EC4" w:rsidRDefault="00DE5FFF">
      <w:pPr>
        <w:shd w:val="clear" w:color="auto" w:fill="FFFFFF"/>
        <w:spacing w:after="0" w:line="240" w:lineRule="auto"/>
        <w:ind w:left="1428" w:hanging="708"/>
        <w:rPr>
          <w:rFonts w:ascii="Georgia" w:eastAsia="Georgia" w:hAnsi="Georgia" w:cs="Georgia"/>
          <w:sz w:val="24"/>
          <w:szCs w:val="24"/>
        </w:rPr>
      </w:pPr>
      <w:r>
        <w:rPr>
          <w:rFonts w:ascii="Georgia" w:eastAsia="Georgia" w:hAnsi="Georgia" w:cs="Georgia"/>
          <w:sz w:val="24"/>
          <w:szCs w:val="24"/>
        </w:rPr>
        <w:t>IČ: 05700582, DIČ: CZ05700582</w:t>
      </w:r>
      <w:r>
        <w:rPr>
          <w:rFonts w:ascii="Georgia" w:eastAsia="Georgia" w:hAnsi="Georgia" w:cs="Georgia"/>
          <w:sz w:val="16"/>
          <w:szCs w:val="16"/>
        </w:rPr>
        <w:t xml:space="preserve"> (také MOSS identifikační číslo), datová schránka: dvj9x5c</w:t>
      </w:r>
    </w:p>
    <w:p w14:paraId="0000000E" w14:textId="77777777" w:rsidR="00DA2EC4" w:rsidRDefault="00DE5FFF">
      <w:pPr>
        <w:shd w:val="clear" w:color="auto" w:fill="FFFFFF"/>
        <w:spacing w:after="0" w:line="240" w:lineRule="auto"/>
        <w:ind w:left="1428" w:hanging="708"/>
        <w:rPr>
          <w:rFonts w:ascii="Georgia" w:eastAsia="Georgia" w:hAnsi="Georgia" w:cs="Georgia"/>
          <w:sz w:val="24"/>
          <w:szCs w:val="24"/>
        </w:rPr>
      </w:pPr>
      <w:r>
        <w:rPr>
          <w:rFonts w:ascii="Georgia" w:eastAsia="Georgia" w:hAnsi="Georgia" w:cs="Georgia"/>
          <w:sz w:val="24"/>
          <w:szCs w:val="24"/>
        </w:rPr>
        <w:t>zastoupen členem představenstva Ing. Jiřím Šilhou</w:t>
      </w:r>
    </w:p>
    <w:p w14:paraId="0000000F" w14:textId="77777777" w:rsidR="00DA2EC4" w:rsidRDefault="00DE5FFF">
      <w:pPr>
        <w:shd w:val="clear" w:color="auto" w:fill="FFFFFF"/>
        <w:spacing w:after="0" w:line="240" w:lineRule="auto"/>
        <w:ind w:left="1428" w:hanging="708"/>
        <w:rPr>
          <w:rFonts w:ascii="Georgia" w:eastAsia="Georgia" w:hAnsi="Georgia" w:cs="Georgia"/>
          <w:i/>
          <w:sz w:val="20"/>
          <w:szCs w:val="20"/>
        </w:rPr>
      </w:pPr>
      <w:r>
        <w:rPr>
          <w:rFonts w:ascii="Georgia" w:eastAsia="Georgia" w:hAnsi="Georgia" w:cs="Georgia"/>
          <w:i/>
          <w:sz w:val="20"/>
          <w:szCs w:val="20"/>
        </w:rPr>
        <w:t>(dále jako „Poskytovatel“)</w:t>
      </w:r>
    </w:p>
    <w:p w14:paraId="00000010" w14:textId="77777777" w:rsidR="00DA2EC4" w:rsidRDefault="00DA2EC4">
      <w:pPr>
        <w:shd w:val="clear" w:color="auto" w:fill="FFFFFF"/>
        <w:spacing w:after="0" w:line="240" w:lineRule="auto"/>
        <w:jc w:val="center"/>
        <w:rPr>
          <w:rFonts w:ascii="Georgia" w:eastAsia="Georgia" w:hAnsi="Georgia" w:cs="Georgia"/>
          <w:sz w:val="20"/>
          <w:szCs w:val="20"/>
        </w:rPr>
      </w:pPr>
    </w:p>
    <w:p w14:paraId="00000011" w14:textId="77777777" w:rsidR="00DA2EC4" w:rsidRDefault="00DE5FFF">
      <w:pPr>
        <w:numPr>
          <w:ilvl w:val="0"/>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u w:val="single"/>
        </w:rPr>
        <w:t>Úvodní ustanovení</w:t>
      </w:r>
    </w:p>
    <w:p w14:paraId="00000012" w14:textId="77777777" w:rsidR="00DA2EC4" w:rsidRDefault="00DE5FFF">
      <w:pPr>
        <w:numPr>
          <w:ilvl w:val="1"/>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Tato specifikace je přílohou smlouvy o poskytování softwarových služeb Tritius mezi smluvními stranami a slouží k upřesnění parametrů poskytování této služby.</w:t>
      </w:r>
    </w:p>
    <w:p w14:paraId="00000013" w14:textId="77777777" w:rsidR="00DA2EC4" w:rsidRDefault="00DE5FFF">
      <w:pPr>
        <w:numPr>
          <w:ilvl w:val="1"/>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V případě rozdílu mezi obsahem této specifikace a uzavřené smlouvy má přednost úprava v této specifikaci (specifikace má vyšší prioritu).</w:t>
      </w:r>
    </w:p>
    <w:p w14:paraId="00000014" w14:textId="77777777" w:rsidR="00DA2EC4" w:rsidRDefault="00DA2EC4">
      <w:pPr>
        <w:shd w:val="clear" w:color="auto" w:fill="FFFFFF"/>
        <w:spacing w:after="0" w:line="240" w:lineRule="auto"/>
        <w:rPr>
          <w:rFonts w:ascii="Georgia" w:eastAsia="Georgia" w:hAnsi="Georgia" w:cs="Georgia"/>
          <w:sz w:val="22"/>
          <w:szCs w:val="22"/>
        </w:rPr>
      </w:pPr>
    </w:p>
    <w:p w14:paraId="00000015" w14:textId="77777777" w:rsidR="00DA2EC4" w:rsidRDefault="00DE5FFF">
      <w:pPr>
        <w:numPr>
          <w:ilvl w:val="0"/>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u w:val="single"/>
        </w:rPr>
        <w:t>Služba zahrnuje</w:t>
      </w:r>
    </w:p>
    <w:p w14:paraId="00000016" w14:textId="77777777" w:rsidR="00DA2EC4" w:rsidRDefault="00DE5FFF">
      <w:pPr>
        <w:numPr>
          <w:ilvl w:val="1"/>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Právo používat systém Tritius (licenci):</w:t>
      </w:r>
    </w:p>
    <w:p w14:paraId="00000017" w14:textId="77777777" w:rsidR="00DA2EC4" w:rsidRDefault="00DE5FFF">
      <w:pPr>
        <w:numPr>
          <w:ilvl w:val="2"/>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 xml:space="preserve">Velikostní licence: </w:t>
      </w:r>
      <w:r>
        <w:rPr>
          <w:rFonts w:ascii="Georgia" w:eastAsia="Georgia" w:hAnsi="Georgia" w:cs="Georgia"/>
          <w:b/>
          <w:color w:val="000000"/>
          <w:sz w:val="22"/>
          <w:szCs w:val="22"/>
        </w:rPr>
        <w:t xml:space="preserve">do </w:t>
      </w:r>
      <w:r>
        <w:rPr>
          <w:rFonts w:ascii="Georgia" w:eastAsia="Georgia" w:hAnsi="Georgia" w:cs="Georgia"/>
          <w:b/>
          <w:sz w:val="22"/>
          <w:szCs w:val="22"/>
        </w:rPr>
        <w:t>20</w:t>
      </w:r>
      <w:r>
        <w:rPr>
          <w:rFonts w:ascii="Georgia" w:eastAsia="Georgia" w:hAnsi="Georgia" w:cs="Georgia"/>
          <w:b/>
          <w:color w:val="000000"/>
          <w:sz w:val="22"/>
          <w:szCs w:val="22"/>
        </w:rPr>
        <w:t>.000</w:t>
      </w:r>
      <w:r>
        <w:rPr>
          <w:rFonts w:ascii="Georgia" w:eastAsia="Georgia" w:hAnsi="Georgia" w:cs="Georgia"/>
          <w:color w:val="000000"/>
          <w:sz w:val="22"/>
          <w:szCs w:val="22"/>
        </w:rPr>
        <w:t xml:space="preserve"> svazků.</w:t>
      </w:r>
    </w:p>
    <w:p w14:paraId="00000018" w14:textId="77777777" w:rsidR="00DA2EC4" w:rsidRDefault="00DE5FFF">
      <w:pPr>
        <w:numPr>
          <w:ilvl w:val="2"/>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 xml:space="preserve">Provoz v režimu </w:t>
      </w:r>
      <w:r>
        <w:rPr>
          <w:rFonts w:ascii="Georgia" w:eastAsia="Georgia" w:hAnsi="Georgia" w:cs="Georgia"/>
          <w:b/>
          <w:color w:val="000000"/>
          <w:sz w:val="22"/>
          <w:szCs w:val="22"/>
        </w:rPr>
        <w:t>sdíleného</w:t>
      </w:r>
      <w:r>
        <w:rPr>
          <w:rFonts w:ascii="Georgia" w:eastAsia="Georgia" w:hAnsi="Georgia" w:cs="Georgia"/>
          <w:color w:val="000000"/>
          <w:sz w:val="22"/>
          <w:szCs w:val="22"/>
        </w:rPr>
        <w:t xml:space="preserve"> systému.</w:t>
      </w:r>
    </w:p>
    <w:p w14:paraId="00000019" w14:textId="77777777" w:rsidR="00DA2EC4" w:rsidRDefault="00DE5FFF">
      <w:pPr>
        <w:numPr>
          <w:ilvl w:val="2"/>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Dostupné moduly systému:</w:t>
      </w:r>
    </w:p>
    <w:p w14:paraId="0000001A" w14:textId="77777777" w:rsidR="00DA2EC4" w:rsidRDefault="00DE5FFF">
      <w:pPr>
        <w:numPr>
          <w:ilvl w:val="3"/>
          <w:numId w:val="1"/>
        </w:numPr>
        <w:pBdr>
          <w:top w:val="nil"/>
          <w:left w:val="nil"/>
          <w:bottom w:val="nil"/>
          <w:right w:val="nil"/>
          <w:between w:val="nil"/>
        </w:pBdr>
        <w:shd w:val="clear" w:color="auto" w:fill="FFFFFF"/>
        <w:spacing w:after="0" w:line="240" w:lineRule="auto"/>
        <w:ind w:hanging="648"/>
        <w:rPr>
          <w:rFonts w:ascii="Georgia" w:eastAsia="Georgia" w:hAnsi="Georgia" w:cs="Georgia"/>
          <w:color w:val="000000"/>
        </w:rPr>
      </w:pPr>
      <w:r>
        <w:rPr>
          <w:rFonts w:ascii="Georgia" w:eastAsia="Georgia" w:hAnsi="Georgia" w:cs="Georgia"/>
          <w:color w:val="000000"/>
          <w:sz w:val="22"/>
          <w:szCs w:val="22"/>
        </w:rPr>
        <w:t>Katalogizace (všech druhů dokumentů, včetně pasivního Z-klienta),</w:t>
      </w:r>
    </w:p>
    <w:p w14:paraId="0000001B" w14:textId="77777777" w:rsidR="00DA2EC4" w:rsidRDefault="00DE5FFF">
      <w:pPr>
        <w:numPr>
          <w:ilvl w:val="3"/>
          <w:numId w:val="1"/>
        </w:numPr>
        <w:pBdr>
          <w:top w:val="nil"/>
          <w:left w:val="nil"/>
          <w:bottom w:val="nil"/>
          <w:right w:val="nil"/>
          <w:between w:val="nil"/>
        </w:pBdr>
        <w:shd w:val="clear" w:color="auto" w:fill="FFFFFF"/>
        <w:spacing w:after="0" w:line="240" w:lineRule="auto"/>
        <w:ind w:hanging="648"/>
        <w:rPr>
          <w:rFonts w:ascii="Georgia" w:eastAsia="Georgia" w:hAnsi="Georgia" w:cs="Georgia"/>
          <w:color w:val="000000"/>
        </w:rPr>
      </w:pPr>
      <w:r>
        <w:rPr>
          <w:rFonts w:ascii="Georgia" w:eastAsia="Georgia" w:hAnsi="Georgia" w:cs="Georgia"/>
          <w:color w:val="000000"/>
          <w:sz w:val="22"/>
          <w:szCs w:val="22"/>
        </w:rPr>
        <w:t>Výpůjční protokol,</w:t>
      </w:r>
    </w:p>
    <w:p w14:paraId="0000001C" w14:textId="77777777" w:rsidR="00DA2EC4" w:rsidRDefault="00DE5FFF">
      <w:pPr>
        <w:numPr>
          <w:ilvl w:val="3"/>
          <w:numId w:val="1"/>
        </w:numPr>
        <w:pBdr>
          <w:top w:val="nil"/>
          <w:left w:val="nil"/>
          <w:bottom w:val="nil"/>
          <w:right w:val="nil"/>
          <w:between w:val="nil"/>
        </w:pBdr>
        <w:shd w:val="clear" w:color="auto" w:fill="FFFFFF"/>
        <w:spacing w:after="0" w:line="240" w:lineRule="auto"/>
        <w:ind w:hanging="648"/>
        <w:rPr>
          <w:rFonts w:ascii="Georgia" w:eastAsia="Georgia" w:hAnsi="Georgia" w:cs="Georgia"/>
          <w:color w:val="000000"/>
        </w:rPr>
      </w:pPr>
      <w:r>
        <w:rPr>
          <w:rFonts w:ascii="Georgia" w:eastAsia="Georgia" w:hAnsi="Georgia" w:cs="Georgia"/>
          <w:color w:val="000000"/>
          <w:sz w:val="22"/>
          <w:szCs w:val="22"/>
        </w:rPr>
        <w:t>Webový katalog,</w:t>
      </w:r>
    </w:p>
    <w:p w14:paraId="0000001D" w14:textId="77777777" w:rsidR="00DA2EC4" w:rsidRDefault="00DE5FFF">
      <w:pPr>
        <w:numPr>
          <w:ilvl w:val="3"/>
          <w:numId w:val="1"/>
        </w:numPr>
        <w:pBdr>
          <w:top w:val="nil"/>
          <w:left w:val="nil"/>
          <w:bottom w:val="nil"/>
          <w:right w:val="nil"/>
          <w:between w:val="nil"/>
        </w:pBdr>
        <w:shd w:val="clear" w:color="auto" w:fill="FFFFFF"/>
        <w:spacing w:after="0" w:line="240" w:lineRule="auto"/>
        <w:ind w:hanging="648"/>
        <w:rPr>
          <w:rFonts w:ascii="Georgia" w:eastAsia="Georgia" w:hAnsi="Georgia" w:cs="Georgia"/>
          <w:color w:val="000000"/>
        </w:rPr>
      </w:pPr>
      <w:r>
        <w:rPr>
          <w:rFonts w:ascii="Georgia" w:eastAsia="Georgia" w:hAnsi="Georgia" w:cs="Georgia"/>
          <w:color w:val="000000"/>
          <w:sz w:val="22"/>
          <w:szCs w:val="22"/>
        </w:rPr>
        <w:t>Revize fondu,</w:t>
      </w:r>
    </w:p>
    <w:p w14:paraId="0000001E" w14:textId="77777777" w:rsidR="00DA2EC4" w:rsidRDefault="00DE5FFF">
      <w:pPr>
        <w:numPr>
          <w:ilvl w:val="3"/>
          <w:numId w:val="1"/>
        </w:numPr>
        <w:pBdr>
          <w:top w:val="nil"/>
          <w:left w:val="nil"/>
          <w:bottom w:val="nil"/>
          <w:right w:val="nil"/>
          <w:between w:val="nil"/>
        </w:pBdr>
        <w:shd w:val="clear" w:color="auto" w:fill="FFFFFF"/>
        <w:spacing w:after="0" w:line="240" w:lineRule="auto"/>
        <w:ind w:hanging="648"/>
        <w:rPr>
          <w:rFonts w:ascii="Georgia" w:eastAsia="Georgia" w:hAnsi="Georgia" w:cs="Georgia"/>
          <w:color w:val="000000"/>
        </w:rPr>
      </w:pPr>
      <w:r>
        <w:rPr>
          <w:rFonts w:ascii="Georgia" w:eastAsia="Georgia" w:hAnsi="Georgia" w:cs="Georgia"/>
          <w:color w:val="000000"/>
          <w:sz w:val="22"/>
          <w:szCs w:val="22"/>
        </w:rPr>
        <w:t>Elektronické MVS</w:t>
      </w:r>
      <w:r>
        <w:rPr>
          <w:rFonts w:ascii="Georgia" w:eastAsia="Georgia" w:hAnsi="Georgia" w:cs="Georgia"/>
          <w:sz w:val="22"/>
          <w:szCs w:val="22"/>
        </w:rPr>
        <w:t>.</w:t>
      </w:r>
    </w:p>
    <w:p w14:paraId="0000001F" w14:textId="77777777" w:rsidR="00DA2EC4" w:rsidRDefault="00DE5FFF">
      <w:pPr>
        <w:numPr>
          <w:ilvl w:val="1"/>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Nové verze systému a jejich instalaci.</w:t>
      </w:r>
    </w:p>
    <w:p w14:paraId="00000020" w14:textId="77777777" w:rsidR="00DA2EC4" w:rsidRDefault="00DE5FFF">
      <w:pPr>
        <w:numPr>
          <w:ilvl w:val="1"/>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Záruční servis (opravy chyb systému).</w:t>
      </w:r>
    </w:p>
    <w:p w14:paraId="00000021" w14:textId="77777777" w:rsidR="00DA2EC4" w:rsidRDefault="00DE5FFF">
      <w:pPr>
        <w:numPr>
          <w:ilvl w:val="1"/>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 xml:space="preserve">Zajištění zpřístupnění systému na webové adrese: </w:t>
      </w:r>
      <w:hyperlink r:id="rId8">
        <w:r>
          <w:rPr>
            <w:rFonts w:ascii="Georgia" w:eastAsia="Georgia" w:hAnsi="Georgia" w:cs="Georgia"/>
            <w:color w:val="1155CC"/>
            <w:sz w:val="22"/>
            <w:szCs w:val="22"/>
            <w:u w:val="single"/>
          </w:rPr>
          <w:t>https://muzeum.tritius.cz</w:t>
        </w:r>
      </w:hyperlink>
      <w:r>
        <w:rPr>
          <w:rFonts w:ascii="Georgia" w:eastAsia="Georgia" w:hAnsi="Georgia" w:cs="Georgia"/>
          <w:color w:val="000000"/>
          <w:sz w:val="22"/>
          <w:szCs w:val="22"/>
        </w:rPr>
        <w:t>:</w:t>
      </w:r>
    </w:p>
    <w:p w14:paraId="00000022" w14:textId="77777777" w:rsidR="00DA2EC4" w:rsidRDefault="00DE5FFF">
      <w:pPr>
        <w:numPr>
          <w:ilvl w:val="2"/>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Dostupnost systému 365 dní v roce (garance min. 97 % času).</w:t>
      </w:r>
    </w:p>
    <w:p w14:paraId="00000023" w14:textId="77777777" w:rsidR="00DA2EC4" w:rsidRDefault="00DE5FFF">
      <w:pPr>
        <w:numPr>
          <w:ilvl w:val="2"/>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Zabezpečené připojení včetně SSL certifikátu.</w:t>
      </w:r>
    </w:p>
    <w:p w14:paraId="00000024" w14:textId="77777777" w:rsidR="00DA2EC4" w:rsidRDefault="00DE5FFF">
      <w:pPr>
        <w:numPr>
          <w:ilvl w:val="1"/>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Zajištění dostatečného výkonu pro provoz systému v konfiguraci dle licence.</w:t>
      </w:r>
    </w:p>
    <w:p w14:paraId="00000025" w14:textId="77777777" w:rsidR="00DA2EC4" w:rsidRDefault="00DE5FFF">
      <w:pPr>
        <w:numPr>
          <w:ilvl w:val="2"/>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Zahrnuje také náklady na napájení, chlazení a obnovu potřebného HW.</w:t>
      </w:r>
    </w:p>
    <w:p w14:paraId="00000026" w14:textId="77777777" w:rsidR="00DA2EC4" w:rsidRDefault="00DE5FFF">
      <w:pPr>
        <w:numPr>
          <w:ilvl w:val="2"/>
          <w:numId w:val="1"/>
        </w:numPr>
        <w:pBdr>
          <w:top w:val="nil"/>
          <w:left w:val="nil"/>
          <w:bottom w:val="nil"/>
          <w:right w:val="nil"/>
          <w:between w:val="nil"/>
        </w:pBdr>
        <w:shd w:val="clear" w:color="auto" w:fill="FFFFFF"/>
        <w:spacing w:after="0" w:line="240" w:lineRule="auto"/>
        <w:rPr>
          <w:rFonts w:ascii="Georgia" w:eastAsia="Georgia" w:hAnsi="Georgia" w:cs="Georgia"/>
          <w:sz w:val="22"/>
          <w:szCs w:val="22"/>
        </w:rPr>
      </w:pPr>
      <w:r>
        <w:rPr>
          <w:rFonts w:ascii="Georgia" w:eastAsia="Georgia" w:hAnsi="Georgia" w:cs="Georgia"/>
          <w:sz w:val="22"/>
          <w:szCs w:val="22"/>
        </w:rPr>
        <w:t>Zahrnuje limitovaný úložný prostor pro ukládání příloh viz VOP.</w:t>
      </w:r>
    </w:p>
    <w:p w14:paraId="00000027" w14:textId="77777777" w:rsidR="00DA2EC4" w:rsidRDefault="00DE5FFF">
      <w:pPr>
        <w:numPr>
          <w:ilvl w:val="1"/>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Zajištění bezpečnosti:</w:t>
      </w:r>
    </w:p>
    <w:p w14:paraId="00000028" w14:textId="77777777" w:rsidR="00DA2EC4" w:rsidRDefault="00DE5FFF">
      <w:pPr>
        <w:numPr>
          <w:ilvl w:val="2"/>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 xml:space="preserve">Zálohování dat dle </w:t>
      </w:r>
      <w:r>
        <w:rPr>
          <w:rFonts w:ascii="Georgia" w:eastAsia="Georgia" w:hAnsi="Georgia" w:cs="Georgia"/>
          <w:sz w:val="22"/>
          <w:szCs w:val="22"/>
        </w:rPr>
        <w:t>VOP</w:t>
      </w:r>
      <w:r>
        <w:rPr>
          <w:rFonts w:ascii="Georgia" w:eastAsia="Georgia" w:hAnsi="Georgia" w:cs="Georgia"/>
          <w:color w:val="000000"/>
          <w:sz w:val="22"/>
          <w:szCs w:val="22"/>
        </w:rPr>
        <w:t>.</w:t>
      </w:r>
    </w:p>
    <w:p w14:paraId="00000029" w14:textId="77777777" w:rsidR="00DA2EC4" w:rsidRDefault="00DE5FFF">
      <w:pPr>
        <w:numPr>
          <w:ilvl w:val="2"/>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Zabezpečené umístění serveru včetně trvalé ostrahy objektu.</w:t>
      </w:r>
    </w:p>
    <w:p w14:paraId="0000002A" w14:textId="77777777" w:rsidR="00DA2EC4" w:rsidRDefault="00DE5FFF">
      <w:pPr>
        <w:numPr>
          <w:ilvl w:val="2"/>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Garance souladu zabezpečení serveru s evropským nařízením o ochraně osobních údajů (GDPR).</w:t>
      </w:r>
    </w:p>
    <w:p w14:paraId="0000002B" w14:textId="77777777" w:rsidR="00DA2EC4" w:rsidRDefault="00DE5FFF">
      <w:pPr>
        <w:numPr>
          <w:ilvl w:val="1"/>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Zajištění aktivního monitoringu systému.</w:t>
      </w:r>
    </w:p>
    <w:p w14:paraId="0000002C" w14:textId="77777777" w:rsidR="00DA2EC4" w:rsidRDefault="00DE5FFF">
      <w:pPr>
        <w:numPr>
          <w:ilvl w:val="1"/>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Zajištění správy serveru a jeho zabezpečení (včetně bezpečnostních aktualizací).</w:t>
      </w:r>
    </w:p>
    <w:p w14:paraId="0000002D" w14:textId="77777777" w:rsidR="00DA2EC4" w:rsidRDefault="00DE5FFF">
      <w:pPr>
        <w:numPr>
          <w:ilvl w:val="1"/>
          <w:numId w:val="1"/>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sz w:val="22"/>
          <w:szCs w:val="22"/>
        </w:rPr>
        <w:t>Zajištění odesílání SMS zpráv čtenářům ze systému na mobilní telefony všech operátorů v ČR.</w:t>
      </w:r>
    </w:p>
    <w:p w14:paraId="0000002E" w14:textId="77777777" w:rsidR="00DA2EC4" w:rsidRDefault="00DA2EC4">
      <w:pPr>
        <w:shd w:val="clear" w:color="auto" w:fill="FFFFFF"/>
        <w:spacing w:after="0" w:line="240" w:lineRule="auto"/>
        <w:rPr>
          <w:rFonts w:ascii="Georgia" w:eastAsia="Georgia" w:hAnsi="Georgia" w:cs="Georgia"/>
          <w:sz w:val="22"/>
          <w:szCs w:val="22"/>
        </w:rPr>
      </w:pPr>
    </w:p>
    <w:p w14:paraId="0000002F" w14:textId="77777777" w:rsidR="00DA2EC4" w:rsidRDefault="00DE5FFF">
      <w:pPr>
        <w:numPr>
          <w:ilvl w:val="0"/>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u w:val="single"/>
        </w:rPr>
        <w:lastRenderedPageBreak/>
        <w:t>Cena služby</w:t>
      </w:r>
    </w:p>
    <w:p w14:paraId="00000030" w14:textId="20A7DF27" w:rsidR="00DA2EC4" w:rsidRDefault="00DE5FFF">
      <w:pPr>
        <w:numPr>
          <w:ilvl w:val="1"/>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Měsíční cena služby činí 1 123,00 Kč bez DPH (tj. 1358,83 Kč vč. DPH) od 1.</w:t>
      </w:r>
      <w:r w:rsidR="00F10F62">
        <w:rPr>
          <w:rFonts w:ascii="Georgia" w:eastAsia="Georgia" w:hAnsi="Georgia" w:cs="Georgia"/>
          <w:color w:val="000000"/>
          <w:sz w:val="22"/>
          <w:szCs w:val="22"/>
        </w:rPr>
        <w:t xml:space="preserve"> </w:t>
      </w:r>
      <w:r>
        <w:rPr>
          <w:rFonts w:ascii="Georgia" w:eastAsia="Georgia" w:hAnsi="Georgia" w:cs="Georgia"/>
          <w:color w:val="000000"/>
          <w:sz w:val="22"/>
          <w:szCs w:val="22"/>
        </w:rPr>
        <w:t>7.</w:t>
      </w:r>
      <w:r w:rsidR="00F10F62">
        <w:rPr>
          <w:rFonts w:ascii="Georgia" w:eastAsia="Georgia" w:hAnsi="Georgia" w:cs="Georgia"/>
          <w:color w:val="000000"/>
          <w:sz w:val="22"/>
          <w:szCs w:val="22"/>
        </w:rPr>
        <w:t xml:space="preserve"> </w:t>
      </w:r>
      <w:r>
        <w:rPr>
          <w:rFonts w:ascii="Georgia" w:eastAsia="Georgia" w:hAnsi="Georgia" w:cs="Georgia"/>
          <w:color w:val="000000"/>
          <w:sz w:val="22"/>
          <w:szCs w:val="22"/>
        </w:rPr>
        <w:t>2022.</w:t>
      </w:r>
    </w:p>
    <w:p w14:paraId="00000031" w14:textId="77777777" w:rsidR="00DA2EC4" w:rsidRDefault="00DE5FFF">
      <w:pPr>
        <w:numPr>
          <w:ilvl w:val="1"/>
          <w:numId w:val="1"/>
        </w:numPr>
        <w:pBdr>
          <w:top w:val="nil"/>
          <w:left w:val="nil"/>
          <w:bottom w:val="nil"/>
          <w:right w:val="nil"/>
          <w:between w:val="nil"/>
        </w:pBdr>
        <w:shd w:val="clear" w:color="auto" w:fill="FFFFFF"/>
        <w:spacing w:after="0" w:line="240" w:lineRule="auto"/>
        <w:rPr>
          <w:rFonts w:ascii="Georgia" w:eastAsia="Georgia" w:hAnsi="Georgia" w:cs="Georgia"/>
          <w:sz w:val="22"/>
          <w:szCs w:val="22"/>
        </w:rPr>
      </w:pPr>
      <w:r>
        <w:rPr>
          <w:rFonts w:ascii="Georgia" w:eastAsia="Georgia" w:hAnsi="Georgia" w:cs="Georgia"/>
          <w:sz w:val="22"/>
          <w:szCs w:val="22"/>
        </w:rPr>
        <w:t>Cena odeslané SMS zprávy činí 0,68 Kč bez DPH (0,8228 Kč vč. DPH)</w:t>
      </w:r>
    </w:p>
    <w:p w14:paraId="00000032" w14:textId="77777777" w:rsidR="00DA2EC4" w:rsidRDefault="00DA2EC4">
      <w:pPr>
        <w:shd w:val="clear" w:color="auto" w:fill="FFFFFF"/>
        <w:spacing w:after="0" w:line="240" w:lineRule="auto"/>
        <w:rPr>
          <w:rFonts w:ascii="Georgia" w:eastAsia="Georgia" w:hAnsi="Georgia" w:cs="Georgia"/>
          <w:sz w:val="22"/>
          <w:szCs w:val="22"/>
          <w:u w:val="single"/>
        </w:rPr>
      </w:pPr>
    </w:p>
    <w:p w14:paraId="00000033" w14:textId="77777777" w:rsidR="00DA2EC4" w:rsidRDefault="00DE5FFF">
      <w:pPr>
        <w:numPr>
          <w:ilvl w:val="0"/>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u w:val="single"/>
        </w:rPr>
        <w:t>Pověřené osoby</w:t>
      </w:r>
    </w:p>
    <w:p w14:paraId="00000034" w14:textId="77777777" w:rsidR="00DA2EC4" w:rsidRDefault="00DE5FFF">
      <w:pPr>
        <w:numPr>
          <w:ilvl w:val="1"/>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Za objednatele je pověřenou osobou:</w:t>
      </w:r>
    </w:p>
    <w:p w14:paraId="00000035" w14:textId="26EE42B1" w:rsidR="00DA2EC4" w:rsidRPr="00226EBB" w:rsidRDefault="00DE5FFF">
      <w:pPr>
        <w:pBdr>
          <w:top w:val="nil"/>
          <w:left w:val="nil"/>
          <w:bottom w:val="nil"/>
          <w:right w:val="nil"/>
          <w:between w:val="nil"/>
        </w:pBdr>
        <w:shd w:val="clear" w:color="auto" w:fill="FFFFFF"/>
        <w:spacing w:after="0" w:line="240" w:lineRule="auto"/>
        <w:ind w:left="2232" w:hanging="720"/>
        <w:rPr>
          <w:rFonts w:ascii="Georgia" w:eastAsia="Georgia" w:hAnsi="Georgia" w:cs="Georgia"/>
          <w:color w:val="000000"/>
          <w:sz w:val="22"/>
          <w:szCs w:val="22"/>
        </w:rPr>
      </w:pPr>
      <w:r>
        <w:rPr>
          <w:rFonts w:ascii="Georgia" w:eastAsia="Georgia" w:hAnsi="Georgia" w:cs="Georgia"/>
          <w:color w:val="000000"/>
          <w:sz w:val="22"/>
          <w:szCs w:val="22"/>
        </w:rPr>
        <w:t xml:space="preserve">Jméno: </w:t>
      </w:r>
      <w:r w:rsidR="00293B54">
        <w:rPr>
          <w:rFonts w:ascii="Georgia" w:eastAsia="Georgia" w:hAnsi="Georgia" w:cs="Georgia"/>
          <w:color w:val="000000"/>
          <w:sz w:val="22"/>
          <w:szCs w:val="22"/>
        </w:rPr>
        <w:t>xxx</w:t>
      </w:r>
      <w:r>
        <w:rPr>
          <w:rFonts w:ascii="Georgia" w:eastAsia="Georgia" w:hAnsi="Georgia" w:cs="Georgia"/>
          <w:color w:val="000000"/>
          <w:sz w:val="22"/>
          <w:szCs w:val="22"/>
        </w:rPr>
        <w:t xml:space="preserve"> </w:t>
      </w:r>
      <w:r w:rsidR="00293B54">
        <w:rPr>
          <w:rFonts w:ascii="Georgia" w:eastAsia="Georgia" w:hAnsi="Georgia" w:cs="Georgia"/>
          <w:color w:val="000000"/>
          <w:sz w:val="22"/>
          <w:szCs w:val="22"/>
        </w:rPr>
        <w:t>xxxxxxx</w:t>
      </w:r>
      <w:r>
        <w:rPr>
          <w:rFonts w:ascii="Georgia" w:eastAsia="Georgia" w:hAnsi="Georgia" w:cs="Georgia"/>
          <w:sz w:val="22"/>
          <w:szCs w:val="22"/>
        </w:rPr>
        <w:t xml:space="preserve">  Mail </w:t>
      </w:r>
      <w:r w:rsidR="00226EBB">
        <w:rPr>
          <w:rFonts w:ascii="Georgia" w:eastAsia="Georgia" w:hAnsi="Georgia" w:cs="Georgia"/>
          <w:color w:val="000000"/>
          <w:sz w:val="22"/>
          <w:szCs w:val="22"/>
        </w:rPr>
        <w:t xml:space="preserve">: </w:t>
      </w:r>
      <w:hyperlink r:id="rId9" w:history="1">
        <w:r w:rsidR="00293B54">
          <w:rPr>
            <w:rStyle w:val="Hypertextovodkaz"/>
            <w:rFonts w:ascii="Georgia" w:eastAsia="Georgia" w:hAnsi="Georgia" w:cs="Georgia"/>
            <w:sz w:val="22"/>
            <w:szCs w:val="22"/>
          </w:rPr>
          <w:t>xxxxxxxxxxxxxxxxxxxxx</w:t>
        </w:r>
      </w:hyperlink>
      <w:r w:rsidR="00226EBB">
        <w:rPr>
          <w:rFonts w:ascii="Georgia" w:eastAsia="Georgia" w:hAnsi="Georgia" w:cs="Georgia"/>
          <w:color w:val="000000"/>
          <w:sz w:val="22"/>
          <w:szCs w:val="22"/>
        </w:rPr>
        <w:t xml:space="preserve"> </w:t>
      </w:r>
      <w:r>
        <w:rPr>
          <w:rFonts w:ascii="Georgia" w:eastAsia="Georgia" w:hAnsi="Georgia" w:cs="Georgia"/>
          <w:sz w:val="22"/>
          <w:szCs w:val="22"/>
        </w:rPr>
        <w:t xml:space="preserve"> </w:t>
      </w:r>
      <w:r>
        <w:rPr>
          <w:rFonts w:ascii="Georgia" w:eastAsia="Georgia" w:hAnsi="Georgia" w:cs="Georgia"/>
          <w:color w:val="000000"/>
          <w:sz w:val="22"/>
          <w:szCs w:val="22"/>
        </w:rPr>
        <w:t xml:space="preserve">Tel:  </w:t>
      </w:r>
      <w:r w:rsidR="00293B54">
        <w:rPr>
          <w:rFonts w:ascii="Georgia" w:eastAsia="Georgia" w:hAnsi="Georgia" w:cs="Georgia"/>
          <w:color w:val="000000"/>
          <w:sz w:val="22"/>
          <w:szCs w:val="22"/>
        </w:rPr>
        <w:t>xxx xxx xxx</w:t>
      </w:r>
    </w:p>
    <w:p w14:paraId="00000036" w14:textId="77777777" w:rsidR="00DA2EC4" w:rsidRDefault="00DA2EC4">
      <w:pPr>
        <w:pBdr>
          <w:top w:val="nil"/>
          <w:left w:val="nil"/>
          <w:bottom w:val="nil"/>
          <w:right w:val="nil"/>
          <w:between w:val="nil"/>
        </w:pBdr>
        <w:shd w:val="clear" w:color="auto" w:fill="FFFFFF"/>
        <w:spacing w:after="0" w:line="240" w:lineRule="auto"/>
        <w:ind w:left="2232" w:hanging="720"/>
        <w:rPr>
          <w:rFonts w:ascii="Georgia" w:eastAsia="Georgia" w:hAnsi="Georgia" w:cs="Georgia"/>
          <w:sz w:val="22"/>
          <w:szCs w:val="22"/>
        </w:rPr>
      </w:pPr>
    </w:p>
    <w:p w14:paraId="00000037" w14:textId="77777777" w:rsidR="00DA2EC4" w:rsidRDefault="00DE5FFF">
      <w:pPr>
        <w:numPr>
          <w:ilvl w:val="1"/>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Za zhotovitele je pověřenou osobou:</w:t>
      </w:r>
    </w:p>
    <w:p w14:paraId="00000038" w14:textId="435BD3A5" w:rsidR="00DA2EC4" w:rsidRDefault="00DE5FFF">
      <w:pPr>
        <w:pBdr>
          <w:top w:val="nil"/>
          <w:left w:val="nil"/>
          <w:bottom w:val="nil"/>
          <w:right w:val="nil"/>
          <w:between w:val="nil"/>
        </w:pBdr>
        <w:shd w:val="clear" w:color="auto" w:fill="FFFFFF"/>
        <w:spacing w:after="0" w:line="240" w:lineRule="auto"/>
        <w:ind w:left="2232" w:hanging="720"/>
        <w:rPr>
          <w:rFonts w:ascii="Georgia" w:eastAsia="Georgia" w:hAnsi="Georgia" w:cs="Georgia"/>
          <w:color w:val="000000"/>
          <w:sz w:val="22"/>
          <w:szCs w:val="22"/>
        </w:rPr>
      </w:pPr>
      <w:r>
        <w:rPr>
          <w:rFonts w:ascii="Georgia" w:eastAsia="Georgia" w:hAnsi="Georgia" w:cs="Georgia"/>
          <w:color w:val="000000"/>
          <w:sz w:val="22"/>
          <w:szCs w:val="22"/>
        </w:rPr>
        <w:t xml:space="preserve">Jméno:  </w:t>
      </w:r>
      <w:r w:rsidR="00293B54">
        <w:rPr>
          <w:rFonts w:ascii="Georgia" w:eastAsia="Georgia" w:hAnsi="Georgia" w:cs="Georgia"/>
          <w:color w:val="000000"/>
          <w:sz w:val="22"/>
          <w:szCs w:val="22"/>
        </w:rPr>
        <w:t>xxxx</w:t>
      </w:r>
      <w:r>
        <w:rPr>
          <w:rFonts w:ascii="Georgia" w:eastAsia="Georgia" w:hAnsi="Georgia" w:cs="Georgia"/>
          <w:color w:val="000000"/>
          <w:sz w:val="22"/>
          <w:szCs w:val="22"/>
        </w:rPr>
        <w:t xml:space="preserve"> </w:t>
      </w:r>
      <w:r w:rsidR="00293B54">
        <w:rPr>
          <w:rFonts w:ascii="Georgia" w:eastAsia="Georgia" w:hAnsi="Georgia" w:cs="Georgia"/>
          <w:color w:val="000000"/>
          <w:sz w:val="22"/>
          <w:szCs w:val="22"/>
        </w:rPr>
        <w:t>xxx</w:t>
      </w:r>
      <w:r>
        <w:rPr>
          <w:rFonts w:ascii="Georgia" w:eastAsia="Georgia" w:hAnsi="Georgia" w:cs="Georgia"/>
          <w:color w:val="000000"/>
          <w:sz w:val="22"/>
          <w:szCs w:val="22"/>
        </w:rPr>
        <w:t xml:space="preserve"> </w:t>
      </w:r>
      <w:r w:rsidR="00293B54">
        <w:rPr>
          <w:rFonts w:ascii="Georgia" w:eastAsia="Georgia" w:hAnsi="Georgia" w:cs="Georgia"/>
          <w:color w:val="000000"/>
          <w:sz w:val="22"/>
          <w:szCs w:val="22"/>
        </w:rPr>
        <w:t>xxxxxxxx</w:t>
      </w:r>
      <w:r>
        <w:rPr>
          <w:rFonts w:ascii="Georgia" w:eastAsia="Georgia" w:hAnsi="Georgia" w:cs="Georgia"/>
          <w:color w:val="000000"/>
          <w:sz w:val="22"/>
          <w:szCs w:val="22"/>
        </w:rPr>
        <w:t xml:space="preserve"> </w:t>
      </w:r>
      <w:r>
        <w:rPr>
          <w:rFonts w:ascii="Georgia" w:eastAsia="Georgia" w:hAnsi="Georgia" w:cs="Georgia"/>
          <w:sz w:val="22"/>
          <w:szCs w:val="22"/>
        </w:rPr>
        <w:t xml:space="preserve"> Mail: </w:t>
      </w:r>
      <w:hyperlink r:id="rId10">
        <w:r w:rsidR="00293B54">
          <w:rPr>
            <w:rFonts w:ascii="Georgia" w:eastAsia="Georgia" w:hAnsi="Georgia" w:cs="Georgia"/>
            <w:color w:val="1155CC"/>
            <w:sz w:val="22"/>
            <w:szCs w:val="22"/>
            <w:u w:val="single"/>
          </w:rPr>
          <w:t>xxxxxxxxxxxxxxxxxx</w:t>
        </w:r>
      </w:hyperlink>
      <w:r>
        <w:rPr>
          <w:rFonts w:ascii="Georgia" w:eastAsia="Georgia" w:hAnsi="Georgia" w:cs="Georgia"/>
          <w:sz w:val="22"/>
          <w:szCs w:val="22"/>
        </w:rPr>
        <w:t xml:space="preserve">, Tel: </w:t>
      </w:r>
      <w:r w:rsidR="00293B54">
        <w:rPr>
          <w:rFonts w:ascii="Georgia" w:eastAsia="Georgia" w:hAnsi="Georgia" w:cs="Georgia"/>
          <w:sz w:val="22"/>
          <w:szCs w:val="22"/>
        </w:rPr>
        <w:t>xxx xxx xxx</w:t>
      </w:r>
      <w:r>
        <w:rPr>
          <w:rFonts w:ascii="Georgia" w:eastAsia="Georgia" w:hAnsi="Georgia" w:cs="Georgia"/>
          <w:sz w:val="22"/>
          <w:szCs w:val="22"/>
        </w:rPr>
        <w:t xml:space="preserve"> </w:t>
      </w:r>
      <w:hyperlink r:id="rId11">
        <w:r w:rsidR="00293B54">
          <w:rPr>
            <w:rFonts w:ascii="Georgia" w:eastAsia="Georgia" w:hAnsi="Georgia" w:cs="Georgia"/>
            <w:color w:val="0563C1"/>
            <w:sz w:val="22"/>
            <w:szCs w:val="22"/>
          </w:rPr>
          <w:t>xxxxxxxxxxxxxxxxxxxxxxxxxxxxxxxxxxxxxxxx</w:t>
        </w:r>
      </w:hyperlink>
      <w:r>
        <w:rPr>
          <w:rFonts w:ascii="Georgia" w:eastAsia="Georgia" w:hAnsi="Georgia" w:cs="Georgia"/>
          <w:color w:val="000000"/>
          <w:sz w:val="22"/>
          <w:szCs w:val="22"/>
        </w:rPr>
        <w:t xml:space="preserve"> </w:t>
      </w:r>
      <w:r>
        <w:rPr>
          <w:rFonts w:ascii="Georgia" w:eastAsia="Georgia" w:hAnsi="Georgia" w:cs="Georgia"/>
          <w:color w:val="000000"/>
          <w:sz w:val="22"/>
          <w:szCs w:val="22"/>
        </w:rPr>
        <w:br/>
      </w:r>
    </w:p>
    <w:p w14:paraId="00000039" w14:textId="77777777" w:rsidR="00DA2EC4" w:rsidRDefault="00DE5FFF">
      <w:pPr>
        <w:numPr>
          <w:ilvl w:val="1"/>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V případě, že dojde u některé ze smluvních stran ke změně pověřené osoby, oznámí změnu písemně druhé smluvní straně. Účinnost změny vůči druhé smluvní straně nastává okamžikem doručení tohoto oznámení. Změna pověřené osoby se nepovažuje za změnu této smlouvy.</w:t>
      </w:r>
    </w:p>
    <w:p w14:paraId="0000003A" w14:textId="77777777" w:rsidR="00DA2EC4" w:rsidRDefault="00DA2EC4">
      <w:pPr>
        <w:shd w:val="clear" w:color="auto" w:fill="FFFFFF"/>
        <w:spacing w:after="0" w:line="240" w:lineRule="auto"/>
        <w:rPr>
          <w:rFonts w:ascii="Georgia" w:eastAsia="Georgia" w:hAnsi="Georgia" w:cs="Georgia"/>
          <w:sz w:val="22"/>
          <w:szCs w:val="22"/>
        </w:rPr>
      </w:pPr>
    </w:p>
    <w:p w14:paraId="0000003B" w14:textId="77777777" w:rsidR="00DA2EC4" w:rsidRDefault="00DE5FFF">
      <w:pPr>
        <w:keepNext/>
        <w:numPr>
          <w:ilvl w:val="0"/>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u w:val="single"/>
        </w:rPr>
        <w:t>Závěrečná ustanovení</w:t>
      </w:r>
    </w:p>
    <w:p w14:paraId="0000003C" w14:textId="77777777" w:rsidR="00DA2EC4" w:rsidRDefault="00DE5FFF">
      <w:pPr>
        <w:keepNext/>
        <w:numPr>
          <w:ilvl w:val="1"/>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Tato specifikace je platná a účinná okamžikem jejího podpisu oběma smluvními stranami a nahrazuje všechny případné předchozí verze této specifikace.</w:t>
      </w:r>
    </w:p>
    <w:p w14:paraId="0000003D" w14:textId="77777777" w:rsidR="00DA2EC4" w:rsidRDefault="00DE5FFF">
      <w:pPr>
        <w:shd w:val="clear" w:color="auto" w:fill="FFFFFF"/>
        <w:spacing w:after="0" w:line="240" w:lineRule="auto"/>
        <w:rPr>
          <w:rFonts w:ascii="Georgia" w:eastAsia="Georgia" w:hAnsi="Georgia" w:cs="Georgia"/>
          <w:sz w:val="22"/>
          <w:szCs w:val="22"/>
        </w:rPr>
      </w:pPr>
      <w:r>
        <w:rPr>
          <w:rFonts w:ascii="Georgia" w:eastAsia="Georgia" w:hAnsi="Georgia" w:cs="Georgia"/>
          <w:sz w:val="22"/>
          <w:szCs w:val="22"/>
        </w:rPr>
        <w:br/>
      </w:r>
      <w:r>
        <w:rPr>
          <w:rFonts w:ascii="Georgia" w:eastAsia="Georgia" w:hAnsi="Georgia" w:cs="Georgia"/>
          <w:sz w:val="22"/>
          <w:szCs w:val="22"/>
        </w:rPr>
        <w:br/>
      </w:r>
    </w:p>
    <w:p w14:paraId="0000003E" w14:textId="714490F3" w:rsidR="00DA2EC4" w:rsidRDefault="00DE5FFF">
      <w:pPr>
        <w:ind w:firstLine="720"/>
        <w:rPr>
          <w:rFonts w:ascii="Georgia" w:eastAsia="Georgia" w:hAnsi="Georgia" w:cs="Georgia"/>
          <w:sz w:val="22"/>
          <w:szCs w:val="22"/>
        </w:rPr>
      </w:pPr>
      <w:r>
        <w:rPr>
          <w:rFonts w:ascii="Georgia" w:eastAsia="Georgia" w:hAnsi="Georgia" w:cs="Georgia"/>
          <w:sz w:val="22"/>
          <w:szCs w:val="22"/>
        </w:rPr>
        <w:t xml:space="preserve">V Brně dne </w:t>
      </w:r>
      <w:r w:rsidR="00293B54">
        <w:rPr>
          <w:rFonts w:ascii="Georgia" w:eastAsia="Georgia" w:hAnsi="Georgia" w:cs="Georgia"/>
          <w:sz w:val="22"/>
          <w:szCs w:val="22"/>
        </w:rPr>
        <w:t>25. 5. 2022</w:t>
      </w:r>
      <w:r>
        <w:rPr>
          <w:rFonts w:ascii="Georgia" w:eastAsia="Georgia" w:hAnsi="Georgia" w:cs="Georgia"/>
          <w:sz w:val="22"/>
          <w:szCs w:val="22"/>
        </w:rPr>
        <w:tab/>
      </w:r>
      <w:r>
        <w:rPr>
          <w:rFonts w:ascii="Georgia" w:eastAsia="Georgia" w:hAnsi="Georgia" w:cs="Georgia"/>
          <w:sz w:val="22"/>
          <w:szCs w:val="22"/>
        </w:rPr>
        <w:tab/>
      </w:r>
      <w:bookmarkStart w:id="0" w:name="_GoBack"/>
      <w:bookmarkEnd w:id="0"/>
      <w:r>
        <w:rPr>
          <w:rFonts w:ascii="Georgia" w:eastAsia="Georgia" w:hAnsi="Georgia" w:cs="Georgia"/>
          <w:sz w:val="22"/>
          <w:szCs w:val="22"/>
        </w:rPr>
        <w:t>V</w:t>
      </w:r>
      <w:r w:rsidR="00226EBB">
        <w:rPr>
          <w:rFonts w:ascii="Georgia" w:eastAsia="Georgia" w:hAnsi="Georgia" w:cs="Georgia"/>
          <w:sz w:val="22"/>
          <w:szCs w:val="22"/>
        </w:rPr>
        <w:t> Brandýse n.L.-St.Boleslavi</w:t>
      </w:r>
      <w:r>
        <w:rPr>
          <w:rFonts w:ascii="Georgia" w:eastAsia="Georgia" w:hAnsi="Georgia" w:cs="Georgia"/>
          <w:sz w:val="22"/>
          <w:szCs w:val="22"/>
        </w:rPr>
        <w:t xml:space="preserve"> dne </w:t>
      </w:r>
      <w:r w:rsidR="00293B54">
        <w:rPr>
          <w:rFonts w:ascii="Georgia" w:eastAsia="Georgia" w:hAnsi="Georgia" w:cs="Georgia"/>
          <w:sz w:val="22"/>
          <w:szCs w:val="22"/>
        </w:rPr>
        <w:t>25. 5. 2022</w:t>
      </w:r>
    </w:p>
    <w:p w14:paraId="0000003F" w14:textId="77777777" w:rsidR="00DA2EC4" w:rsidRDefault="00DA2EC4">
      <w:pPr>
        <w:rPr>
          <w:rFonts w:ascii="Georgia" w:eastAsia="Georgia" w:hAnsi="Georgia" w:cs="Georgia"/>
          <w:sz w:val="22"/>
          <w:szCs w:val="22"/>
        </w:rPr>
      </w:pPr>
    </w:p>
    <w:p w14:paraId="00000040" w14:textId="77777777" w:rsidR="00DA2EC4" w:rsidRDefault="00DA2EC4">
      <w:pPr>
        <w:rPr>
          <w:rFonts w:ascii="Georgia" w:eastAsia="Georgia" w:hAnsi="Georgia" w:cs="Georgia"/>
          <w:sz w:val="22"/>
          <w:szCs w:val="22"/>
        </w:rPr>
      </w:pPr>
    </w:p>
    <w:p w14:paraId="6077E34D" w14:textId="77777777" w:rsidR="00226EBB" w:rsidRDefault="00226EBB">
      <w:pPr>
        <w:rPr>
          <w:rFonts w:ascii="Georgia" w:eastAsia="Georgia" w:hAnsi="Georgia" w:cs="Georgia"/>
          <w:sz w:val="22"/>
          <w:szCs w:val="22"/>
        </w:rPr>
      </w:pPr>
    </w:p>
    <w:p w14:paraId="7257E97F" w14:textId="77777777" w:rsidR="00226EBB" w:rsidRDefault="00226EBB">
      <w:pPr>
        <w:rPr>
          <w:rFonts w:ascii="Georgia" w:eastAsia="Georgia" w:hAnsi="Georgia" w:cs="Georgia"/>
          <w:sz w:val="22"/>
          <w:szCs w:val="22"/>
        </w:rPr>
      </w:pPr>
    </w:p>
    <w:p w14:paraId="00000041" w14:textId="77777777" w:rsidR="00DA2EC4" w:rsidRDefault="00DA2EC4">
      <w:pPr>
        <w:rPr>
          <w:rFonts w:ascii="Georgia" w:eastAsia="Georgia" w:hAnsi="Georgia" w:cs="Georgia"/>
          <w:sz w:val="22"/>
          <w:szCs w:val="22"/>
        </w:rPr>
      </w:pPr>
    </w:p>
    <w:p w14:paraId="00000042" w14:textId="77777777" w:rsidR="00DA2EC4" w:rsidRDefault="00DE5FFF">
      <w:pPr>
        <w:ind w:firstLine="720"/>
        <w:rPr>
          <w:rFonts w:ascii="Georgia" w:eastAsia="Georgia" w:hAnsi="Georgia" w:cs="Georgia"/>
          <w:sz w:val="22"/>
          <w:szCs w:val="22"/>
        </w:rPr>
      </w:pPr>
      <w:r>
        <w:rPr>
          <w:rFonts w:ascii="Georgia" w:eastAsia="Georgia" w:hAnsi="Georgia" w:cs="Georgia"/>
          <w:sz w:val="22"/>
          <w:szCs w:val="22"/>
        </w:rPr>
        <w:t>-----------------------------------</w:t>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t>-----------------------------------</w:t>
      </w:r>
    </w:p>
    <w:p w14:paraId="00000043" w14:textId="4E48F8A6" w:rsidR="00DA2EC4" w:rsidRDefault="00DE5FFF">
      <w:pPr>
        <w:spacing w:after="0"/>
        <w:ind w:left="720"/>
        <w:rPr>
          <w:rFonts w:ascii="Georgia" w:eastAsia="Georgia" w:hAnsi="Georgia" w:cs="Georgia"/>
          <w:i/>
          <w:sz w:val="22"/>
          <w:szCs w:val="22"/>
        </w:rPr>
      </w:pPr>
      <w:r>
        <w:rPr>
          <w:rFonts w:ascii="Georgia" w:eastAsia="Georgia" w:hAnsi="Georgia" w:cs="Georgia"/>
          <w:sz w:val="22"/>
          <w:szCs w:val="22"/>
        </w:rPr>
        <w:t>Jiří Šilha, člen představenstva</w:t>
      </w:r>
      <w:r>
        <w:rPr>
          <w:rFonts w:ascii="Georgia" w:eastAsia="Georgia" w:hAnsi="Georgia" w:cs="Georgia"/>
          <w:sz w:val="22"/>
          <w:szCs w:val="22"/>
        </w:rPr>
        <w:tab/>
      </w:r>
      <w:r>
        <w:rPr>
          <w:rFonts w:ascii="Georgia" w:eastAsia="Georgia" w:hAnsi="Georgia" w:cs="Georgia"/>
          <w:sz w:val="22"/>
          <w:szCs w:val="22"/>
        </w:rPr>
        <w:tab/>
      </w:r>
      <w:r w:rsidR="00226EBB">
        <w:rPr>
          <w:rFonts w:ascii="Georgia" w:eastAsia="Georgia" w:hAnsi="Georgia" w:cs="Georgia"/>
          <w:sz w:val="22"/>
          <w:szCs w:val="22"/>
        </w:rPr>
        <w:t>Ing. Vlastislav Janík, ředitel organizace</w:t>
      </w:r>
      <w:r>
        <w:rPr>
          <w:rFonts w:ascii="Georgia" w:eastAsia="Georgia" w:hAnsi="Georgia" w:cs="Georgia"/>
          <w:sz w:val="22"/>
          <w:szCs w:val="22"/>
        </w:rPr>
        <w:tab/>
      </w:r>
      <w:r>
        <w:rPr>
          <w:rFonts w:ascii="Georgia" w:eastAsia="Georgia" w:hAnsi="Georgia" w:cs="Georgia"/>
          <w:i/>
          <w:sz w:val="22"/>
          <w:szCs w:val="22"/>
        </w:rPr>
        <w:t>(Poskytovatel)</w:t>
      </w:r>
      <w:r>
        <w:rPr>
          <w:rFonts w:ascii="Georgia" w:eastAsia="Georgia" w:hAnsi="Georgia" w:cs="Georgia"/>
          <w:i/>
          <w:sz w:val="22"/>
          <w:szCs w:val="22"/>
        </w:rPr>
        <w:tab/>
      </w:r>
      <w:r>
        <w:rPr>
          <w:rFonts w:ascii="Georgia" w:eastAsia="Georgia" w:hAnsi="Georgia" w:cs="Georgia"/>
          <w:i/>
          <w:sz w:val="22"/>
          <w:szCs w:val="22"/>
        </w:rPr>
        <w:tab/>
      </w:r>
      <w:r>
        <w:rPr>
          <w:rFonts w:ascii="Georgia" w:eastAsia="Georgia" w:hAnsi="Georgia" w:cs="Georgia"/>
          <w:i/>
          <w:sz w:val="22"/>
          <w:szCs w:val="22"/>
        </w:rPr>
        <w:tab/>
      </w:r>
      <w:r>
        <w:rPr>
          <w:rFonts w:ascii="Georgia" w:eastAsia="Georgia" w:hAnsi="Georgia" w:cs="Georgia"/>
          <w:i/>
          <w:sz w:val="22"/>
          <w:szCs w:val="22"/>
        </w:rPr>
        <w:tab/>
      </w:r>
      <w:r>
        <w:rPr>
          <w:rFonts w:ascii="Georgia" w:eastAsia="Georgia" w:hAnsi="Georgia" w:cs="Georgia"/>
          <w:i/>
          <w:sz w:val="22"/>
          <w:szCs w:val="22"/>
        </w:rPr>
        <w:tab/>
        <w:t>(Objednatel)</w:t>
      </w:r>
      <w:r>
        <w:rPr>
          <w:rFonts w:ascii="Georgia" w:eastAsia="Georgia" w:hAnsi="Georgia" w:cs="Georgia"/>
          <w:i/>
          <w:sz w:val="22"/>
          <w:szCs w:val="22"/>
        </w:rPr>
        <w:tab/>
      </w:r>
      <w:r>
        <w:rPr>
          <w:rFonts w:ascii="Georgia" w:eastAsia="Georgia" w:hAnsi="Georgia" w:cs="Georgia"/>
          <w:i/>
          <w:sz w:val="22"/>
          <w:szCs w:val="22"/>
        </w:rPr>
        <w:tab/>
      </w:r>
      <w:r>
        <w:rPr>
          <w:rFonts w:ascii="Georgia" w:eastAsia="Georgia" w:hAnsi="Georgia" w:cs="Georgia"/>
          <w:i/>
          <w:sz w:val="22"/>
          <w:szCs w:val="22"/>
        </w:rPr>
        <w:tab/>
      </w:r>
      <w:r>
        <w:rPr>
          <w:rFonts w:ascii="Georgia" w:eastAsia="Georgia" w:hAnsi="Georgia" w:cs="Georgia"/>
          <w:i/>
          <w:sz w:val="22"/>
          <w:szCs w:val="22"/>
        </w:rPr>
        <w:tab/>
      </w:r>
      <w:r>
        <w:rPr>
          <w:rFonts w:ascii="Georgia" w:eastAsia="Georgia" w:hAnsi="Georgia" w:cs="Georgia"/>
          <w:i/>
          <w:sz w:val="22"/>
          <w:szCs w:val="22"/>
        </w:rPr>
        <w:tab/>
      </w:r>
      <w:r>
        <w:rPr>
          <w:rFonts w:ascii="Georgia" w:eastAsia="Georgia" w:hAnsi="Georgia" w:cs="Georgia"/>
          <w:i/>
          <w:sz w:val="22"/>
          <w:szCs w:val="22"/>
        </w:rPr>
        <w:tab/>
      </w:r>
    </w:p>
    <w:sectPr w:rsidR="00DA2EC4">
      <w:headerReference w:type="default" r:id="rId12"/>
      <w:footerReference w:type="default" r:id="rId13"/>
      <w:pgSz w:w="11906" w:h="16838"/>
      <w:pgMar w:top="1418" w:right="1418" w:bottom="1418" w:left="1418" w:header="709"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9C1C39" w14:textId="77777777" w:rsidR="006F15BB" w:rsidRDefault="006F15BB">
      <w:pPr>
        <w:spacing w:after="0" w:line="240" w:lineRule="auto"/>
      </w:pPr>
      <w:r>
        <w:separator/>
      </w:r>
    </w:p>
  </w:endnote>
  <w:endnote w:type="continuationSeparator" w:id="0">
    <w:p w14:paraId="7BA9123D" w14:textId="77777777" w:rsidR="006F15BB" w:rsidRDefault="006F1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45" w14:textId="77777777" w:rsidR="00DA2EC4" w:rsidRDefault="00DE5FFF">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293B54">
      <w:rPr>
        <w:noProof/>
        <w:color w:val="000000"/>
      </w:rPr>
      <w:t>2</w:t>
    </w:r>
    <w:r>
      <w:rPr>
        <w:color w:val="000000"/>
      </w:rPr>
      <w:fldChar w:fldCharType="end"/>
    </w:r>
  </w:p>
  <w:p w14:paraId="00000046" w14:textId="77777777" w:rsidR="00DA2EC4" w:rsidRDefault="00DA2EC4">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5B0DD6" w14:textId="77777777" w:rsidR="006F15BB" w:rsidRDefault="006F15BB">
      <w:pPr>
        <w:spacing w:after="0" w:line="240" w:lineRule="auto"/>
      </w:pPr>
      <w:r>
        <w:separator/>
      </w:r>
    </w:p>
  </w:footnote>
  <w:footnote w:type="continuationSeparator" w:id="0">
    <w:p w14:paraId="73F325AE" w14:textId="77777777" w:rsidR="006F15BB" w:rsidRDefault="006F15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44" w14:textId="77777777" w:rsidR="00DA2EC4" w:rsidRDefault="00DE5FFF">
    <w:pPr>
      <w:pBdr>
        <w:top w:val="nil"/>
        <w:left w:val="nil"/>
        <w:bottom w:val="nil"/>
        <w:right w:val="nil"/>
        <w:between w:val="nil"/>
      </w:pBdr>
      <w:tabs>
        <w:tab w:val="center" w:pos="4536"/>
        <w:tab w:val="right" w:pos="9072"/>
      </w:tabs>
      <w:spacing w:after="0" w:line="240" w:lineRule="auto"/>
      <w:jc w:val="right"/>
      <w:rPr>
        <w:color w:val="000000"/>
        <w:sz w:val="16"/>
        <w:szCs w:val="16"/>
      </w:rPr>
    </w:pPr>
    <w:r>
      <w:rPr>
        <w:color w:val="000000"/>
        <w:sz w:val="16"/>
        <w:szCs w:val="16"/>
      </w:rPr>
      <w:t>SH-S-CZ – Specifikace služby Tritius - 20200221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6279C4"/>
    <w:multiLevelType w:val="multilevel"/>
    <w:tmpl w:val="43E86F38"/>
    <w:lvl w:ilvl="0">
      <w:start w:val="1"/>
      <w:numFmt w:val="decimal"/>
      <w:lvlText w:val="%1."/>
      <w:lvlJc w:val="left"/>
      <w:pPr>
        <w:ind w:left="360" w:hanging="360"/>
      </w:pPr>
      <w:rPr>
        <w:sz w:val="24"/>
        <w:szCs w:val="24"/>
      </w:rPr>
    </w:lvl>
    <w:lvl w:ilvl="1">
      <w:start w:val="1"/>
      <w:numFmt w:val="decimal"/>
      <w:lvlText w:val="%1.%2."/>
      <w:lvlJc w:val="left"/>
      <w:pPr>
        <w:ind w:left="792" w:hanging="432"/>
      </w:pPr>
      <w:rPr>
        <w:sz w:val="18"/>
        <w:szCs w:val="18"/>
      </w:rPr>
    </w:lvl>
    <w:lvl w:ilvl="2">
      <w:start w:val="1"/>
      <w:numFmt w:val="decimal"/>
      <w:lvlText w:val="%1.%2.%3."/>
      <w:lvlJc w:val="left"/>
      <w:pPr>
        <w:ind w:left="1224" w:hanging="504"/>
      </w:pPr>
      <w:rPr>
        <w:sz w:val="18"/>
        <w:szCs w:val="18"/>
      </w:rPr>
    </w:lvl>
    <w:lvl w:ilvl="3">
      <w:start w:val="1"/>
      <w:numFmt w:val="decimal"/>
      <w:lvlText w:val="%1.%2.%3.%4."/>
      <w:lvlJc w:val="left"/>
      <w:pPr>
        <w:ind w:left="1728" w:hanging="647"/>
      </w:pPr>
      <w:rPr>
        <w:sz w:val="18"/>
        <w:szCs w:val="18"/>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DA2EC4"/>
    <w:rsid w:val="000D3801"/>
    <w:rsid w:val="00226EBB"/>
    <w:rsid w:val="00293B54"/>
    <w:rsid w:val="003371F8"/>
    <w:rsid w:val="004C46DA"/>
    <w:rsid w:val="006F15BB"/>
    <w:rsid w:val="00CE69CC"/>
    <w:rsid w:val="00DA2EC4"/>
    <w:rsid w:val="00DE5FFF"/>
    <w:rsid w:val="00E06862"/>
    <w:rsid w:val="00F10F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1"/>
        <w:szCs w:val="21"/>
        <w:lang w:val="cs-CZ" w:eastAsia="cs-CZ"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keepLines/>
      <w:spacing w:before="320" w:after="80" w:line="240" w:lineRule="auto"/>
      <w:jc w:val="center"/>
      <w:outlineLvl w:val="0"/>
    </w:pPr>
    <w:rPr>
      <w:color w:val="2E75B5"/>
      <w:sz w:val="40"/>
      <w:szCs w:val="40"/>
    </w:rPr>
  </w:style>
  <w:style w:type="paragraph" w:styleId="Nadpis2">
    <w:name w:val="heading 2"/>
    <w:basedOn w:val="Normln"/>
    <w:next w:val="Normln"/>
    <w:pPr>
      <w:keepNext/>
      <w:keepLines/>
      <w:spacing w:before="160" w:after="40" w:line="240" w:lineRule="auto"/>
      <w:jc w:val="center"/>
      <w:outlineLvl w:val="1"/>
    </w:pPr>
    <w:rPr>
      <w:sz w:val="32"/>
      <w:szCs w:val="32"/>
    </w:rPr>
  </w:style>
  <w:style w:type="paragraph" w:styleId="Nadpis3">
    <w:name w:val="heading 3"/>
    <w:basedOn w:val="Normln"/>
    <w:next w:val="Normln"/>
    <w:pPr>
      <w:keepNext/>
      <w:keepLines/>
      <w:spacing w:before="160" w:after="0" w:line="240" w:lineRule="auto"/>
      <w:outlineLvl w:val="2"/>
    </w:pPr>
    <w:rPr>
      <w:sz w:val="32"/>
      <w:szCs w:val="32"/>
    </w:rPr>
  </w:style>
  <w:style w:type="paragraph" w:styleId="Nadpis4">
    <w:name w:val="heading 4"/>
    <w:basedOn w:val="Normln"/>
    <w:next w:val="Normln"/>
    <w:pPr>
      <w:keepNext/>
      <w:keepLines/>
      <w:spacing w:before="80" w:after="0"/>
      <w:outlineLvl w:val="3"/>
    </w:pPr>
    <w:rPr>
      <w:i/>
      <w:sz w:val="30"/>
      <w:szCs w:val="30"/>
    </w:rPr>
  </w:style>
  <w:style w:type="paragraph" w:styleId="Nadpis5">
    <w:name w:val="heading 5"/>
    <w:basedOn w:val="Normln"/>
    <w:next w:val="Normln"/>
    <w:pPr>
      <w:keepNext/>
      <w:keepLines/>
      <w:spacing w:before="40" w:after="0"/>
      <w:outlineLvl w:val="4"/>
    </w:pPr>
    <w:rPr>
      <w:sz w:val="28"/>
      <w:szCs w:val="28"/>
    </w:rPr>
  </w:style>
  <w:style w:type="paragraph" w:styleId="Nadpis6">
    <w:name w:val="heading 6"/>
    <w:basedOn w:val="Normln"/>
    <w:next w:val="Normln"/>
    <w:pPr>
      <w:keepNext/>
      <w:keepLines/>
      <w:spacing w:before="40" w:after="0"/>
      <w:outlineLvl w:val="5"/>
    </w:pPr>
    <w:rPr>
      <w:i/>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pBdr>
        <w:top w:val="single" w:sz="6" w:space="8" w:color="A5A5A5"/>
        <w:bottom w:val="single" w:sz="6" w:space="8" w:color="A5A5A5"/>
      </w:pBdr>
      <w:spacing w:after="400" w:line="240" w:lineRule="auto"/>
      <w:jc w:val="center"/>
    </w:pPr>
    <w:rPr>
      <w:smallCaps/>
      <w:color w:val="44546A"/>
      <w:sz w:val="72"/>
      <w:szCs w:val="72"/>
    </w:rPr>
  </w:style>
  <w:style w:type="paragraph" w:styleId="Podtitul">
    <w:name w:val="Subtitle"/>
    <w:basedOn w:val="Normln"/>
    <w:next w:val="Normln"/>
    <w:pPr>
      <w:jc w:val="center"/>
    </w:pPr>
    <w:rPr>
      <w:color w:val="44546A"/>
      <w:sz w:val="28"/>
      <w:szCs w:val="28"/>
    </w:rPr>
  </w:style>
  <w:style w:type="character" w:styleId="Hypertextovodkaz">
    <w:name w:val="Hyperlink"/>
    <w:basedOn w:val="Standardnpsmoodstavce"/>
    <w:uiPriority w:val="99"/>
    <w:unhideWhenUsed/>
    <w:rsid w:val="00226E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1"/>
        <w:szCs w:val="21"/>
        <w:lang w:val="cs-CZ" w:eastAsia="cs-CZ"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keepLines/>
      <w:spacing w:before="320" w:after="80" w:line="240" w:lineRule="auto"/>
      <w:jc w:val="center"/>
      <w:outlineLvl w:val="0"/>
    </w:pPr>
    <w:rPr>
      <w:color w:val="2E75B5"/>
      <w:sz w:val="40"/>
      <w:szCs w:val="40"/>
    </w:rPr>
  </w:style>
  <w:style w:type="paragraph" w:styleId="Nadpis2">
    <w:name w:val="heading 2"/>
    <w:basedOn w:val="Normln"/>
    <w:next w:val="Normln"/>
    <w:pPr>
      <w:keepNext/>
      <w:keepLines/>
      <w:spacing w:before="160" w:after="40" w:line="240" w:lineRule="auto"/>
      <w:jc w:val="center"/>
      <w:outlineLvl w:val="1"/>
    </w:pPr>
    <w:rPr>
      <w:sz w:val="32"/>
      <w:szCs w:val="32"/>
    </w:rPr>
  </w:style>
  <w:style w:type="paragraph" w:styleId="Nadpis3">
    <w:name w:val="heading 3"/>
    <w:basedOn w:val="Normln"/>
    <w:next w:val="Normln"/>
    <w:pPr>
      <w:keepNext/>
      <w:keepLines/>
      <w:spacing w:before="160" w:after="0" w:line="240" w:lineRule="auto"/>
      <w:outlineLvl w:val="2"/>
    </w:pPr>
    <w:rPr>
      <w:sz w:val="32"/>
      <w:szCs w:val="32"/>
    </w:rPr>
  </w:style>
  <w:style w:type="paragraph" w:styleId="Nadpis4">
    <w:name w:val="heading 4"/>
    <w:basedOn w:val="Normln"/>
    <w:next w:val="Normln"/>
    <w:pPr>
      <w:keepNext/>
      <w:keepLines/>
      <w:spacing w:before="80" w:after="0"/>
      <w:outlineLvl w:val="3"/>
    </w:pPr>
    <w:rPr>
      <w:i/>
      <w:sz w:val="30"/>
      <w:szCs w:val="30"/>
    </w:rPr>
  </w:style>
  <w:style w:type="paragraph" w:styleId="Nadpis5">
    <w:name w:val="heading 5"/>
    <w:basedOn w:val="Normln"/>
    <w:next w:val="Normln"/>
    <w:pPr>
      <w:keepNext/>
      <w:keepLines/>
      <w:spacing w:before="40" w:after="0"/>
      <w:outlineLvl w:val="4"/>
    </w:pPr>
    <w:rPr>
      <w:sz w:val="28"/>
      <w:szCs w:val="28"/>
    </w:rPr>
  </w:style>
  <w:style w:type="paragraph" w:styleId="Nadpis6">
    <w:name w:val="heading 6"/>
    <w:basedOn w:val="Normln"/>
    <w:next w:val="Normln"/>
    <w:pPr>
      <w:keepNext/>
      <w:keepLines/>
      <w:spacing w:before="40" w:after="0"/>
      <w:outlineLvl w:val="5"/>
    </w:pPr>
    <w:rPr>
      <w:i/>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pBdr>
        <w:top w:val="single" w:sz="6" w:space="8" w:color="A5A5A5"/>
        <w:bottom w:val="single" w:sz="6" w:space="8" w:color="A5A5A5"/>
      </w:pBdr>
      <w:spacing w:after="400" w:line="240" w:lineRule="auto"/>
      <w:jc w:val="center"/>
    </w:pPr>
    <w:rPr>
      <w:smallCaps/>
      <w:color w:val="44546A"/>
      <w:sz w:val="72"/>
      <w:szCs w:val="72"/>
    </w:rPr>
  </w:style>
  <w:style w:type="paragraph" w:styleId="Podtitul">
    <w:name w:val="Subtitle"/>
    <w:basedOn w:val="Normln"/>
    <w:next w:val="Normln"/>
    <w:pPr>
      <w:jc w:val="center"/>
    </w:pPr>
    <w:rPr>
      <w:color w:val="44546A"/>
      <w:sz w:val="28"/>
      <w:szCs w:val="28"/>
    </w:rPr>
  </w:style>
  <w:style w:type="character" w:styleId="Hypertextovodkaz">
    <w:name w:val="Hyperlink"/>
    <w:basedOn w:val="Standardnpsmoodstavce"/>
    <w:uiPriority w:val="99"/>
    <w:unhideWhenUsed/>
    <w:rsid w:val="00226E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muzeum.tritius.cz"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jira.tritius.cz/servicedesk/customer/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odpora@tritius.cz" TargetMode="External"/><Relationship Id="rId4" Type="http://schemas.openxmlformats.org/officeDocument/2006/relationships/settings" Target="settings.xml"/><Relationship Id="rId9" Type="http://schemas.openxmlformats.org/officeDocument/2006/relationships/hyperlink" Target="mailto:eva.kryskova@ompv.cz"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502</Words>
  <Characters>2967</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Jitka Vrbová</dc:creator>
  <cp:lastModifiedBy>Jitka Vrbová</cp:lastModifiedBy>
  <cp:revision>3</cp:revision>
  <dcterms:created xsi:type="dcterms:W3CDTF">2022-05-25T14:04:00Z</dcterms:created>
  <dcterms:modified xsi:type="dcterms:W3CDTF">2022-05-25T14:05:00Z</dcterms:modified>
</cp:coreProperties>
</file>