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F29E8" w:rsidRDefault="00B770A5" w:rsidP="008F4DB4">
      <w:pPr>
        <w:ind w:left="14" w:hanging="10"/>
        <w:jc w:val="left"/>
      </w:pPr>
      <w:r>
        <w:rPr>
          <w:sz w:val="28"/>
        </w:rPr>
        <w:t>Mateřská škola 4 pastelky, Praha 4, Sedlčanská 14, IČO: 61384658 se sídlem Sedlčanská</w:t>
      </w:r>
      <w:r w:rsidR="008F4DB4">
        <w:t xml:space="preserve"> 14, Praha 4 - Michle, PSČ 140 00</w:t>
      </w:r>
      <w:r>
        <w:t xml:space="preserve">, kterou zastupuje ředitelka školy </w:t>
      </w:r>
      <w:r w:rsidR="008F4DB4">
        <w:t>xxxxxxxxxxxxxxxxx</w:t>
      </w:r>
    </w:p>
    <w:p w:rsidR="001F29E8" w:rsidRDefault="00B770A5">
      <w:pPr>
        <w:spacing w:after="193"/>
        <w:ind w:left="14" w:hanging="10"/>
        <w:jc w:val="left"/>
      </w:pPr>
      <w:r>
        <w:rPr>
          <w:sz w:val="28"/>
        </w:rPr>
        <w:t>(dále jen příkazce) na straně jedné</w:t>
      </w:r>
    </w:p>
    <w:p w:rsidR="001F29E8" w:rsidRDefault="00B770A5">
      <w:pPr>
        <w:spacing w:after="196"/>
        <w:ind w:left="0" w:right="58" w:firstLine="0"/>
        <w:jc w:val="center"/>
      </w:pPr>
      <w:r>
        <w:rPr>
          <w:sz w:val="34"/>
        </w:rPr>
        <w:t>a</w:t>
      </w:r>
    </w:p>
    <w:p w:rsidR="001F29E8" w:rsidRDefault="00B770A5">
      <w:pPr>
        <w:spacing w:after="299"/>
        <w:ind w:left="0" w:right="14"/>
      </w:pPr>
      <w:r>
        <w:t xml:space="preserve">Služby doma, s.r.o., IČO 01635841, se sídlem Praha 3, Ondříčkova 1300/48, zastoupená jednatelem </w:t>
      </w:r>
      <w:r w:rsidR="008F4DB4">
        <w:t>xxxxxxxxxxxxxxxxxxxxxxxxx</w:t>
      </w:r>
      <w:r>
        <w:t>, (dále jen příkazník) na strané druhé</w:t>
      </w:r>
    </w:p>
    <w:p w:rsidR="001F29E8" w:rsidRDefault="00B770A5">
      <w:pPr>
        <w:spacing w:after="892"/>
        <w:ind w:left="0" w:right="58" w:firstLine="0"/>
        <w:jc w:val="center"/>
      </w:pPr>
      <w:r>
        <w:t>podle 52430-2444 zákona 89/2012 Sb. občanského zákoníku uzavřeli tuto</w:t>
      </w:r>
    </w:p>
    <w:p w:rsidR="001F29E8" w:rsidRDefault="00B770A5">
      <w:pPr>
        <w:pStyle w:val="Nadpis1"/>
      </w:pPr>
      <w:r>
        <w:t>smlouvu o vedení mzdové agendy</w:t>
      </w:r>
    </w:p>
    <w:p w:rsidR="001F29E8" w:rsidRDefault="00B770A5">
      <w:pPr>
        <w:spacing w:after="26"/>
        <w:ind w:left="71" w:right="14" w:firstLine="682"/>
      </w:pPr>
      <w:r>
        <w:t>Příkazník se zavazuje poskytovat příkazci službu spočívající ve vedení mzdové agendy příkazce, jež zahrnuje:</w:t>
      </w:r>
    </w:p>
    <w:p w:rsidR="001F29E8" w:rsidRDefault="00B770A5">
      <w:pPr>
        <w:spacing w:after="96"/>
        <w:ind w:left="1085" w:right="14" w:hanging="336"/>
      </w:pPr>
      <w:r>
        <w:t>l . Převzetí podkladů od příkazce v termínu 3-4 kalendářní dny před požadovaným termínem zpracování. Pro potřeby zavedení pracovníků pak vyplněním</w:t>
      </w:r>
      <w:r>
        <w:t xml:space="preserve"> vstupního formuláře pro každého pracovníka (viz. Personální dotazník) v termínu nejpozději 15 kalendářních dní před požadovaným termínem prvního zpracování.</w:t>
      </w:r>
    </w:p>
    <w:p w:rsidR="001F29E8" w:rsidRDefault="00B770A5">
      <w:pPr>
        <w:numPr>
          <w:ilvl w:val="0"/>
          <w:numId w:val="1"/>
        </w:numPr>
        <w:spacing w:after="28"/>
        <w:ind w:left="1009" w:right="14" w:hanging="269"/>
      </w:pPr>
      <w:r>
        <w:t>Prvotní kontrola vstupních podkladů, korekce nesrovnalostí</w:t>
      </w:r>
    </w:p>
    <w:p w:rsidR="001F29E8" w:rsidRDefault="00B770A5">
      <w:pPr>
        <w:numPr>
          <w:ilvl w:val="0"/>
          <w:numId w:val="1"/>
        </w:numPr>
        <w:ind w:left="1009" w:right="14" w:hanging="269"/>
      </w:pPr>
      <w:r>
        <w:t>Zadání vstupních podkladů a jejich zpra</w:t>
      </w:r>
      <w:r>
        <w:t>cováni</w:t>
      </w:r>
    </w:p>
    <w:p w:rsidR="001F29E8" w:rsidRDefault="00B770A5">
      <w:pPr>
        <w:numPr>
          <w:ilvl w:val="0"/>
          <w:numId w:val="1"/>
        </w:numPr>
        <w:ind w:left="1009" w:right="14" w:hanging="269"/>
      </w:pPr>
      <w:r>
        <w:rPr>
          <w:sz w:val="28"/>
        </w:rPr>
        <w:t>Tisk sestav:</w:t>
      </w:r>
    </w:p>
    <w:p w:rsidR="001F29E8" w:rsidRDefault="00B770A5">
      <w:pPr>
        <w:numPr>
          <w:ilvl w:val="1"/>
          <w:numId w:val="1"/>
        </w:numPr>
        <w:ind w:left="1864" w:right="14" w:hanging="423"/>
      </w:pPr>
      <w:r>
        <w:t>výplatních lístků</w:t>
      </w:r>
    </w:p>
    <w:p w:rsidR="001F29E8" w:rsidRDefault="00B770A5">
      <w:pPr>
        <w:numPr>
          <w:ilvl w:val="1"/>
          <w:numId w:val="1"/>
        </w:numPr>
        <w:ind w:left="1864" w:right="14" w:hanging="423"/>
      </w:pPr>
      <w:r>
        <w:t>výplatních listin</w:t>
      </w:r>
    </w:p>
    <w:p w:rsidR="001F29E8" w:rsidRDefault="00B770A5">
      <w:pPr>
        <w:numPr>
          <w:ilvl w:val="1"/>
          <w:numId w:val="1"/>
        </w:numPr>
        <w:ind w:left="1864" w:right="14" w:hanging="423"/>
      </w:pPr>
      <w:r>
        <w:t>hromadného příkazu pro banku</w:t>
      </w:r>
    </w:p>
    <w:p w:rsidR="001F29E8" w:rsidRDefault="00B770A5">
      <w:pPr>
        <w:numPr>
          <w:ilvl w:val="1"/>
          <w:numId w:val="1"/>
        </w:numPr>
        <w:ind w:left="1864" w:right="14" w:hanging="423"/>
      </w:pPr>
      <w:r>
        <w:t>sestav pro potřeby účetnictví, rekapitulace vyplacených mezd a rekapitulace</w:t>
      </w:r>
    </w:p>
    <w:p w:rsidR="001F29E8" w:rsidRDefault="00B770A5">
      <w:pPr>
        <w:pStyle w:val="Nadpis2"/>
        <w:spacing w:after="0"/>
        <w:ind w:left="1854" w:right="0"/>
      </w:pPr>
      <w:r>
        <w:t>ZP a SP</w:t>
      </w:r>
    </w:p>
    <w:p w:rsidR="001F29E8" w:rsidRDefault="00B770A5">
      <w:pPr>
        <w:numPr>
          <w:ilvl w:val="0"/>
          <w:numId w:val="2"/>
        </w:numPr>
        <w:ind w:right="14" w:hanging="413"/>
      </w:pPr>
      <w:r>
        <w:t>srážkových sestav (spoření, pojištění, půjčky, exekuce)</w:t>
      </w:r>
    </w:p>
    <w:p w:rsidR="001F29E8" w:rsidRDefault="00B770A5">
      <w:pPr>
        <w:numPr>
          <w:ilvl w:val="0"/>
          <w:numId w:val="2"/>
        </w:numPr>
        <w:ind w:right="14" w:hanging="413"/>
      </w:pPr>
      <w:r>
        <w:t>výpisů pro zdravotní pojišťovny</w:t>
      </w:r>
    </w:p>
    <w:p w:rsidR="001F29E8" w:rsidRDefault="00B770A5">
      <w:pPr>
        <w:numPr>
          <w:ilvl w:val="0"/>
          <w:numId w:val="2"/>
        </w:numPr>
        <w:ind w:right="14" w:hanging="413"/>
      </w:pPr>
      <w:r>
        <w:t>sestav nemocenských dávek a hlášeni pro sociální zabezpečeni,</w:t>
      </w:r>
    </w:p>
    <w:p w:rsidR="001F29E8" w:rsidRDefault="00B770A5">
      <w:pPr>
        <w:numPr>
          <w:ilvl w:val="0"/>
          <w:numId w:val="2"/>
        </w:numPr>
        <w:spacing w:after="0"/>
        <w:ind w:right="14" w:hanging="413"/>
      </w:pPr>
      <w:r>
        <w:rPr>
          <w:sz w:val="24"/>
        </w:rPr>
        <w:t>mzdové inventury</w:t>
      </w:r>
    </w:p>
    <w:p w:rsidR="001F29E8" w:rsidRDefault="00B770A5">
      <w:pPr>
        <w:numPr>
          <w:ilvl w:val="0"/>
          <w:numId w:val="2"/>
        </w:numPr>
        <w:spacing w:after="278"/>
        <w:ind w:right="14" w:hanging="413"/>
      </w:pPr>
      <w:r>
        <w:t>sestavy dovolených</w:t>
      </w:r>
    </w:p>
    <w:p w:rsidR="001F29E8" w:rsidRDefault="00B770A5">
      <w:pPr>
        <w:numPr>
          <w:ilvl w:val="0"/>
          <w:numId w:val="3"/>
        </w:numPr>
        <w:ind w:right="14" w:hanging="327"/>
      </w:pPr>
      <w:r>
        <w:lastRenderedPageBreak/>
        <w:t>Sledováni a návrhy platových postupů dle platných předpisů</w:t>
      </w:r>
    </w:p>
    <w:p w:rsidR="001F29E8" w:rsidRDefault="00B770A5">
      <w:pPr>
        <w:numPr>
          <w:ilvl w:val="0"/>
          <w:numId w:val="3"/>
        </w:numPr>
        <w:ind w:right="14" w:hanging="327"/>
      </w:pPr>
      <w:r>
        <w:t>Tisk evidenčních a mzdových listů a daňového vyúčtování, tisk zápočtových listů</w:t>
      </w:r>
    </w:p>
    <w:p w:rsidR="001F29E8" w:rsidRDefault="00B770A5">
      <w:pPr>
        <w:numPr>
          <w:ilvl w:val="0"/>
          <w:numId w:val="3"/>
        </w:numPr>
        <w:ind w:right="14" w:hanging="327"/>
      </w:pPr>
      <w:r>
        <w:t>Příkazník zpracuje</w:t>
      </w:r>
      <w:r>
        <w:t xml:space="preserve"> podklady dle bodů I — 6 do 3-4 pracovních dnů.</w:t>
      </w:r>
    </w:p>
    <w:p w:rsidR="001F29E8" w:rsidRDefault="00B770A5">
      <w:pPr>
        <w:spacing w:after="0"/>
        <w:ind w:left="38" w:firstLine="0"/>
        <w:jc w:val="center"/>
      </w:pPr>
      <w:r>
        <w:rPr>
          <w:sz w:val="28"/>
        </w:rPr>
        <w:t>Il.</w:t>
      </w:r>
    </w:p>
    <w:p w:rsidR="001F29E8" w:rsidRDefault="00B770A5">
      <w:pPr>
        <w:spacing w:after="664"/>
        <w:ind w:left="71" w:right="14" w:firstLine="692"/>
      </w:pPr>
      <w:r>
        <w:t>Za sjednání závazku příkazníka (viz. Článek i. Této smlouvy) se příkazce zavazuje platit příkazníkovi měsíčné aktuální cenu, která je od data účinnosti této smlouvy stanovena dle platného ceníku služeb za jeden pracovní poměr na částku Kč 180,- za každý za</w:t>
      </w:r>
      <w:r>
        <w:t xml:space="preserve">počatý měsíc. Za zavedení každého nového pracovníka nebo za zpracování daní v rámci kalendářního roku je jednorázově účtována aktuální cena Kč 180,-. Za poskytnutí </w:t>
      </w:r>
      <w:r w:rsidR="008F4DB4">
        <w:t>cloudového řešení je účtováno 10</w:t>
      </w:r>
      <w:r>
        <w:t xml:space="preserve"> % z ceny zpracování mezd. Administrativní a programátorské </w:t>
      </w:r>
      <w:r>
        <w:t xml:space="preserve">práce nad rámec smlouvy jsou účtovány sazbou 500 Kč za každou započatou </w:t>
      </w:r>
      <w:r>
        <w:rPr>
          <w:vertAlign w:val="superscript"/>
        </w:rPr>
        <w:t>1</w:t>
      </w:r>
      <w:r>
        <w:t>/2 hod. Všechny ceny jsou uvedeny bez DPH.</w:t>
      </w:r>
    </w:p>
    <w:p w:rsidR="001F29E8" w:rsidRDefault="00B770A5">
      <w:pPr>
        <w:spacing w:after="128"/>
        <w:ind w:left="71" w:right="14" w:firstLine="701"/>
      </w:pPr>
      <w:r>
        <w:t xml:space="preserve">1 . </w:t>
      </w:r>
      <w:r>
        <w:t>Příkazce se zavazuje poskytovat příkazníkovi včasné, pravdivé, úplné a přehledné informace a současně mu předkládat veškerý materiál pot</w:t>
      </w:r>
      <w:r>
        <w:t>řebný k řádnému vedení mzdové agendy.</w:t>
      </w:r>
    </w:p>
    <w:p w:rsidR="001F29E8" w:rsidRDefault="00B770A5">
      <w:pPr>
        <w:numPr>
          <w:ilvl w:val="0"/>
          <w:numId w:val="4"/>
        </w:numPr>
        <w:ind w:right="14" w:firstLine="692"/>
      </w:pPr>
      <w:r>
        <w:t>Příkazce zašle 20 dnů před požadovaným termínem prvního zpracování podklady k převzetí mzdové agendy. Lze bud' vyplněním podkladového formuláře za jednotlivé pracovníky nebo náhradou těchto údajů tiskem z dosavadní mzd</w:t>
      </w:r>
      <w:r>
        <w:t>ové agendy, nebo elektronickým nosičem.</w:t>
      </w:r>
    </w:p>
    <w:p w:rsidR="001F29E8" w:rsidRDefault="00B770A5">
      <w:pPr>
        <w:numPr>
          <w:ilvl w:val="0"/>
          <w:numId w:val="4"/>
        </w:numPr>
        <w:spacing w:after="185"/>
        <w:ind w:right="14" w:firstLine="692"/>
      </w:pPr>
      <w:r>
        <w:t>V běžném měsíci příkazce zašle 4 dny před požadovaným termínem zpracování podklady pro zpracování mezd pro jednotlivé pracovníky v elektronické podobě. Je možno dohodnout i jinou podobu předávání dat.</w:t>
      </w:r>
    </w:p>
    <w:p w:rsidR="001F29E8" w:rsidRDefault="00B770A5">
      <w:pPr>
        <w:ind w:left="71" w:right="14" w:firstLine="711"/>
      </w:pPr>
      <w:r>
        <w:t>I . Příkazník s</w:t>
      </w:r>
      <w:r>
        <w:t xml:space="preserve">e zavazuje zachovávat mlčenlivost o všech důležitých skutečnostech </w:t>
      </w:r>
      <w:r>
        <w:rPr>
          <w:noProof/>
        </w:rPr>
        <w:drawing>
          <wp:inline distT="0" distB="0" distL="0" distR="0">
            <wp:extent cx="18297" cy="36578"/>
            <wp:effectExtent l="0" t="0" r="0" b="0"/>
            <wp:docPr id="3550" name="Picture 3550"/>
            <wp:cNvGraphicFramePr/>
            <a:graphic xmlns:a="http://schemas.openxmlformats.org/drawingml/2006/main">
              <a:graphicData uri="http://schemas.openxmlformats.org/drawingml/2006/picture">
                <pic:pic xmlns:pic="http://schemas.openxmlformats.org/drawingml/2006/picture">
                  <pic:nvPicPr>
                    <pic:cNvPr id="3550" name="Picture 3550"/>
                    <pic:cNvPicPr/>
                  </pic:nvPicPr>
                  <pic:blipFill>
                    <a:blip r:embed="rId5"/>
                    <a:stretch>
                      <a:fillRect/>
                    </a:stretch>
                  </pic:blipFill>
                  <pic:spPr>
                    <a:xfrm>
                      <a:off x="0" y="0"/>
                      <a:ext cx="18297" cy="36578"/>
                    </a:xfrm>
                    <a:prstGeom prst="rect">
                      <a:avLst/>
                    </a:prstGeom>
                  </pic:spPr>
                </pic:pic>
              </a:graphicData>
            </a:graphic>
          </wp:inline>
        </w:drawing>
      </w:r>
      <w:r>
        <w:t>které se v součinnosti se zpracováním mzdové agendy od příkazce dozví a to i po skončení smluvního vztahu. Této mlčenlivosti je příkazníka oprávněn zbavit pouze příkazce. Mlčenlivost se ne</w:t>
      </w:r>
      <w:r>
        <w:t>týká skutečností a povinností vycházejících ze zákonného vztahu k institucím zřizovaných státem v rozsahu vyplývajícím z této smlouvy.</w:t>
      </w:r>
    </w:p>
    <w:p w:rsidR="001F29E8" w:rsidRDefault="00B770A5">
      <w:pPr>
        <w:spacing w:after="720"/>
        <w:ind w:left="71" w:right="14" w:firstLine="682"/>
      </w:pPr>
      <w:r>
        <w:t>2. Příkazník odpovídá příkazci za škodu, která mu v souvislosti s vedením mzdové agendy vznikla, pokud ji způsobil příkaz</w:t>
      </w:r>
      <w:r>
        <w:t>ník (či jeho zaměstnanec).</w:t>
      </w:r>
    </w:p>
    <w:p w:rsidR="001F29E8" w:rsidRDefault="00B770A5">
      <w:pPr>
        <w:ind w:left="71" w:right="14" w:firstLine="672"/>
      </w:pPr>
      <w:r>
        <w:t xml:space="preserve">Tato smlouva se uzavírá na dobu neurčitou s účinností od 1.6.2022. Smlouvu lze ukončit bud' dohodou smluvních stran, nebo výpovědi kterékoli ze smluvních stran s výpovědní lhůtou </w:t>
      </w:r>
      <w:r>
        <w:lastRenderedPageBreak/>
        <w:t>3 měsíců, která počíná běžet prvním dnem měsíce ná</w:t>
      </w:r>
      <w:r>
        <w:t>sledujícího po doručení písemné výpovědi druhé strany. Tato smlouva je vyhotovena ve 2 stejnopisech. Změna smlouvy je možná pouze písemnou formou, a to číslovanými dodatky ke smlouvě.</w:t>
      </w:r>
    </w:p>
    <w:p w:rsidR="001F29E8" w:rsidRDefault="00B770A5">
      <w:pPr>
        <w:ind w:left="71" w:right="14"/>
      </w:pPr>
      <w:r>
        <w:t>V Praze dne 1. 6. 2022</w:t>
      </w:r>
    </w:p>
    <w:p w:rsidR="008F4DB4" w:rsidRDefault="008F4DB4">
      <w:pPr>
        <w:spacing w:after="0"/>
        <w:ind w:left="6301" w:firstLine="0"/>
        <w:jc w:val="left"/>
        <w:rPr>
          <w:sz w:val="32"/>
        </w:rPr>
      </w:pPr>
    </w:p>
    <w:p w:rsidR="008F4DB4" w:rsidRDefault="008F4DB4">
      <w:pPr>
        <w:spacing w:after="0"/>
        <w:ind w:left="6301" w:firstLine="0"/>
        <w:jc w:val="left"/>
        <w:rPr>
          <w:sz w:val="32"/>
        </w:rPr>
      </w:pPr>
    </w:p>
    <w:p w:rsidR="008F4DB4" w:rsidRDefault="008F4DB4">
      <w:pPr>
        <w:spacing w:after="0"/>
        <w:ind w:left="6301" w:firstLine="0"/>
        <w:jc w:val="left"/>
        <w:rPr>
          <w:sz w:val="32"/>
        </w:rPr>
      </w:pPr>
    </w:p>
    <w:p w:rsidR="001F29E8" w:rsidRDefault="00B770A5">
      <w:pPr>
        <w:spacing w:after="0"/>
        <w:ind w:left="6301" w:firstLine="0"/>
        <w:jc w:val="left"/>
      </w:pPr>
      <w:r>
        <w:rPr>
          <w:sz w:val="32"/>
        </w:rPr>
        <w:t>Služby doma</w:t>
      </w:r>
      <w:bookmarkStart w:id="0" w:name="_GoBack"/>
      <w:bookmarkEnd w:id="0"/>
      <w:r>
        <w:rPr>
          <w:sz w:val="32"/>
        </w:rPr>
        <w:t xml:space="preserve"> , s.r.o.</w:t>
      </w:r>
    </w:p>
    <w:p w:rsidR="001F29E8" w:rsidRDefault="00B770A5">
      <w:pPr>
        <w:ind w:left="116" w:right="644" w:hanging="10"/>
        <w:jc w:val="left"/>
      </w:pPr>
      <w:r>
        <w:rPr>
          <w:sz w:val="28"/>
        </w:rPr>
        <w:t>MŠ 4 pastelky, Praha 4, Sedlčanská 14</w:t>
      </w:r>
    </w:p>
    <w:sectPr w:rsidR="001F29E8">
      <w:pgSz w:w="11900" w:h="16820"/>
      <w:pgMar w:top="2083" w:right="816" w:bottom="2066" w:left="1191"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02E3DEC"/>
    <w:multiLevelType w:val="hybridMultilevel"/>
    <w:tmpl w:val="77ECF720"/>
    <w:lvl w:ilvl="0" w:tplc="5150CB50">
      <w:start w:val="2"/>
      <w:numFmt w:val="decimal"/>
      <w:lvlText w:val="%1."/>
      <w:lvlJc w:val="left"/>
      <w:pPr>
        <w:ind w:left="71"/>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1" w:tplc="307A17C4">
      <w:start w:val="1"/>
      <w:numFmt w:val="lowerLetter"/>
      <w:lvlText w:val="%2"/>
      <w:lvlJc w:val="left"/>
      <w:pPr>
        <w:ind w:left="1776"/>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2" w:tplc="2B4ED764">
      <w:start w:val="1"/>
      <w:numFmt w:val="lowerRoman"/>
      <w:lvlText w:val="%3"/>
      <w:lvlJc w:val="left"/>
      <w:pPr>
        <w:ind w:left="2496"/>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3" w:tplc="BAF25588">
      <w:start w:val="1"/>
      <w:numFmt w:val="decimal"/>
      <w:lvlText w:val="%4"/>
      <w:lvlJc w:val="left"/>
      <w:pPr>
        <w:ind w:left="3216"/>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4" w:tplc="CB88AD22">
      <w:start w:val="1"/>
      <w:numFmt w:val="lowerLetter"/>
      <w:lvlText w:val="%5"/>
      <w:lvlJc w:val="left"/>
      <w:pPr>
        <w:ind w:left="3936"/>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5" w:tplc="7EACEDE8">
      <w:start w:val="1"/>
      <w:numFmt w:val="lowerRoman"/>
      <w:lvlText w:val="%6"/>
      <w:lvlJc w:val="left"/>
      <w:pPr>
        <w:ind w:left="4656"/>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6" w:tplc="6038B33C">
      <w:start w:val="1"/>
      <w:numFmt w:val="decimal"/>
      <w:lvlText w:val="%7"/>
      <w:lvlJc w:val="left"/>
      <w:pPr>
        <w:ind w:left="5376"/>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7" w:tplc="9E64EDF0">
      <w:start w:val="1"/>
      <w:numFmt w:val="lowerLetter"/>
      <w:lvlText w:val="%8"/>
      <w:lvlJc w:val="left"/>
      <w:pPr>
        <w:ind w:left="6096"/>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8" w:tplc="CD9A26CA">
      <w:start w:val="1"/>
      <w:numFmt w:val="lowerRoman"/>
      <w:lvlText w:val="%9"/>
      <w:lvlJc w:val="left"/>
      <w:pPr>
        <w:ind w:left="6816"/>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abstractNum>
  <w:abstractNum w:abstractNumId="1" w15:restartNumberingAfterBreak="0">
    <w:nsid w:val="405F3758"/>
    <w:multiLevelType w:val="hybridMultilevel"/>
    <w:tmpl w:val="F58A3524"/>
    <w:lvl w:ilvl="0" w:tplc="30882CC0">
      <w:start w:val="5"/>
      <w:numFmt w:val="lowerLetter"/>
      <w:lvlText w:val="%1)"/>
      <w:lvlJc w:val="left"/>
      <w:pPr>
        <w:ind w:left="189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410247E8">
      <w:start w:val="1"/>
      <w:numFmt w:val="lowerLetter"/>
      <w:lvlText w:val="%2"/>
      <w:lvlJc w:val="left"/>
      <w:pPr>
        <w:ind w:left="255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116A791E">
      <w:start w:val="1"/>
      <w:numFmt w:val="lowerRoman"/>
      <w:lvlText w:val="%3"/>
      <w:lvlJc w:val="left"/>
      <w:pPr>
        <w:ind w:left="327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0F162CD8">
      <w:start w:val="1"/>
      <w:numFmt w:val="decimal"/>
      <w:lvlText w:val="%4"/>
      <w:lvlJc w:val="left"/>
      <w:pPr>
        <w:ind w:left="399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C6AC4FB6">
      <w:start w:val="1"/>
      <w:numFmt w:val="lowerLetter"/>
      <w:lvlText w:val="%5"/>
      <w:lvlJc w:val="left"/>
      <w:pPr>
        <w:ind w:left="471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5AFA9628">
      <w:start w:val="1"/>
      <w:numFmt w:val="lowerRoman"/>
      <w:lvlText w:val="%6"/>
      <w:lvlJc w:val="left"/>
      <w:pPr>
        <w:ind w:left="543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2B1E6674">
      <w:start w:val="1"/>
      <w:numFmt w:val="decimal"/>
      <w:lvlText w:val="%7"/>
      <w:lvlJc w:val="left"/>
      <w:pPr>
        <w:ind w:left="615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FE4C6296">
      <w:start w:val="1"/>
      <w:numFmt w:val="lowerLetter"/>
      <w:lvlText w:val="%8"/>
      <w:lvlJc w:val="left"/>
      <w:pPr>
        <w:ind w:left="687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956E0756">
      <w:start w:val="1"/>
      <w:numFmt w:val="lowerRoman"/>
      <w:lvlText w:val="%9"/>
      <w:lvlJc w:val="left"/>
      <w:pPr>
        <w:ind w:left="759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6A405B6B"/>
    <w:multiLevelType w:val="hybridMultilevel"/>
    <w:tmpl w:val="B7C0EC14"/>
    <w:lvl w:ilvl="0" w:tplc="6F3E1490">
      <w:start w:val="5"/>
      <w:numFmt w:val="decimal"/>
      <w:lvlText w:val="%1."/>
      <w:lvlJc w:val="left"/>
      <w:pPr>
        <w:ind w:left="1105"/>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1" w:tplc="417CC756">
      <w:start w:val="1"/>
      <w:numFmt w:val="lowerLetter"/>
      <w:lvlText w:val="%2"/>
      <w:lvlJc w:val="left"/>
      <w:pPr>
        <w:ind w:left="1861"/>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2" w:tplc="D8920004">
      <w:start w:val="1"/>
      <w:numFmt w:val="lowerRoman"/>
      <w:lvlText w:val="%3"/>
      <w:lvlJc w:val="left"/>
      <w:pPr>
        <w:ind w:left="2581"/>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3" w:tplc="D4A41FA4">
      <w:start w:val="1"/>
      <w:numFmt w:val="decimal"/>
      <w:lvlText w:val="%4"/>
      <w:lvlJc w:val="left"/>
      <w:pPr>
        <w:ind w:left="3301"/>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4" w:tplc="2B12A980">
      <w:start w:val="1"/>
      <w:numFmt w:val="lowerLetter"/>
      <w:lvlText w:val="%5"/>
      <w:lvlJc w:val="left"/>
      <w:pPr>
        <w:ind w:left="4021"/>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5" w:tplc="44AE1A80">
      <w:start w:val="1"/>
      <w:numFmt w:val="lowerRoman"/>
      <w:lvlText w:val="%6"/>
      <w:lvlJc w:val="left"/>
      <w:pPr>
        <w:ind w:left="4741"/>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6" w:tplc="E9DA01E8">
      <w:start w:val="1"/>
      <w:numFmt w:val="decimal"/>
      <w:lvlText w:val="%7"/>
      <w:lvlJc w:val="left"/>
      <w:pPr>
        <w:ind w:left="5461"/>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7" w:tplc="7298A4EC">
      <w:start w:val="1"/>
      <w:numFmt w:val="lowerLetter"/>
      <w:lvlText w:val="%8"/>
      <w:lvlJc w:val="left"/>
      <w:pPr>
        <w:ind w:left="6181"/>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8" w:tplc="A174679C">
      <w:start w:val="1"/>
      <w:numFmt w:val="lowerRoman"/>
      <w:lvlText w:val="%9"/>
      <w:lvlJc w:val="left"/>
      <w:pPr>
        <w:ind w:left="6901"/>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abstractNum>
  <w:abstractNum w:abstractNumId="3" w15:restartNumberingAfterBreak="0">
    <w:nsid w:val="7FD67D57"/>
    <w:multiLevelType w:val="hybridMultilevel"/>
    <w:tmpl w:val="AFB09F88"/>
    <w:lvl w:ilvl="0" w:tplc="C1A68974">
      <w:start w:val="2"/>
      <w:numFmt w:val="decimal"/>
      <w:lvlText w:val="%1."/>
      <w:lvlJc w:val="left"/>
      <w:pPr>
        <w:ind w:left="1008"/>
      </w:pPr>
      <w:rPr>
        <w:rFonts w:ascii="Calibri" w:eastAsia="Calibri" w:hAnsi="Calibri" w:cs="Calibri"/>
        <w:b w:val="0"/>
        <w:i w:val="0"/>
        <w:strike w:val="0"/>
        <w:dstrike w:val="0"/>
        <w:color w:val="000000"/>
        <w:sz w:val="30"/>
        <w:szCs w:val="30"/>
        <w:u w:val="none" w:color="000000"/>
        <w:bdr w:val="none" w:sz="0" w:space="0" w:color="auto"/>
        <w:shd w:val="clear" w:color="auto" w:fill="auto"/>
        <w:vertAlign w:val="baseline"/>
      </w:rPr>
    </w:lvl>
    <w:lvl w:ilvl="1" w:tplc="93DCE366">
      <w:start w:val="1"/>
      <w:numFmt w:val="lowerLetter"/>
      <w:lvlText w:val="%2)"/>
      <w:lvlJc w:val="left"/>
      <w:pPr>
        <w:ind w:left="1863"/>
      </w:pPr>
      <w:rPr>
        <w:rFonts w:ascii="Calibri" w:eastAsia="Calibri" w:hAnsi="Calibri" w:cs="Calibri"/>
        <w:b w:val="0"/>
        <w:i w:val="0"/>
        <w:strike w:val="0"/>
        <w:dstrike w:val="0"/>
        <w:color w:val="000000"/>
        <w:sz w:val="30"/>
        <w:szCs w:val="30"/>
        <w:u w:val="none" w:color="000000"/>
        <w:bdr w:val="none" w:sz="0" w:space="0" w:color="auto"/>
        <w:shd w:val="clear" w:color="auto" w:fill="auto"/>
        <w:vertAlign w:val="baseline"/>
      </w:rPr>
    </w:lvl>
    <w:lvl w:ilvl="2" w:tplc="7F9613C0">
      <w:start w:val="1"/>
      <w:numFmt w:val="lowerRoman"/>
      <w:lvlText w:val="%3"/>
      <w:lvlJc w:val="left"/>
      <w:pPr>
        <w:ind w:left="2525"/>
      </w:pPr>
      <w:rPr>
        <w:rFonts w:ascii="Calibri" w:eastAsia="Calibri" w:hAnsi="Calibri" w:cs="Calibri"/>
        <w:b w:val="0"/>
        <w:i w:val="0"/>
        <w:strike w:val="0"/>
        <w:dstrike w:val="0"/>
        <w:color w:val="000000"/>
        <w:sz w:val="30"/>
        <w:szCs w:val="30"/>
        <w:u w:val="none" w:color="000000"/>
        <w:bdr w:val="none" w:sz="0" w:space="0" w:color="auto"/>
        <w:shd w:val="clear" w:color="auto" w:fill="auto"/>
        <w:vertAlign w:val="baseline"/>
      </w:rPr>
    </w:lvl>
    <w:lvl w:ilvl="3" w:tplc="FAC02A0A">
      <w:start w:val="1"/>
      <w:numFmt w:val="decimal"/>
      <w:lvlText w:val="%4"/>
      <w:lvlJc w:val="left"/>
      <w:pPr>
        <w:ind w:left="3245"/>
      </w:pPr>
      <w:rPr>
        <w:rFonts w:ascii="Calibri" w:eastAsia="Calibri" w:hAnsi="Calibri" w:cs="Calibri"/>
        <w:b w:val="0"/>
        <w:i w:val="0"/>
        <w:strike w:val="0"/>
        <w:dstrike w:val="0"/>
        <w:color w:val="000000"/>
        <w:sz w:val="30"/>
        <w:szCs w:val="30"/>
        <w:u w:val="none" w:color="000000"/>
        <w:bdr w:val="none" w:sz="0" w:space="0" w:color="auto"/>
        <w:shd w:val="clear" w:color="auto" w:fill="auto"/>
        <w:vertAlign w:val="baseline"/>
      </w:rPr>
    </w:lvl>
    <w:lvl w:ilvl="4" w:tplc="1226C078">
      <w:start w:val="1"/>
      <w:numFmt w:val="lowerLetter"/>
      <w:lvlText w:val="%5"/>
      <w:lvlJc w:val="left"/>
      <w:pPr>
        <w:ind w:left="3965"/>
      </w:pPr>
      <w:rPr>
        <w:rFonts w:ascii="Calibri" w:eastAsia="Calibri" w:hAnsi="Calibri" w:cs="Calibri"/>
        <w:b w:val="0"/>
        <w:i w:val="0"/>
        <w:strike w:val="0"/>
        <w:dstrike w:val="0"/>
        <w:color w:val="000000"/>
        <w:sz w:val="30"/>
        <w:szCs w:val="30"/>
        <w:u w:val="none" w:color="000000"/>
        <w:bdr w:val="none" w:sz="0" w:space="0" w:color="auto"/>
        <w:shd w:val="clear" w:color="auto" w:fill="auto"/>
        <w:vertAlign w:val="baseline"/>
      </w:rPr>
    </w:lvl>
    <w:lvl w:ilvl="5" w:tplc="652CE15E">
      <w:start w:val="1"/>
      <w:numFmt w:val="lowerRoman"/>
      <w:lvlText w:val="%6"/>
      <w:lvlJc w:val="left"/>
      <w:pPr>
        <w:ind w:left="4685"/>
      </w:pPr>
      <w:rPr>
        <w:rFonts w:ascii="Calibri" w:eastAsia="Calibri" w:hAnsi="Calibri" w:cs="Calibri"/>
        <w:b w:val="0"/>
        <w:i w:val="0"/>
        <w:strike w:val="0"/>
        <w:dstrike w:val="0"/>
        <w:color w:val="000000"/>
        <w:sz w:val="30"/>
        <w:szCs w:val="30"/>
        <w:u w:val="none" w:color="000000"/>
        <w:bdr w:val="none" w:sz="0" w:space="0" w:color="auto"/>
        <w:shd w:val="clear" w:color="auto" w:fill="auto"/>
        <w:vertAlign w:val="baseline"/>
      </w:rPr>
    </w:lvl>
    <w:lvl w:ilvl="6" w:tplc="79A64036">
      <w:start w:val="1"/>
      <w:numFmt w:val="decimal"/>
      <w:lvlText w:val="%7"/>
      <w:lvlJc w:val="left"/>
      <w:pPr>
        <w:ind w:left="5405"/>
      </w:pPr>
      <w:rPr>
        <w:rFonts w:ascii="Calibri" w:eastAsia="Calibri" w:hAnsi="Calibri" w:cs="Calibri"/>
        <w:b w:val="0"/>
        <w:i w:val="0"/>
        <w:strike w:val="0"/>
        <w:dstrike w:val="0"/>
        <w:color w:val="000000"/>
        <w:sz w:val="30"/>
        <w:szCs w:val="30"/>
        <w:u w:val="none" w:color="000000"/>
        <w:bdr w:val="none" w:sz="0" w:space="0" w:color="auto"/>
        <w:shd w:val="clear" w:color="auto" w:fill="auto"/>
        <w:vertAlign w:val="baseline"/>
      </w:rPr>
    </w:lvl>
    <w:lvl w:ilvl="7" w:tplc="A33E2134">
      <w:start w:val="1"/>
      <w:numFmt w:val="lowerLetter"/>
      <w:lvlText w:val="%8"/>
      <w:lvlJc w:val="left"/>
      <w:pPr>
        <w:ind w:left="6125"/>
      </w:pPr>
      <w:rPr>
        <w:rFonts w:ascii="Calibri" w:eastAsia="Calibri" w:hAnsi="Calibri" w:cs="Calibri"/>
        <w:b w:val="0"/>
        <w:i w:val="0"/>
        <w:strike w:val="0"/>
        <w:dstrike w:val="0"/>
        <w:color w:val="000000"/>
        <w:sz w:val="30"/>
        <w:szCs w:val="30"/>
        <w:u w:val="none" w:color="000000"/>
        <w:bdr w:val="none" w:sz="0" w:space="0" w:color="auto"/>
        <w:shd w:val="clear" w:color="auto" w:fill="auto"/>
        <w:vertAlign w:val="baseline"/>
      </w:rPr>
    </w:lvl>
    <w:lvl w:ilvl="8" w:tplc="4A60B7E0">
      <w:start w:val="1"/>
      <w:numFmt w:val="lowerRoman"/>
      <w:lvlText w:val="%9"/>
      <w:lvlJc w:val="left"/>
      <w:pPr>
        <w:ind w:left="6845"/>
      </w:pPr>
      <w:rPr>
        <w:rFonts w:ascii="Calibri" w:eastAsia="Calibri" w:hAnsi="Calibri" w:cs="Calibri"/>
        <w:b w:val="0"/>
        <w:i w:val="0"/>
        <w:strike w:val="0"/>
        <w:dstrike w:val="0"/>
        <w:color w:val="000000"/>
        <w:sz w:val="30"/>
        <w:szCs w:val="30"/>
        <w:u w:val="none" w:color="000000"/>
        <w:bdr w:val="none" w:sz="0" w:space="0" w:color="auto"/>
        <w:shd w:val="clear" w:color="auto" w:fill="auto"/>
        <w:vertAlign w:val="baseline"/>
      </w:r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F29E8"/>
    <w:rsid w:val="001F29E8"/>
    <w:rsid w:val="008F4DB4"/>
    <w:rsid w:val="00B770A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04297A"/>
  <w15:docId w15:val="{4509FD00-170C-48CC-B4AA-CD718A869B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pPr>
      <w:spacing w:after="3"/>
      <w:ind w:left="19" w:firstLine="9"/>
      <w:jc w:val="both"/>
    </w:pPr>
    <w:rPr>
      <w:rFonts w:ascii="Calibri" w:eastAsia="Calibri" w:hAnsi="Calibri" w:cs="Calibri"/>
      <w:color w:val="000000"/>
      <w:sz w:val="26"/>
    </w:rPr>
  </w:style>
  <w:style w:type="paragraph" w:styleId="Nadpis1">
    <w:name w:val="heading 1"/>
    <w:next w:val="Normln"/>
    <w:link w:val="Nadpis1Char"/>
    <w:uiPriority w:val="9"/>
    <w:unhideWhenUsed/>
    <w:qFormat/>
    <w:pPr>
      <w:keepNext/>
      <w:keepLines/>
      <w:spacing w:after="431"/>
      <w:ind w:right="48"/>
      <w:jc w:val="center"/>
      <w:outlineLvl w:val="0"/>
    </w:pPr>
    <w:rPr>
      <w:rFonts w:ascii="Calibri" w:eastAsia="Calibri" w:hAnsi="Calibri" w:cs="Calibri"/>
      <w:color w:val="000000"/>
      <w:sz w:val="38"/>
    </w:rPr>
  </w:style>
  <w:style w:type="paragraph" w:styleId="Nadpis2">
    <w:name w:val="heading 2"/>
    <w:next w:val="Normln"/>
    <w:link w:val="Nadpis2Char"/>
    <w:uiPriority w:val="9"/>
    <w:unhideWhenUsed/>
    <w:qFormat/>
    <w:pPr>
      <w:keepNext/>
      <w:keepLines/>
      <w:spacing w:after="196"/>
      <w:ind w:right="58"/>
      <w:outlineLvl w:val="1"/>
    </w:pPr>
    <w:rPr>
      <w:rFonts w:ascii="Calibri" w:eastAsia="Calibri" w:hAnsi="Calibri" w:cs="Calibri"/>
      <w:color w:val="000000"/>
      <w:sz w:val="3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link w:val="Nadpis2"/>
    <w:rPr>
      <w:rFonts w:ascii="Calibri" w:eastAsia="Calibri" w:hAnsi="Calibri" w:cs="Calibri"/>
      <w:color w:val="000000"/>
      <w:sz w:val="34"/>
    </w:rPr>
  </w:style>
  <w:style w:type="character" w:customStyle="1" w:styleId="Nadpis1Char">
    <w:name w:val="Nadpis 1 Char"/>
    <w:link w:val="Nadpis1"/>
    <w:rPr>
      <w:rFonts w:ascii="Calibri" w:eastAsia="Calibri" w:hAnsi="Calibri" w:cs="Calibri"/>
      <w:color w:val="000000"/>
      <w:sz w:val="3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g"/><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559</Words>
  <Characters>3303</Characters>
  <Application>Microsoft Office Word</Application>
  <DocSecurity>0</DocSecurity>
  <Lines>27</Lines>
  <Paragraphs>7</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Uživatel systému Windows</dc:creator>
  <cp:keywords/>
  <cp:lastModifiedBy>Uživatel systému Windows</cp:lastModifiedBy>
  <cp:revision>4</cp:revision>
  <dcterms:created xsi:type="dcterms:W3CDTF">2022-06-06T11:58:00Z</dcterms:created>
  <dcterms:modified xsi:type="dcterms:W3CDTF">2022-06-06T12:00:00Z</dcterms:modified>
</cp:coreProperties>
</file>