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4177" w:y="156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VYPOŘÁDÁNÍ ZÁVAZKŮ</w:t>
      </w:r>
    </w:p>
    <w:p>
      <w:pPr>
        <w:pStyle w:val="Style5"/>
        <w:framePr w:w="8788" w:h="536" w:hRule="exact" w:wrap="none" w:vAnchor="page" w:hAnchor="page" w:x="1336" w:y="2029"/>
        <w:widowControl w:val="0"/>
        <w:keepNext w:val="0"/>
        <w:keepLines w:val="0"/>
        <w:shd w:val="clear" w:color="auto" w:fill="auto"/>
        <w:bidi w:val="0"/>
        <w:jc w:val="left"/>
        <w:spacing w:before="0" w:after="31" w:line="180" w:lineRule="exact"/>
        <w:ind w:left="240" w:right="0" w:firstLine="0"/>
      </w:pPr>
      <w:r>
        <w:rPr>
          <w:lang w:val="cs-CZ" w:eastAsia="cs-CZ" w:bidi="cs-CZ"/>
          <w:w w:val="100"/>
          <w:color w:val="000000"/>
          <w:position w:val="0"/>
        </w:rPr>
        <w:t>uzavřená dle § 1746, odst. 2 zákona č. 89/2012 Sb., občanský zákoník, v platném znění, mezi těmito</w:t>
      </w:r>
    </w:p>
    <w:p>
      <w:pPr>
        <w:pStyle w:val="Style5"/>
        <w:framePr w:w="8788" w:h="536" w:hRule="exact" w:wrap="none" w:vAnchor="page" w:hAnchor="page" w:x="1336" w:y="2029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20" w:firstLine="0"/>
      </w:pPr>
      <w:r>
        <w:rPr>
          <w:lang w:val="cs-CZ" w:eastAsia="cs-CZ" w:bidi="cs-CZ"/>
          <w:w w:val="100"/>
          <w:color w:val="000000"/>
          <w:position w:val="0"/>
        </w:rPr>
        <w:t>smluvními stranami:</w:t>
      </w:r>
    </w:p>
    <w:p>
      <w:pPr>
        <w:pStyle w:val="Style7"/>
        <w:framePr w:w="8788" w:h="2089" w:hRule="exact" w:wrap="none" w:vAnchor="page" w:hAnchor="page" w:x="1336" w:y="315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80. mateřská škola Plzeň, Úslavská 80, příspěvková organizace</w:t>
      </w:r>
    </w:p>
    <w:p>
      <w:pPr>
        <w:pStyle w:val="Style9"/>
        <w:framePr w:w="8788" w:h="2089" w:hRule="exact" w:wrap="none" w:vAnchor="page" w:hAnchor="page" w:x="1336" w:y="3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 Úslavská 2776/80, Východní Předměstí, 326 00 Plzeň IČO:</w:t>
      </w:r>
    </w:p>
    <w:p>
      <w:pPr>
        <w:pStyle w:val="Style9"/>
        <w:framePr w:w="8788" w:h="2089" w:hRule="exact" w:wrap="none" w:vAnchor="page" w:hAnchor="page" w:x="1336" w:y="3152"/>
        <w:widowControl w:val="0"/>
        <w:keepNext w:val="0"/>
        <w:keepLines w:val="0"/>
        <w:shd w:val="clear" w:color="auto" w:fill="auto"/>
        <w:bidi w:val="0"/>
        <w:jc w:val="left"/>
        <w:spacing w:before="0" w:after="237" w:line="252" w:lineRule="exact"/>
        <w:ind w:left="0" w:right="3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Spisová značka: Pr 626 vedená u Krajského soudu v Plzni Zastoupená: Lenkou Křesťanovou, ředitelkou</w:t>
      </w:r>
    </w:p>
    <w:p>
      <w:pPr>
        <w:pStyle w:val="Style9"/>
        <w:framePr w:w="8788" w:h="2089" w:hRule="exact" w:wrap="none" w:vAnchor="page" w:hAnchor="page" w:x="1336" w:y="3152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0" w:right="3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„objednatel") a</w:t>
      </w:r>
    </w:p>
    <w:p>
      <w:pPr>
        <w:pStyle w:val="Style7"/>
        <w:framePr w:w="8788" w:h="1346" w:hRule="exact" w:wrap="none" w:vAnchor="page" w:hAnchor="page" w:x="1336" w:y="5439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Bonita Group Service s.r.o.</w:t>
      </w:r>
    </w:p>
    <w:p>
      <w:pPr>
        <w:pStyle w:val="Style9"/>
        <w:framePr w:w="8788" w:h="1346" w:hRule="exact" w:wrap="none" w:vAnchor="page" w:hAnchor="page" w:x="1336" w:y="5439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0" w:right="3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Sídlo: Čedlosy 583, 664 24 Drásov Zastoupená: Jaroslavem Lejskem, jednatelem IČO:  DIČ: </w:t>
      </w:r>
    </w:p>
    <w:p>
      <w:pPr>
        <w:pStyle w:val="Style9"/>
        <w:framePr w:wrap="none" w:vAnchor="page" w:hAnchor="page" w:x="1336" w:y="703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„dodavatel")</w:t>
      </w:r>
    </w:p>
    <w:p>
      <w:pPr>
        <w:pStyle w:val="Style11"/>
        <w:framePr w:w="8788" w:h="513" w:hRule="exact" w:wrap="none" w:vAnchor="page" w:hAnchor="page" w:x="1336" w:y="7293"/>
        <w:widowControl w:val="0"/>
        <w:keepNext w:val="0"/>
        <w:keepLines w:val="0"/>
        <w:shd w:val="clear" w:color="auto" w:fill="auto"/>
        <w:bidi w:val="0"/>
        <w:spacing w:before="0" w:after="27" w:line="200" w:lineRule="exact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0"/>
    </w:p>
    <w:p>
      <w:pPr>
        <w:pStyle w:val="Style7"/>
        <w:framePr w:w="8788" w:h="513" w:hRule="exact" w:wrap="none" w:vAnchor="page" w:hAnchor="page" w:x="1336" w:y="7293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skutkového stavu</w:t>
      </w:r>
    </w:p>
    <w:p>
      <w:pPr>
        <w:pStyle w:val="Style9"/>
        <w:numPr>
          <w:ilvl w:val="0"/>
          <w:numId w:val="1"/>
        </w:numPr>
        <w:framePr w:w="8788" w:h="4129" w:hRule="exact" w:wrap="none" w:vAnchor="page" w:hAnchor="page" w:x="1336" w:y="8013"/>
        <w:tabs>
          <w:tab w:leader="none" w:pos="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uzavřely dne 09.12.2021 smlouvy č. MPO-PF-2021-000056 a PO-PF-2021-000056, jejímž předmětem bylo dodání a montáž herního prvku: Lanová pyramida 2.5 m (8 nap. zámků, výška 2.5 m, v.p. do lm) na dětské hřiště.</w:t>
      </w:r>
    </w:p>
    <w:p>
      <w:pPr>
        <w:pStyle w:val="Style9"/>
        <w:numPr>
          <w:ilvl w:val="0"/>
          <w:numId w:val="1"/>
        </w:numPr>
        <w:framePr w:w="8788" w:h="4129" w:hRule="exact" w:wrap="none" w:vAnchor="page" w:hAnchor="page" w:x="1336" w:y="8013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povinným subjektem pro zveřejňování v Registru smluv dle smlouvy uvedené v ustanovení odst. 1. tohoto článku a má povinnost uzavřené smlouvy zveřejnit postupem podle zákona č. 340/2015 Sb., zákon o registru smluv, ve znění pozdějších předpisů (dále jen „ZRS").</w:t>
      </w:r>
    </w:p>
    <w:p>
      <w:pPr>
        <w:pStyle w:val="Style9"/>
        <w:numPr>
          <w:ilvl w:val="0"/>
          <w:numId w:val="1"/>
        </w:numPr>
        <w:framePr w:w="8788" w:h="4129" w:hRule="exact" w:wrap="none" w:vAnchor="page" w:hAnchor="page" w:x="1336" w:y="8013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shodně konstatují, že do okamžiku sjednání těchto smluv neidošlo k uveřejnění smluv uvedených v odst. 1 tohoto článku v Registru smluv, a že jsou si vědomy právních následků s tím spojených.</w:t>
      </w:r>
    </w:p>
    <w:p>
      <w:pPr>
        <w:pStyle w:val="Style9"/>
        <w:numPr>
          <w:ilvl w:val="0"/>
          <w:numId w:val="1"/>
        </w:numPr>
        <w:framePr w:w="8788" w:h="4129" w:hRule="exact" w:wrap="none" w:vAnchor="page" w:hAnchor="page" w:x="1336" w:y="8013"/>
        <w:tabs>
          <w:tab w:leader="none" w:pos="3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zájmu úpravy vzájemných práv a povinností vyplývajících z původně sjednaných smluv, s ohledem na skutečnost, že obě strany jednaly s vědomím závaznosti uzavřených smluv a v souladu s jejím obsahem plnily, co si vzájemně ujednaly, a ve snaze napravit stav vzniklý v důsledku neuveřejnění smluv v Registru smluv, sjednávají smluvní strany tuto novou smlouvu ve znění, jak je dále uvedeno.</w:t>
      </w:r>
    </w:p>
    <w:p>
      <w:pPr>
        <w:pStyle w:val="Style13"/>
        <w:framePr w:w="8788" w:h="1831" w:hRule="exact" w:wrap="none" w:vAnchor="page" w:hAnchor="page" w:x="1336" w:y="12742"/>
        <w:widowControl w:val="0"/>
        <w:keepNext w:val="0"/>
        <w:keepLines w:val="0"/>
        <w:shd w:val="clear" w:color="auto" w:fill="auto"/>
        <w:bidi w:val="0"/>
        <w:spacing w:before="0" w:after="33" w:line="17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7"/>
        <w:framePr w:w="8788" w:h="1831" w:hRule="exact" w:wrap="none" w:vAnchor="page" w:hAnchor="page" w:x="1336" w:y="12742"/>
        <w:widowControl w:val="0"/>
        <w:keepNext w:val="0"/>
        <w:keepLines w:val="0"/>
        <w:shd w:val="clear" w:color="auto" w:fill="auto"/>
        <w:bidi w:val="0"/>
        <w:jc w:val="center"/>
        <w:spacing w:before="0" w:after="206" w:line="18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smluvních stran</w:t>
      </w:r>
    </w:p>
    <w:p>
      <w:pPr>
        <w:pStyle w:val="Style9"/>
        <w:numPr>
          <w:ilvl w:val="0"/>
          <w:numId w:val="3"/>
        </w:numPr>
        <w:framePr w:w="8788" w:h="1831" w:hRule="exact" w:wrap="none" w:vAnchor="page" w:hAnchor="page" w:x="1336" w:y="12742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tímto ujednáním vzájemně stvrzují, že obsah vzájemných práv a povinností, který touto smlouvou nově sjednávají, je zcela a beze zbytku vyjádřen textem původně sjednaných smluv č. MPO-PF-2021-000056 a č. PO-PF-2021-000056, které tvoří pro tyto účely přílohu této smlouvy. Lhůty se rovněž řídí původně sjednanými smlouvami.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5"/>
        </w:numPr>
        <w:framePr w:w="8996" w:h="3374" w:hRule="exact" w:wrap="none" w:vAnchor="page" w:hAnchor="page" w:x="1232" w:y="1968"/>
        <w:tabs>
          <w:tab w:leader="none" w:pos="6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" w:line="27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veškerá vzájemně poskytnutá plnění na základě původně sjednaných smluv považují za plnění dle této smlouvy a že v souvislosti se vzájemně poskytnutým plněním nebudou vzájemně vznášet vůči druhé smluvní straně nároky z titulu bezdůvodného obohacení.</w:t>
      </w:r>
    </w:p>
    <w:p>
      <w:pPr>
        <w:pStyle w:val="Style9"/>
        <w:numPr>
          <w:ilvl w:val="0"/>
          <w:numId w:val="5"/>
        </w:numPr>
        <w:framePr w:w="8996" w:h="3374" w:hRule="exact" w:wrap="none" w:vAnchor="page" w:hAnchor="page" w:x="1232" w:y="1968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7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>
      <w:pPr>
        <w:pStyle w:val="Style9"/>
        <w:numPr>
          <w:ilvl w:val="0"/>
          <w:numId w:val="5"/>
        </w:numPr>
        <w:framePr w:w="8996" w:h="3374" w:hRule="exact" w:wrap="none" w:vAnchor="page" w:hAnchor="page" w:x="1232" w:y="1968"/>
        <w:tabs>
          <w:tab w:leader="none" w:pos="6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strana, která je povinným subjektem pro zveřejňování v registru smluv dle ZRS smlouvy uvedené v čl. I. odst. 1 této smlouvy, se tímto zavazuje (objednatel) druhé smluvní straně k neprodlenému zveřejnění této smlouvy a její kompletní přílohy v registru smluv v souladu s ustanovením § 5 ZRS. V případě, že tak neučiní, je oprávněn zveřejnit tuto smlouvu zveřejnit dodavatel.</w:t>
      </w:r>
    </w:p>
    <w:p>
      <w:pPr>
        <w:pStyle w:val="Style15"/>
        <w:framePr w:w="8996" w:h="2567" w:hRule="exact" w:wrap="none" w:vAnchor="page" w:hAnchor="page" w:x="1232" w:y="5942"/>
        <w:widowControl w:val="0"/>
        <w:keepNext w:val="0"/>
        <w:keepLines w:val="0"/>
        <w:shd w:val="clear" w:color="auto" w:fill="auto"/>
        <w:bidi w:val="0"/>
        <w:spacing w:before="0" w:after="37" w:line="170" w:lineRule="exact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III.</w:t>
      </w:r>
    </w:p>
    <w:p>
      <w:pPr>
        <w:pStyle w:val="Style7"/>
        <w:framePr w:w="8996" w:h="2567" w:hRule="exact" w:wrap="none" w:vAnchor="page" w:hAnchor="page" w:x="1232" w:y="5942"/>
        <w:widowControl w:val="0"/>
        <w:keepNext w:val="0"/>
        <w:keepLines w:val="0"/>
        <w:shd w:val="clear" w:color="auto" w:fill="auto"/>
        <w:bidi w:val="0"/>
        <w:jc w:val="center"/>
        <w:spacing w:before="0" w:after="278" w:line="180" w:lineRule="exact"/>
        <w:ind w:left="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9"/>
        <w:numPr>
          <w:ilvl w:val="0"/>
          <w:numId w:val="7"/>
        </w:numPr>
        <w:framePr w:w="8996" w:h="2567" w:hRule="exact" w:wrap="none" w:vAnchor="page" w:hAnchor="page" w:x="1232" w:y="5942"/>
        <w:tabs>
          <w:tab w:leader="none" w:pos="6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7" w:line="18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 vypořádání závazků nabývá účinnosti dnem uveřejnění v Registru smluv.</w:t>
      </w:r>
    </w:p>
    <w:p>
      <w:pPr>
        <w:pStyle w:val="Style9"/>
        <w:numPr>
          <w:ilvl w:val="0"/>
          <w:numId w:val="7"/>
        </w:numPr>
        <w:framePr w:w="8996" w:h="2567" w:hRule="exact" w:wrap="none" w:vAnchor="page" w:hAnchor="page" w:x="1232" w:y="5942"/>
        <w:tabs>
          <w:tab w:leader="none" w:pos="6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8" w:line="277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 vypořádání závazků je vyhotovena ve dvou stejnopisech, každý s hodnotou originálu, přičemž každá ze smluvních stran obdrží jeden stejnopis.</w:t>
      </w:r>
    </w:p>
    <w:p>
      <w:pPr>
        <w:pStyle w:val="Style5"/>
        <w:framePr w:w="8996" w:h="2567" w:hRule="exact" w:wrap="none" w:vAnchor="page" w:hAnchor="page" w:x="1232" w:y="5942"/>
        <w:widowControl w:val="0"/>
        <w:keepNext w:val="0"/>
        <w:keepLines w:val="0"/>
        <w:shd w:val="clear" w:color="auto" w:fill="auto"/>
        <w:bidi w:val="0"/>
        <w:jc w:val="both"/>
        <w:spacing w:before="0" w:after="204" w:line="180" w:lineRule="exact"/>
        <w:ind w:left="340" w:right="0" w:firstLine="0"/>
      </w:pPr>
      <w:r>
        <w:rPr>
          <w:lang w:val="cs-CZ" w:eastAsia="cs-CZ" w:bidi="cs-CZ"/>
          <w:w w:val="100"/>
          <w:color w:val="000000"/>
          <w:position w:val="0"/>
        </w:rPr>
        <w:t>Příloha: smlouva č. MPO-PF-2021-000056 ze dne 9.12.2021</w:t>
      </w:r>
    </w:p>
    <w:p>
      <w:pPr>
        <w:pStyle w:val="Style5"/>
        <w:framePr w:w="8996" w:h="2567" w:hRule="exact" w:wrap="none" w:vAnchor="page" w:hAnchor="page" w:x="1232" w:y="59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980" w:right="0" w:firstLine="0"/>
      </w:pPr>
      <w:r>
        <w:rPr>
          <w:lang w:val="cs-CZ" w:eastAsia="cs-CZ" w:bidi="cs-CZ"/>
          <w:w w:val="100"/>
          <w:color w:val="000000"/>
          <w:position w:val="0"/>
        </w:rPr>
        <w:t>smlouva č. PO-PF-2021-000056 ze dne 9.12.2021</w:t>
      </w:r>
    </w:p>
    <w:p>
      <w:pPr>
        <w:pStyle w:val="Style5"/>
        <w:framePr w:w="3175" w:h="2308" w:hRule="exact" w:wrap="none" w:vAnchor="page" w:hAnchor="page" w:x="1232" w:y="9297"/>
        <w:tabs>
          <w:tab w:leader="none" w:pos="890" w:val="left"/>
          <w:tab w:leader="none" w:pos="2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6" w:line="180" w:lineRule="exact"/>
        <w:ind w:left="300" w:right="0" w:firstLine="0"/>
      </w:pPr>
      <w:r>
        <w:rPr>
          <w:rStyle w:val="CharStyle17"/>
          <w:i w:val="0"/>
          <w:iCs w:val="0"/>
        </w:rPr>
        <w:t>V</w:t>
        <w:tab/>
      </w:r>
      <w:r>
        <w:rPr>
          <w:rStyle w:val="CharStyle18"/>
          <w:i/>
          <w:iCs/>
        </w:rPr>
        <w:t>.MdMÉÍ</w:t>
      </w:r>
      <w:r>
        <w:rPr>
          <w:rStyle w:val="CharStyle17"/>
          <w:i w:val="0"/>
          <w:iCs w:val="0"/>
        </w:rPr>
        <w:t>dne</w:t>
        <w:tab/>
      </w:r>
      <w:r>
        <w:rPr>
          <w:rStyle w:val="CharStyle19"/>
          <w:i/>
          <w:iCs/>
        </w:rPr>
        <w:t>M</w:t>
      </w:r>
    </w:p>
    <w:p>
      <w:pPr>
        <w:framePr w:w="3175" w:h="2308" w:hRule="exact" w:wrap="none" w:vAnchor="page" w:hAnchor="page" w:x="1232" w:y="9297"/>
        <w:widowControl w:val="0"/>
      </w:pPr>
    </w:p>
    <w:p>
      <w:pPr>
        <w:framePr w:w="3175" w:h="2308" w:hRule="exact" w:wrap="none" w:vAnchor="page" w:hAnchor="page" w:x="1232" w:y="9297"/>
        <w:widowControl w:val="0"/>
      </w:pPr>
    </w:p>
    <w:p>
      <w:pPr>
        <w:pStyle w:val="Style9"/>
        <w:framePr w:w="3175" w:h="2308" w:hRule="exact" w:wrap="none" w:vAnchor="page" w:hAnchor="page" w:x="1232" w:y="9297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300" w:right="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Bonita Group Service s.r.o. dodavatel</w:t>
      </w:r>
    </w:p>
    <w:p>
      <w:pPr>
        <w:pStyle w:val="Style5"/>
        <w:framePr w:wrap="none" w:vAnchor="page" w:hAnchor="page" w:x="6200" w:y="93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7"/>
          <w:i w:val="0"/>
          <w:iCs w:val="0"/>
        </w:rPr>
        <w:t xml:space="preserve">V </w:t>
      </w:r>
      <w:r>
        <w:rPr>
          <w:rStyle w:val="CharStyle18"/>
          <w:i/>
          <w:iCs/>
        </w:rPr>
        <w:t>J..AA.</w:t>
      </w:r>
      <w:r>
        <w:rPr>
          <w:rStyle w:val="CharStyle22"/>
          <w:i w:val="0"/>
          <w:iCs w:val="0"/>
        </w:rPr>
        <w:t>AjÍ</w:t>
      </w:r>
      <w:r>
        <w:rPr>
          <w:rStyle w:val="CharStyle17"/>
          <w:i w:val="0"/>
          <w:iCs w:val="0"/>
        </w:rPr>
        <w:t xml:space="preserve"> dne </w:t>
      </w:r>
      <w:r>
        <w:rPr>
          <w:rStyle w:val="CharStyle18"/>
          <w:i/>
          <w:iCs/>
        </w:rPr>
        <w:t xml:space="preserve">A..A..:.A^°^ </w:t>
      </w:r>
      <w:r>
        <w:rPr>
          <w:rStyle w:val="CharStyle19"/>
          <w:i/>
          <w:iCs/>
        </w:rPr>
        <w:t>'í*</w:t>
      </w:r>
    </w:p>
    <w:p>
      <w:pPr>
        <w:pStyle w:val="Style23"/>
        <w:framePr w:w="1829" w:h="677" w:hRule="exact" w:wrap="none" w:vAnchor="page" w:hAnchor="page" w:x="8029" w:y="990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</w:t>
      </w:r>
    </w:p>
    <w:p>
      <w:pPr>
        <w:framePr w:w="3334" w:h="1044" w:hRule="exact" w:wrap="none" w:vAnchor="page" w:hAnchor="page" w:x="6200" w:y="10795"/>
        <w:widowControl w:val="0"/>
      </w:pPr>
    </w:p>
    <w:p>
      <w:pPr>
        <w:pStyle w:val="Style9"/>
        <w:framePr w:w="3334" w:h="1044" w:hRule="exact" w:wrap="none" w:vAnchor="page" w:hAnchor="page" w:x="6200" w:y="1079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80. mateřská škola Plzeň, Úslavská 80, příspěvková organizace objednatel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character" w:customStyle="1" w:styleId="CharStyle6">
    <w:name w:val="Základní text (3)_"/>
    <w:basedOn w:val="DefaultParagraphFont"/>
    <w:link w:val="Style5"/>
    <w:rPr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  <w:spacing w:val="0"/>
    </w:rPr>
  </w:style>
  <w:style w:type="character" w:customStyle="1" w:styleId="CharStyle8">
    <w:name w:val="Základní text (4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12">
    <w:name w:val="Nadpis #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Demi Cond" w:eastAsia="Franklin Gothic Demi Cond" w:hAnsi="Franklin Gothic Demi Cond" w:cs="Franklin Gothic Demi Cond"/>
    </w:rPr>
  </w:style>
  <w:style w:type="character" w:customStyle="1" w:styleId="CharStyle14">
    <w:name w:val="Základní text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Franklin Gothic Heavy" w:eastAsia="Franklin Gothic Heavy" w:hAnsi="Franklin Gothic Heavy" w:cs="Franklin Gothic Heavy"/>
    </w:rPr>
  </w:style>
  <w:style w:type="character" w:customStyle="1" w:styleId="CharStyle16">
    <w:name w:val="Základní text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7"/>
      <w:szCs w:val="17"/>
      <w:rFonts w:ascii="Franklin Gothic Heavy" w:eastAsia="Franklin Gothic Heavy" w:hAnsi="Franklin Gothic Heavy" w:cs="Franklin Gothic Heavy"/>
    </w:rPr>
  </w:style>
  <w:style w:type="character" w:customStyle="1" w:styleId="CharStyle17">
    <w:name w:val="Základní text (3) + Ne kurzíva"/>
    <w:basedOn w:val="CharStyle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8">
    <w:name w:val="Základní text (3) + Řádkování -1 pt"/>
    <w:basedOn w:val="CharStyle6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19">
    <w:name w:val="Základní text (3) + Řádkování -1 pt"/>
    <w:basedOn w:val="CharStyle6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21">
    <w:name w:val="Základní text (7)_"/>
    <w:basedOn w:val="DefaultParagraphFont"/>
    <w:link w:val="Style20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character" w:customStyle="1" w:styleId="CharStyle22">
    <w:name w:val="Základní text (3) + Ne kurzíva,Malá písmena"/>
    <w:basedOn w:val="CharStyle6"/>
    <w:rPr>
      <w:lang w:val="cs-CZ" w:eastAsia="cs-CZ" w:bidi="cs-CZ"/>
      <w:i/>
      <w:iCs/>
      <w:smallCaps/>
      <w:w w:val="100"/>
      <w:spacing w:val="0"/>
      <w:color w:val="000000"/>
      <w:position w:val="0"/>
    </w:rPr>
  </w:style>
  <w:style w:type="character" w:customStyle="1" w:styleId="CharStyle24">
    <w:name w:val="Základní text (8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  <w:spacing w:val="0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before="660"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before="60" w:line="25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jc w:val="center"/>
      <w:outlineLvl w:val="0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Demi Cond" w:eastAsia="Franklin Gothic Demi Cond" w:hAnsi="Franklin Gothic Demi Cond" w:cs="Franklin Gothic Demi Cond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  <w:jc w:val="center"/>
      <w:spacing w:before="540"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Franklin Gothic Heavy" w:eastAsia="Franklin Gothic Heavy" w:hAnsi="Franklin Gothic Heavy" w:cs="Franklin Gothic Heavy"/>
    </w:rPr>
  </w:style>
  <w:style w:type="paragraph" w:customStyle="1" w:styleId="Style15">
    <w:name w:val="Základní text (6)"/>
    <w:basedOn w:val="Normal"/>
    <w:link w:val="CharStyle16"/>
    <w:pPr>
      <w:widowControl w:val="0"/>
      <w:shd w:val="clear" w:color="auto" w:fill="FFFFFF"/>
      <w:jc w:val="center"/>
      <w:spacing w:before="540"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Franklin Gothic Heavy" w:eastAsia="Franklin Gothic Heavy" w:hAnsi="Franklin Gothic Heavy" w:cs="Franklin Gothic Heavy"/>
    </w:rPr>
  </w:style>
  <w:style w:type="paragraph" w:customStyle="1" w:styleId="Style20">
    <w:name w:val="Základní text (7)"/>
    <w:basedOn w:val="Normal"/>
    <w:link w:val="CharStyle21"/>
    <w:pPr>
      <w:widowControl w:val="0"/>
      <w:shd w:val="clear" w:color="auto" w:fill="FFFFFF"/>
      <w:jc w:val="both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paragraph" w:customStyle="1" w:styleId="Style23">
    <w:name w:val="Základní text (8)"/>
    <w:basedOn w:val="Normal"/>
    <w:link w:val="CharStyle24"/>
    <w:pPr>
      <w:widowControl w:val="0"/>
      <w:shd w:val="clear" w:color="auto" w:fill="FFFFFF"/>
      <w:jc w:val="center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