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>
      <w:pPr>
        <w:spacing w:after="120"/>
        <w:ind w:left="567"/>
        <w:jc w:val="center"/>
        <w:rPr>
          <w:b/>
          <w:spacing w:val="40"/>
          <w:sz w:val="32"/>
          <w:szCs w:val="32"/>
        </w:rPr>
      </w:pPr>
      <w:r>
        <w:rPr>
          <w:b/>
          <w:spacing w:val="40"/>
          <w:sz w:val="32"/>
          <w:szCs w:val="32"/>
        </w:rPr>
        <w:t>SMLOUVA O VÝPŮJČCE</w:t>
      </w:r>
    </w:p>
    <w:p>
      <w:pPr>
        <w:ind w:left="567"/>
        <w:jc w:val="center"/>
        <w:rPr>
          <w:b/>
        </w:rPr>
      </w:pPr>
      <w:r>
        <w:rPr>
          <w:b/>
        </w:rPr>
        <w:t>uzavřená dle § 2193 a násl. zákona č.</w:t>
      </w:r>
      <w:r>
        <w:t xml:space="preserve"> </w:t>
      </w:r>
      <w:r>
        <w:rPr>
          <w:b/>
        </w:rPr>
        <w:t>89/2012 Sb., občanský zákoník</w:t>
      </w:r>
    </w:p>
    <w:p>
      <w:pPr>
        <w:jc w:val="both"/>
      </w:pPr>
    </w:p>
    <w:p>
      <w:pPr>
        <w:jc w:val="both"/>
      </w:pPr>
      <w:proofErr w:type="spellStart"/>
      <w:r>
        <w:rPr>
          <w:b/>
        </w:rPr>
        <w:t>Půjčitel</w:t>
      </w:r>
      <w:proofErr w:type="spellEnd"/>
      <w:r>
        <w:rPr>
          <w:b/>
        </w:rPr>
        <w:t>:</w:t>
      </w:r>
      <w:r>
        <w:tab/>
      </w:r>
      <w:r>
        <w:rPr>
          <w:b/>
        </w:rPr>
        <w:t>Statutární město Brno, městská část Brno - střed</w:t>
      </w:r>
      <w:r>
        <w:t xml:space="preserve"> </w:t>
      </w:r>
    </w:p>
    <w:p>
      <w:pPr>
        <w:jc w:val="both"/>
      </w:pPr>
      <w:r>
        <w:tab/>
      </w:r>
      <w:r>
        <w:tab/>
        <w:t>se sídlem Dominikánská 264/2, 601 69 Brno</w:t>
      </w:r>
    </w:p>
    <w:p>
      <w:pPr>
        <w:jc w:val="both"/>
      </w:pPr>
      <w:r>
        <w:tab/>
      </w:r>
      <w:r>
        <w:tab/>
        <w:t>IČO: 449 92 785</w:t>
      </w:r>
    </w:p>
    <w:p>
      <w:pPr>
        <w:ind w:left="708" w:firstLine="708"/>
        <w:jc w:val="both"/>
      </w:pPr>
      <w:r>
        <w:t>zastoupený: Ing. arch. Vojtěch Mencl, starosta MČ BS</w:t>
      </w:r>
    </w:p>
    <w:p>
      <w:pPr>
        <w:spacing w:before="120"/>
        <w:jc w:val="both"/>
      </w:pPr>
      <w:r>
        <w:tab/>
      </w:r>
      <w:r>
        <w:tab/>
        <w:t>(dále jen „</w:t>
      </w:r>
      <w:proofErr w:type="spellStart"/>
      <w:r>
        <w:t>půjčitel</w:t>
      </w:r>
      <w:proofErr w:type="spellEnd"/>
      <w:r>
        <w:t>“)</w:t>
      </w:r>
      <w:r>
        <w:tab/>
      </w:r>
      <w:r>
        <w:tab/>
      </w:r>
      <w:r>
        <w:tab/>
      </w:r>
      <w:r>
        <w:rPr>
          <w:b/>
        </w:rPr>
        <w:t xml:space="preserve"> </w:t>
      </w:r>
    </w:p>
    <w:p>
      <w:pPr>
        <w:spacing w:before="120" w:after="120"/>
        <w:jc w:val="both"/>
      </w:pPr>
      <w:r>
        <w:t>a</w:t>
      </w:r>
    </w:p>
    <w:p>
      <w:pPr>
        <w:jc w:val="both"/>
        <w:rPr>
          <w:b/>
        </w:rPr>
      </w:pPr>
      <w:r>
        <w:rPr>
          <w:b/>
        </w:rPr>
        <w:t>Vypůjčitel:</w:t>
      </w:r>
      <w:r>
        <w:tab/>
      </w:r>
      <w:proofErr w:type="spellStart"/>
      <w:r>
        <w:t>B</w:t>
      </w:r>
      <w:r>
        <w:rPr>
          <w:b/>
        </w:rPr>
        <w:t>uranTeatr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z.ú</w:t>
      </w:r>
      <w:proofErr w:type="spellEnd"/>
      <w:r>
        <w:rPr>
          <w:b/>
        </w:rPr>
        <w:t>.</w:t>
      </w:r>
    </w:p>
    <w:p>
      <w:pPr>
        <w:ind w:left="708" w:firstLine="708"/>
        <w:jc w:val="both"/>
      </w:pPr>
      <w:r>
        <w:t>IČO: 27052460</w:t>
      </w:r>
    </w:p>
    <w:p>
      <w:pPr>
        <w:ind w:left="708" w:firstLine="708"/>
        <w:jc w:val="both"/>
      </w:pPr>
      <w:r>
        <w:t>Kounicova 686/22, 602 00  Brno</w:t>
      </w:r>
    </w:p>
    <w:p>
      <w:pPr>
        <w:ind w:left="708" w:firstLine="708"/>
        <w:jc w:val="both"/>
      </w:pPr>
      <w:r>
        <w:t>zastoupen: Jurajem Augustínem, ředitelem zapsaného ústavu</w:t>
      </w:r>
    </w:p>
    <w:p>
      <w:pPr>
        <w:ind w:left="708" w:firstLine="708"/>
        <w:jc w:val="both"/>
      </w:pPr>
      <w:r>
        <w:t>bankovní spojení: 2600891299/2010</w:t>
      </w:r>
    </w:p>
    <w:p>
      <w:pPr>
        <w:jc w:val="both"/>
      </w:pPr>
    </w:p>
    <w:p>
      <w:pPr>
        <w:spacing w:before="120"/>
        <w:jc w:val="both"/>
      </w:pPr>
      <w:r>
        <w:tab/>
      </w:r>
      <w:r>
        <w:tab/>
        <w:t>(dále jen „vypůjčitel“)</w:t>
      </w:r>
    </w:p>
    <w:p>
      <w:pPr>
        <w:rPr>
          <w:b/>
        </w:rPr>
      </w:pPr>
    </w:p>
    <w:p>
      <w:pPr>
        <w:jc w:val="center"/>
      </w:pPr>
      <w:r>
        <w:t>uzavírají níže uvedeného dne, měsíce a roku smlouvu o výpůjčce následujícího znění:</w:t>
      </w:r>
    </w:p>
    <w:p/>
    <w:p/>
    <w:p>
      <w:pPr>
        <w:jc w:val="center"/>
        <w:rPr>
          <w:b/>
        </w:rPr>
      </w:pPr>
      <w:r>
        <w:rPr>
          <w:b/>
        </w:rPr>
        <w:t>I.</w:t>
      </w:r>
    </w:p>
    <w:p>
      <w:pPr>
        <w:spacing w:after="120"/>
        <w:jc w:val="center"/>
        <w:rPr>
          <w:b/>
        </w:rPr>
      </w:pPr>
      <w:r>
        <w:rPr>
          <w:b/>
        </w:rPr>
        <w:t>Předmět výpůjčky</w:t>
      </w:r>
    </w:p>
    <w:p>
      <w:pPr>
        <w:pStyle w:val="Odstavecseseznamem"/>
        <w:numPr>
          <w:ilvl w:val="0"/>
          <w:numId w:val="1"/>
        </w:numPr>
        <w:spacing w:after="120"/>
        <w:ind w:left="714" w:hanging="357"/>
        <w:contextualSpacing w:val="0"/>
        <w:jc w:val="both"/>
      </w:pPr>
      <w:proofErr w:type="spellStart"/>
      <w:r>
        <w:t>Půjčitel</w:t>
      </w:r>
      <w:proofErr w:type="spellEnd"/>
      <w:r>
        <w:t xml:space="preserve"> přenechává touto smlouvu vypůjčiteli do bezplatného užívání bytový prostor označený jako č. 8 o výměře 90,7 m</w:t>
      </w:r>
      <w:r>
        <w:rPr>
          <w:vertAlign w:val="superscript"/>
        </w:rPr>
        <w:t>2</w:t>
      </w:r>
      <w:r>
        <w:t>, nacházející se ve 3. nadzemním podlaží domu č. p. 181 na pozemku p. č. 611/1 v k. </w:t>
      </w:r>
      <w:proofErr w:type="spellStart"/>
      <w:r>
        <w:t>ú.</w:t>
      </w:r>
      <w:proofErr w:type="spellEnd"/>
      <w:r>
        <w:t xml:space="preserve"> Zábrdovice, tedy v domě na ulici Bratislavská 1 v Brně, sestávající ze 3 místností a kuchyně. </w:t>
      </w:r>
    </w:p>
    <w:p>
      <w:pPr>
        <w:pStyle w:val="Odstavecseseznamem"/>
        <w:numPr>
          <w:ilvl w:val="0"/>
          <w:numId w:val="1"/>
        </w:numPr>
        <w:jc w:val="both"/>
      </w:pPr>
      <w:r>
        <w:t>Statutární město Brno je výlučným vlastníkem shora uvedené nemovitosti, ve které se předmět výpůjčky nachází. Statutárnímu městu Brnu, městské části Brno-střed, byla tato nemovitost svěřena v souladu se Statutem města Brna.</w:t>
      </w:r>
    </w:p>
    <w:p>
      <w:pPr>
        <w:jc w:val="both"/>
      </w:pPr>
    </w:p>
    <w:p>
      <w:pPr>
        <w:jc w:val="both"/>
      </w:pPr>
    </w:p>
    <w:p>
      <w:pPr>
        <w:jc w:val="both"/>
      </w:pPr>
    </w:p>
    <w:p>
      <w:pPr>
        <w:jc w:val="center"/>
        <w:rPr>
          <w:b/>
        </w:rPr>
      </w:pPr>
      <w:r>
        <w:rPr>
          <w:b/>
        </w:rPr>
        <w:t>II.</w:t>
      </w:r>
    </w:p>
    <w:p>
      <w:pPr>
        <w:spacing w:after="120"/>
        <w:jc w:val="center"/>
        <w:rPr>
          <w:b/>
        </w:rPr>
      </w:pPr>
      <w:r>
        <w:rPr>
          <w:b/>
        </w:rPr>
        <w:t>Účel výpůjčky</w:t>
      </w:r>
    </w:p>
    <w:p>
      <w:pPr>
        <w:pStyle w:val="Odstavecseseznamem"/>
        <w:numPr>
          <w:ilvl w:val="0"/>
          <w:numId w:val="2"/>
        </w:numPr>
        <w:spacing w:after="120"/>
        <w:contextualSpacing w:val="0"/>
        <w:jc w:val="both"/>
      </w:pPr>
      <w:proofErr w:type="spellStart"/>
      <w:r>
        <w:t>Půjčitel</w:t>
      </w:r>
      <w:proofErr w:type="spellEnd"/>
      <w:r>
        <w:t xml:space="preserve"> přenechává vypůjčiteli prostor specifikovaný v čl. I. této smlouvy za účelem  realizace uměleckého projektu „____tati“ (dále jen „účel výpůjčky“).</w:t>
      </w:r>
    </w:p>
    <w:p>
      <w:pPr>
        <w:jc w:val="both"/>
      </w:pPr>
    </w:p>
    <w:p>
      <w:pPr>
        <w:jc w:val="both"/>
      </w:pPr>
    </w:p>
    <w:p>
      <w:pPr>
        <w:jc w:val="both"/>
      </w:pPr>
    </w:p>
    <w:p>
      <w:pPr>
        <w:jc w:val="center"/>
        <w:rPr>
          <w:b/>
        </w:rPr>
      </w:pPr>
      <w:r>
        <w:rPr>
          <w:b/>
        </w:rPr>
        <w:t>III.</w:t>
      </w:r>
    </w:p>
    <w:p>
      <w:pPr>
        <w:spacing w:after="120"/>
        <w:jc w:val="center"/>
        <w:rPr>
          <w:b/>
        </w:rPr>
      </w:pPr>
      <w:r>
        <w:rPr>
          <w:b/>
        </w:rPr>
        <w:t>Doba výpůjčky</w:t>
      </w:r>
    </w:p>
    <w:p>
      <w:pPr>
        <w:pStyle w:val="Odstavecseseznamem"/>
        <w:numPr>
          <w:ilvl w:val="0"/>
          <w:numId w:val="4"/>
        </w:numPr>
        <w:jc w:val="both"/>
      </w:pPr>
      <w:r>
        <w:t>Tato smlouva se uzavírá na dobu určitou tří (3) let ode dne 14.05.2022, tj. do 14.05.2025.</w:t>
      </w:r>
      <w:r>
        <w:br/>
      </w:r>
    </w:p>
    <w:p>
      <w:pPr>
        <w:pStyle w:val="Odstavecseseznamem"/>
        <w:numPr>
          <w:ilvl w:val="0"/>
          <w:numId w:val="4"/>
        </w:numPr>
        <w:spacing w:after="120"/>
        <w:contextualSpacing w:val="0"/>
        <w:jc w:val="both"/>
      </w:pPr>
      <w:r>
        <w:t>Nejpozději v den skončení výpůjčky je vypůjčitel povinen předmět výpůjčky vyklidit a předat ve stavu, v jakém jím byl převzat (nebude-li dohodnuto jinak).</w:t>
      </w:r>
    </w:p>
    <w:p>
      <w:pPr>
        <w:pStyle w:val="Odstavecseseznamem"/>
        <w:numPr>
          <w:ilvl w:val="0"/>
          <w:numId w:val="4"/>
        </w:numPr>
        <w:contextualSpacing w:val="0"/>
        <w:jc w:val="both"/>
      </w:pPr>
      <w:r>
        <w:lastRenderedPageBreak/>
        <w:t xml:space="preserve">V případě prodlení vypůjčitele s vyklizením a předáním předmětu výpůjčky, je vypůjčitel povinen hradit </w:t>
      </w:r>
      <w:proofErr w:type="spellStart"/>
      <w:r>
        <w:t>půjčiteli</w:t>
      </w:r>
      <w:proofErr w:type="spellEnd"/>
      <w:r>
        <w:t xml:space="preserve"> smluvní pokutu ve výši 1.000,- Kč za každý den prodlení. </w:t>
      </w:r>
      <w:r>
        <w:rPr>
          <w:rFonts w:eastAsiaTheme="minorHAnsi"/>
          <w:color w:val="000000"/>
          <w:szCs w:val="23"/>
        </w:rPr>
        <w:t xml:space="preserve">Tato smluvní pokuta se nezapočítává na nároku </w:t>
      </w:r>
      <w:proofErr w:type="spellStart"/>
      <w:r>
        <w:rPr>
          <w:rFonts w:eastAsiaTheme="minorHAnsi"/>
          <w:color w:val="000000"/>
          <w:szCs w:val="23"/>
        </w:rPr>
        <w:t>půjčitele</w:t>
      </w:r>
      <w:proofErr w:type="spellEnd"/>
      <w:r>
        <w:rPr>
          <w:rFonts w:eastAsiaTheme="minorHAnsi"/>
          <w:color w:val="000000"/>
          <w:szCs w:val="23"/>
        </w:rPr>
        <w:t xml:space="preserve"> na náhradu škody</w:t>
      </w:r>
      <w:r>
        <w:t>.</w:t>
      </w:r>
    </w:p>
    <w:p>
      <w:pPr>
        <w:pStyle w:val="Odstavecseseznamem"/>
        <w:numPr>
          <w:ilvl w:val="0"/>
          <w:numId w:val="4"/>
        </w:numPr>
        <w:contextualSpacing w:val="0"/>
        <w:jc w:val="both"/>
      </w:pPr>
      <w:r>
        <w:t xml:space="preserve">Vypůjčitel má právo vrátit předmět výpůjčky předčasně se souhlasem </w:t>
      </w:r>
      <w:proofErr w:type="spellStart"/>
      <w:r>
        <w:t>půjčitele</w:t>
      </w:r>
      <w:proofErr w:type="spellEnd"/>
      <w:r>
        <w:t>.</w:t>
      </w:r>
    </w:p>
    <w:p>
      <w:pPr>
        <w:pStyle w:val="Odstavecseseznamem"/>
        <w:numPr>
          <w:ilvl w:val="0"/>
          <w:numId w:val="4"/>
        </w:numPr>
        <w:contextualSpacing w:val="0"/>
        <w:jc w:val="both"/>
      </w:pPr>
      <w:r>
        <w:t xml:space="preserve">Bude-li </w:t>
      </w:r>
      <w:proofErr w:type="spellStart"/>
      <w:r>
        <w:t>půjčitel</w:t>
      </w:r>
      <w:proofErr w:type="spellEnd"/>
      <w:r>
        <w:t xml:space="preserve"> potřebovat předmět výpůjčky před uplynutím sjednané doby nájmu a to z důvodů, které nemohl při uzavření smlouvy předvídat, je </w:t>
      </w:r>
      <w:proofErr w:type="spellStart"/>
      <w:r>
        <w:t>půjčitel</w:t>
      </w:r>
      <w:proofErr w:type="spellEnd"/>
      <w:r>
        <w:t xml:space="preserve"> oprávněn písemně vyzvat vypůjčitele k vrácení předmětu výpůjčky a to ve lhůtě do 1 měsíce ode dne doručení výzvy k vrácení předmětu výpůjčky. Smluvní strany se dohodly, že 5. den ode dne odeslání výzvy se považuje za den doručení. </w:t>
      </w:r>
    </w:p>
    <w:p>
      <w:pPr>
        <w:pStyle w:val="Odstavecseseznamem"/>
        <w:numPr>
          <w:ilvl w:val="0"/>
          <w:numId w:val="4"/>
        </w:numPr>
        <w:contextualSpacing w:val="0"/>
        <w:jc w:val="both"/>
      </w:pPr>
      <w:r>
        <w:t xml:space="preserve">Užívá-li vypůjčitel předmět výpůjčky v rozporu s jeho účelem, pak je </w:t>
      </w:r>
      <w:proofErr w:type="spellStart"/>
      <w:r>
        <w:t>půjčitel</w:t>
      </w:r>
      <w:proofErr w:type="spellEnd"/>
      <w:r>
        <w:t xml:space="preserve"> oprávněn se domáhat okamžitého vrácení předmětu výpůjčky. </w:t>
      </w:r>
    </w:p>
    <w:p>
      <w:pPr>
        <w:pStyle w:val="Odstavecseseznamem"/>
        <w:contextualSpacing w:val="0"/>
        <w:jc w:val="both"/>
      </w:pPr>
    </w:p>
    <w:p>
      <w:pPr>
        <w:jc w:val="both"/>
      </w:pPr>
    </w:p>
    <w:p>
      <w:pPr>
        <w:jc w:val="center"/>
        <w:rPr>
          <w:b/>
        </w:rPr>
      </w:pPr>
      <w:r>
        <w:rPr>
          <w:b/>
        </w:rPr>
        <w:t>IV.</w:t>
      </w:r>
    </w:p>
    <w:p>
      <w:pPr>
        <w:spacing w:after="120"/>
        <w:jc w:val="center"/>
        <w:rPr>
          <w:b/>
        </w:rPr>
      </w:pPr>
      <w:r>
        <w:rPr>
          <w:b/>
        </w:rPr>
        <w:t>Provozní náklady</w:t>
      </w:r>
    </w:p>
    <w:p>
      <w:pPr>
        <w:pStyle w:val="Odstavecseseznamem"/>
        <w:numPr>
          <w:ilvl w:val="0"/>
          <w:numId w:val="10"/>
        </w:numPr>
        <w:spacing w:after="120"/>
        <w:contextualSpacing w:val="0"/>
        <w:jc w:val="both"/>
      </w:pPr>
      <w:r>
        <w:t>Vypůjčitel se touto smlouvou zavazuje hradit veškeré provozní náklady spojené s užíváním předmětu výpůjčky předané správcem prostoru specifikovaného v čl. I. této smlouvy, kterým je organizační složka Správa nemovitostí městské části Brno-střed.</w:t>
      </w:r>
    </w:p>
    <w:p>
      <w:pPr>
        <w:pStyle w:val="Odstavecseseznamem"/>
        <w:numPr>
          <w:ilvl w:val="0"/>
          <w:numId w:val="10"/>
        </w:numPr>
        <w:spacing w:after="120"/>
        <w:contextualSpacing w:val="0"/>
        <w:jc w:val="both"/>
      </w:pPr>
      <w:r>
        <w:t xml:space="preserve">Náklady na spotřebovanou elektrickou energii a to včetně části nákladů na spotřebu elektrické energie ve společných prostorách a úhrada nákladů za spotřebu vody  bude vypůjčiteli přefakturována správcem prostoru. Vypůjčitel se zavazuje náklady uhradit dle splatnosti zaslaných faktur. </w:t>
      </w:r>
    </w:p>
    <w:p>
      <w:pPr>
        <w:jc w:val="center"/>
        <w:rPr>
          <w:b/>
        </w:rPr>
      </w:pPr>
    </w:p>
    <w:p>
      <w:pPr>
        <w:jc w:val="center"/>
        <w:rPr>
          <w:b/>
        </w:rPr>
      </w:pPr>
      <w:r>
        <w:rPr>
          <w:b/>
        </w:rPr>
        <w:t>V.</w:t>
      </w:r>
    </w:p>
    <w:p>
      <w:pPr>
        <w:spacing w:after="120"/>
        <w:jc w:val="center"/>
        <w:rPr>
          <w:b/>
        </w:rPr>
      </w:pPr>
      <w:r>
        <w:rPr>
          <w:b/>
        </w:rPr>
        <w:t>Práva a povinnosti smluvních stran</w:t>
      </w:r>
    </w:p>
    <w:p>
      <w:pPr>
        <w:pStyle w:val="Odstavecseseznamem"/>
        <w:numPr>
          <w:ilvl w:val="0"/>
          <w:numId w:val="5"/>
        </w:numPr>
        <w:spacing w:after="120"/>
        <w:ind w:left="714" w:hanging="357"/>
        <w:contextualSpacing w:val="0"/>
        <w:jc w:val="both"/>
      </w:pPr>
      <w:proofErr w:type="spellStart"/>
      <w:r>
        <w:t>Půjčitel</w:t>
      </w:r>
      <w:proofErr w:type="spellEnd"/>
      <w:r>
        <w:t xml:space="preserve"> přenechává vypůjčiteli předmět výpůjčky, specifikovaný v čl. I. této smlouvy, ve stavu, se kterým se vypůjčitel před podpisem této smlouvy podrobně seznámil a v tomto stavu jej přebírá a vypůjčitel výslovně prohlašuje, že technický stav předmětu výpůjčky plně vyhovuje sjednanému účelu užívání. </w:t>
      </w:r>
    </w:p>
    <w:p>
      <w:pPr>
        <w:pStyle w:val="Odstavecseseznamem"/>
        <w:numPr>
          <w:ilvl w:val="0"/>
          <w:numId w:val="5"/>
        </w:numPr>
        <w:spacing w:after="120"/>
        <w:ind w:left="714" w:hanging="357"/>
        <w:contextualSpacing w:val="0"/>
        <w:jc w:val="both"/>
      </w:pPr>
      <w:r>
        <w:t>Vypůjčitel je povinen užívat předmět výpůjčky výlučně v rozsahu a k účelu sjednanému v této smlouvě.</w:t>
      </w:r>
    </w:p>
    <w:p>
      <w:pPr>
        <w:pStyle w:val="Odstavecseseznamem"/>
        <w:numPr>
          <w:ilvl w:val="0"/>
          <w:numId w:val="5"/>
        </w:numPr>
        <w:spacing w:after="120"/>
        <w:ind w:left="714" w:hanging="357"/>
        <w:contextualSpacing w:val="0"/>
        <w:jc w:val="both"/>
      </w:pPr>
      <w:r>
        <w:t>Vypůjčitel není oprávněn provádět žádné stavební práce v předmětu výpůjčky, a to ani na vlastní náklad.</w:t>
      </w:r>
    </w:p>
    <w:p>
      <w:pPr>
        <w:pStyle w:val="Odstavecseseznamem"/>
        <w:numPr>
          <w:ilvl w:val="0"/>
          <w:numId w:val="5"/>
        </w:numPr>
        <w:spacing w:after="120"/>
        <w:ind w:left="714" w:hanging="357"/>
        <w:contextualSpacing w:val="0"/>
        <w:jc w:val="both"/>
      </w:pPr>
      <w:r>
        <w:t>Vypůjčitel nesmí přenechat předmět výpůjčky dle této smlouvy třetí osobě, to znamená, že vypůjčitel nemůže přenechat právo výpůjčky třetí osobě či vložit práva z výpůjčky předmětných prostor do různých forem sdružení a umožnit tak vznik práva výpůjčky třetím osobám.</w:t>
      </w:r>
    </w:p>
    <w:p>
      <w:pPr>
        <w:pStyle w:val="Odstavecseseznamem"/>
        <w:numPr>
          <w:ilvl w:val="0"/>
          <w:numId w:val="5"/>
        </w:numPr>
        <w:jc w:val="both"/>
      </w:pPr>
      <w:r>
        <w:t>V souladu se zákonem č. 541/2020 Sb., o odpadech, v platném znění, navazujícími předpisy, obecně platnými vyhláškami statutárního města Brna o nakládání s odpady (obecně závazná vyhláška statutárního města Brna č. 04/2016, o stanovení systému, shromažďování, sběru, přepravy, třídění, využívání a odstraňování komunálního odpadu vznikajícího na území statutárního města Brna) a zákonem č. 17/1992 Sb., o životním prostředí, v platném znění, je vypůjčitel povinen zajistit likvidaci odpadů přímo s organizacemi oprávněnými k likvidaci odpadů.</w:t>
      </w:r>
    </w:p>
    <w:p>
      <w:pPr>
        <w:jc w:val="both"/>
      </w:pPr>
    </w:p>
    <w:p>
      <w:pPr>
        <w:keepNext/>
        <w:jc w:val="center"/>
        <w:rPr>
          <w:b/>
        </w:rPr>
      </w:pPr>
    </w:p>
    <w:p>
      <w:pPr>
        <w:keepNext/>
        <w:jc w:val="center"/>
        <w:rPr>
          <w:b/>
        </w:rPr>
      </w:pPr>
      <w:r>
        <w:rPr>
          <w:b/>
        </w:rPr>
        <w:t>VI.</w:t>
      </w:r>
    </w:p>
    <w:p>
      <w:pPr>
        <w:spacing w:after="120"/>
        <w:jc w:val="center"/>
        <w:rPr>
          <w:b/>
        </w:rPr>
      </w:pPr>
      <w:r>
        <w:rPr>
          <w:b/>
        </w:rPr>
        <w:t>Skončení výpůjčky</w:t>
      </w:r>
    </w:p>
    <w:p>
      <w:pPr>
        <w:pStyle w:val="Odstavecseseznamem"/>
        <w:numPr>
          <w:ilvl w:val="0"/>
          <w:numId w:val="6"/>
        </w:numPr>
        <w:jc w:val="both"/>
      </w:pPr>
      <w:r>
        <w:t>Smluvní vztah mezi smluvními stranami této smlouvy lze ukončit:</w:t>
      </w:r>
    </w:p>
    <w:p>
      <w:pPr>
        <w:pStyle w:val="Odstavecseseznamem"/>
        <w:numPr>
          <w:ilvl w:val="0"/>
          <w:numId w:val="7"/>
        </w:numPr>
        <w:jc w:val="both"/>
      </w:pPr>
      <w:r>
        <w:t>písemnou dohodou smluvních stran,</w:t>
      </w:r>
    </w:p>
    <w:p>
      <w:pPr>
        <w:pStyle w:val="Odstavecseseznamem"/>
        <w:numPr>
          <w:ilvl w:val="0"/>
          <w:numId w:val="7"/>
        </w:numPr>
        <w:spacing w:after="120"/>
        <w:ind w:left="1077" w:hanging="357"/>
        <w:contextualSpacing w:val="0"/>
        <w:jc w:val="both"/>
      </w:pPr>
      <w:r>
        <w:t>v případě porušení povinností vypůjčitele specifikovaných touto smlouvou způsobem a ve lhůtách uvedených v čl. III odst. 5 a 6 této smlouvy.</w:t>
      </w:r>
    </w:p>
    <w:p>
      <w:pPr>
        <w:pStyle w:val="Odstavecseseznamem"/>
        <w:numPr>
          <w:ilvl w:val="0"/>
          <w:numId w:val="6"/>
        </w:numPr>
        <w:jc w:val="both"/>
      </w:pPr>
      <w:r>
        <w:t xml:space="preserve">Při skončení výpůjčky je vypůjčitel povinen předat </w:t>
      </w:r>
      <w:proofErr w:type="spellStart"/>
      <w:r>
        <w:t>půjčiteli</w:t>
      </w:r>
      <w:proofErr w:type="spellEnd"/>
      <w:r>
        <w:t xml:space="preserve"> předmět výpůjčky ve stavu, v jakém jej převzal, a to nejpozději v den skončení výpůjčky (nebude-li dohodnuto jinak). O předání a převzetí předmětu výpůjčky sepíší smluvní strany protokol.</w:t>
      </w:r>
    </w:p>
    <w:p>
      <w:pPr>
        <w:jc w:val="both"/>
      </w:pPr>
    </w:p>
    <w:p>
      <w:pPr>
        <w:jc w:val="both"/>
      </w:pPr>
    </w:p>
    <w:p>
      <w:pPr>
        <w:jc w:val="center"/>
        <w:rPr>
          <w:b/>
        </w:rPr>
      </w:pPr>
      <w:r>
        <w:rPr>
          <w:b/>
        </w:rPr>
        <w:t>VII.</w:t>
      </w:r>
    </w:p>
    <w:p>
      <w:pPr>
        <w:pStyle w:val="Nadpis1"/>
        <w:rPr>
          <w:rFonts w:ascii="Times New Roman" w:hAnsi="Times New Roman"/>
        </w:rPr>
      </w:pPr>
      <w:r>
        <w:rPr>
          <w:rFonts w:ascii="Times New Roman" w:hAnsi="Times New Roman"/>
        </w:rPr>
        <w:t>Doložka schválení dle § 41, zákona č. 128/2000 Sb., o obcích (obecní zřízení)</w:t>
      </w:r>
    </w:p>
    <w:p>
      <w:pPr>
        <w:jc w:val="center"/>
        <w:rPr>
          <w:b/>
          <w:bCs/>
        </w:rPr>
      </w:pPr>
    </w:p>
    <w:p>
      <w:pPr>
        <w:pStyle w:val="Zkladntextodsazen3"/>
        <w:ind w:left="0"/>
      </w:pPr>
      <w:r>
        <w:t>Uzavření této smlouvy bylo schváleno usnesením Rady městské části Brno-střed ………………………….., ze dne …………………..</w:t>
      </w:r>
    </w:p>
    <w:p>
      <w:pPr>
        <w:jc w:val="both"/>
      </w:pPr>
    </w:p>
    <w:p>
      <w:pPr>
        <w:jc w:val="both"/>
      </w:pPr>
    </w:p>
    <w:p>
      <w:pPr>
        <w:jc w:val="both"/>
      </w:pPr>
    </w:p>
    <w:p>
      <w:pPr>
        <w:keepNext/>
        <w:jc w:val="center"/>
        <w:rPr>
          <w:b/>
        </w:rPr>
      </w:pPr>
      <w:r>
        <w:rPr>
          <w:b/>
        </w:rPr>
        <w:t>VIII.</w:t>
      </w:r>
    </w:p>
    <w:p>
      <w:pPr>
        <w:keepNext/>
        <w:spacing w:after="120"/>
        <w:jc w:val="center"/>
        <w:rPr>
          <w:b/>
        </w:rPr>
      </w:pPr>
      <w:r>
        <w:rPr>
          <w:b/>
        </w:rPr>
        <w:t>Čestné prohlášení</w:t>
      </w:r>
    </w:p>
    <w:p>
      <w:pPr>
        <w:pStyle w:val="Odstavecseseznamem"/>
        <w:numPr>
          <w:ilvl w:val="0"/>
          <w:numId w:val="8"/>
        </w:numPr>
        <w:jc w:val="both"/>
      </w:pPr>
      <w:r>
        <w:t>Vypůjčitel podpisem této smlouvy prohlašuje, že má vyrovnané závazky vůči statutárnímu městu Brnu, městským částem statutárního města Brna, právnickým osobám zřízeným nebo založeným statutárním městem Brnem nebo některou z jeho městských částí včetně těch právnických osob, ve kterých má statutární město Brno nebo některá z jeho městských částí podíl, a zavazuje se, že tento stav udrží po celou dobu trvání smluvního vztahu.</w:t>
      </w:r>
    </w:p>
    <w:p>
      <w:pPr>
        <w:jc w:val="both"/>
      </w:pPr>
    </w:p>
    <w:p>
      <w:pPr>
        <w:jc w:val="center"/>
        <w:rPr>
          <w:b/>
        </w:rPr>
      </w:pPr>
    </w:p>
    <w:p>
      <w:pPr>
        <w:jc w:val="center"/>
        <w:rPr>
          <w:b/>
        </w:rPr>
      </w:pPr>
      <w:r>
        <w:rPr>
          <w:b/>
        </w:rPr>
        <w:t>IX.</w:t>
      </w:r>
    </w:p>
    <w:p>
      <w:pPr>
        <w:jc w:val="center"/>
        <w:rPr>
          <w:b/>
        </w:rPr>
      </w:pPr>
      <w:r>
        <w:rPr>
          <w:b/>
        </w:rPr>
        <w:t>Informační doložka</w:t>
      </w:r>
    </w:p>
    <w:p>
      <w:pPr>
        <w:jc w:val="center"/>
        <w:rPr>
          <w:b/>
        </w:rPr>
      </w:pPr>
    </w:p>
    <w:p>
      <w:pPr>
        <w:pStyle w:val="Odstavecseseznamem"/>
        <w:numPr>
          <w:ilvl w:val="0"/>
          <w:numId w:val="17"/>
        </w:numPr>
        <w:jc w:val="both"/>
      </w:pPr>
      <w:r>
        <w:t>Smluvní strany berou na vědomí a souhlasí s tím, že tato smlouva, včetně jejích případných změn, bude zveřejněna na základě zákona č. 106/1999 Sb., o svobodném přístupu k informacím, ve znění pozdějších předpisů (dále jen „zákon“), vyjma informací uvedených v § 7 - § 11 zákona. Veškeré údaje, které požívají ochrany dle zvláštních zákonů, zejména osobní a citlivé údaje, obchodní tajemství aj. budou anonymizovány.</w:t>
      </w:r>
    </w:p>
    <w:p>
      <w:pPr>
        <w:pStyle w:val="Odstavecseseznamem"/>
        <w:numPr>
          <w:ilvl w:val="0"/>
          <w:numId w:val="17"/>
        </w:numPr>
        <w:jc w:val="both"/>
      </w:pPr>
      <w:r>
        <w:t>Smluvní strany berou na vědomí, že tato smlouva, včetně jejích případných změn a dodatků, bude uveřejněna podle zákona č. 340/2015 Sb., o zvláštních podmínkách účinnosti některých smluv, uveřejňování těchto smluv a o registru smluv (zákon o registru smluv), ve znění pozdějších předpisů, v registru smluv, vyjma údajů, které požívají ochrany dle zvláštních zákonů, zejména osobní a citlivé údaje a obchodní tajemství.</w:t>
      </w:r>
    </w:p>
    <w:p>
      <w:pPr>
        <w:jc w:val="center"/>
        <w:rPr>
          <w:b/>
        </w:rPr>
      </w:pPr>
    </w:p>
    <w:p>
      <w:pPr>
        <w:jc w:val="center"/>
        <w:rPr>
          <w:b/>
        </w:rPr>
      </w:pPr>
    </w:p>
    <w:p>
      <w:pPr>
        <w:jc w:val="center"/>
        <w:rPr>
          <w:b/>
        </w:rPr>
      </w:pPr>
    </w:p>
    <w:p>
      <w:pPr>
        <w:jc w:val="center"/>
        <w:rPr>
          <w:b/>
        </w:rPr>
      </w:pPr>
    </w:p>
    <w:p>
      <w:pPr>
        <w:jc w:val="center"/>
        <w:rPr>
          <w:b/>
        </w:rPr>
      </w:pPr>
      <w:r>
        <w:rPr>
          <w:b/>
        </w:rPr>
        <w:lastRenderedPageBreak/>
        <w:t>X.</w:t>
      </w:r>
    </w:p>
    <w:p>
      <w:pPr>
        <w:spacing w:after="120"/>
        <w:jc w:val="center"/>
        <w:rPr>
          <w:b/>
        </w:rPr>
      </w:pPr>
      <w:r>
        <w:rPr>
          <w:b/>
        </w:rPr>
        <w:t>Závěrečná ustanovení</w:t>
      </w:r>
    </w:p>
    <w:p>
      <w:pPr>
        <w:pStyle w:val="Odstavecseseznamem"/>
        <w:numPr>
          <w:ilvl w:val="0"/>
          <w:numId w:val="9"/>
        </w:numPr>
        <w:spacing w:after="120"/>
        <w:ind w:left="714" w:hanging="357"/>
        <w:contextualSpacing w:val="0"/>
        <w:jc w:val="both"/>
      </w:pPr>
      <w:r>
        <w:t>Smluvní strany berou na vědomí a souhlasí s tím, že tato smlouva, včetně jejích případných změn, může být zveřejněna na základě zákona č. 106/1999 Sb., o svobodném přístupu k informacím, ve znění pozdějších předpisů (dále jen „zákon“), vyjma informací uvedených v § 7 - § 11 zákona. Veškeré údaje, které požívají ochrany dle zvláštních zákonů, zejména osobní a citlivé údaje, obchodní tajemství aj. budou anonymizovány.</w:t>
      </w:r>
    </w:p>
    <w:p>
      <w:pPr>
        <w:pStyle w:val="Odstavecseseznamem"/>
        <w:numPr>
          <w:ilvl w:val="0"/>
          <w:numId w:val="9"/>
        </w:numPr>
        <w:spacing w:after="120"/>
        <w:ind w:left="714" w:hanging="357"/>
        <w:contextualSpacing w:val="0"/>
        <w:jc w:val="both"/>
      </w:pPr>
      <w:r>
        <w:t>Tuto smlouvu lze měnit po vzájemné dohodě smluvních stran, a to pouze písemnými dodatky.</w:t>
      </w:r>
    </w:p>
    <w:p>
      <w:pPr>
        <w:pStyle w:val="Odstavecseseznamem"/>
        <w:numPr>
          <w:ilvl w:val="0"/>
          <w:numId w:val="9"/>
        </w:numPr>
        <w:spacing w:after="120"/>
        <w:ind w:left="714" w:hanging="357"/>
        <w:contextualSpacing w:val="0"/>
        <w:jc w:val="both"/>
      </w:pPr>
      <w:r>
        <w:t>Vztahy smluvních stran touto smlouvou neupravené se řídí příslušnými ustanoveními zákona č. 89/2012 Sb., ve znění pozdějších předpisů a předpisy souvisejícími, platnými na území ČR.</w:t>
      </w:r>
    </w:p>
    <w:p>
      <w:pPr>
        <w:pStyle w:val="Odstavecseseznamem"/>
        <w:numPr>
          <w:ilvl w:val="0"/>
          <w:numId w:val="9"/>
        </w:numPr>
        <w:spacing w:after="120"/>
        <w:ind w:left="714" w:hanging="357"/>
        <w:contextualSpacing w:val="0"/>
        <w:jc w:val="both"/>
      </w:pPr>
      <w:r>
        <w:t xml:space="preserve">Smlouva je vyhotovena ve čtyřech stejnopisech, z nichž </w:t>
      </w:r>
      <w:proofErr w:type="spellStart"/>
      <w:r>
        <w:t>půjčitel</w:t>
      </w:r>
      <w:proofErr w:type="spellEnd"/>
      <w:r>
        <w:t xml:space="preserve"> obdrží dvě vyhotovení a vypůjčitel dvě vyhotovení.</w:t>
      </w:r>
    </w:p>
    <w:p>
      <w:pPr>
        <w:pStyle w:val="Odstavecseseznamem"/>
        <w:numPr>
          <w:ilvl w:val="0"/>
          <w:numId w:val="9"/>
        </w:numPr>
        <w:spacing w:after="120"/>
        <w:ind w:left="714" w:hanging="357"/>
        <w:contextualSpacing w:val="0"/>
        <w:jc w:val="both"/>
      </w:pPr>
      <w:r>
        <w:t>Smluvní strany si smlouvu přečetly, s jejím obsahem souhlasí a prohlašují, že je sepsána podle jejich pravé a skutečné vůle, srozumitelně a určitě a na důkaz svobodné a váženě projevené vůle níže připojují svoje podpisy.</w:t>
      </w:r>
    </w:p>
    <w:p>
      <w:pPr>
        <w:jc w:val="both"/>
      </w:pPr>
      <w:r>
        <w:t>¨</w:t>
      </w:r>
    </w:p>
    <w:p>
      <w:pPr>
        <w:jc w:val="both"/>
      </w:pPr>
      <w:r>
        <w:t>V Brně dne ………………</w:t>
      </w:r>
      <w:r>
        <w:tab/>
      </w:r>
      <w:r>
        <w:tab/>
      </w:r>
      <w:r>
        <w:tab/>
      </w:r>
      <w:r>
        <w:tab/>
        <w:t xml:space="preserve">      V Brně dne ………………</w:t>
      </w:r>
    </w:p>
    <w:p>
      <w:pPr>
        <w:jc w:val="both"/>
      </w:pPr>
    </w:p>
    <w:p>
      <w:pPr>
        <w:jc w:val="both"/>
      </w:pPr>
      <w:r>
        <w:t xml:space="preserve">Za </w:t>
      </w:r>
      <w:proofErr w:type="spellStart"/>
      <w:r>
        <w:t>půjčitele</w:t>
      </w:r>
      <w:proofErr w:type="spellEnd"/>
      <w:r>
        <w:t>: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Za vypůjčitele:</w:t>
      </w:r>
    </w:p>
    <w:p>
      <w:pPr>
        <w:jc w:val="both"/>
      </w:pPr>
    </w:p>
    <w:p>
      <w:pPr>
        <w:jc w:val="both"/>
      </w:pPr>
    </w:p>
    <w:p>
      <w:pPr>
        <w:jc w:val="both"/>
      </w:pPr>
    </w:p>
    <w:p>
      <w:pPr>
        <w:jc w:val="both"/>
      </w:pPr>
    </w:p>
    <w:p>
      <w:pPr>
        <w:jc w:val="both"/>
      </w:pPr>
      <w:r>
        <w:t xml:space="preserve">  …………………………….</w:t>
      </w:r>
      <w:r>
        <w:tab/>
        <w:t>……...</w:t>
      </w:r>
      <w:r>
        <w:tab/>
      </w:r>
      <w:r>
        <w:tab/>
      </w:r>
      <w:r>
        <w:tab/>
        <w:t xml:space="preserve">        ……………………………….</w:t>
      </w:r>
    </w:p>
    <w:p>
      <w:pPr>
        <w:jc w:val="both"/>
      </w:pPr>
    </w:p>
    <w:p>
      <w:pPr>
        <w:jc w:val="both"/>
      </w:pPr>
    </w:p>
    <w:p>
      <w:pPr>
        <w:pStyle w:val="Default"/>
        <w:rPr>
          <w:rFonts w:ascii="Times New Roman" w:hAnsi="Times New Roman" w:cs="Times New Roman"/>
        </w:rPr>
      </w:pPr>
    </w:p>
    <w:p>
      <w:pPr>
        <w:pStyle w:val="Default"/>
        <w:rPr>
          <w:rFonts w:ascii="Times New Roman" w:hAnsi="Times New Roman" w:cs="Times New Roman"/>
        </w:rPr>
      </w:pPr>
    </w:p>
    <w:p>
      <w:pPr>
        <w:pStyle w:val="Default"/>
        <w:rPr>
          <w:rFonts w:ascii="Times New Roman" w:hAnsi="Times New Roman" w:cs="Times New Roman"/>
        </w:rPr>
      </w:pPr>
    </w:p>
    <w:p>
      <w:pPr>
        <w:pStyle w:val="Default"/>
        <w:rPr>
          <w:rFonts w:ascii="Times New Roman" w:hAnsi="Times New Roman" w:cs="Times New Roman"/>
        </w:rPr>
      </w:pPr>
    </w:p>
    <w:p>
      <w:pPr>
        <w:pStyle w:val="Default"/>
        <w:rPr>
          <w:rFonts w:ascii="Times New Roman" w:hAnsi="Times New Roman" w:cs="Times New Roman"/>
        </w:rPr>
      </w:pPr>
    </w:p>
    <w:p>
      <w:pPr>
        <w:pStyle w:val="Default"/>
        <w:rPr>
          <w:rFonts w:ascii="Times New Roman" w:hAnsi="Times New Roman" w:cs="Times New Roman"/>
        </w:rPr>
      </w:pPr>
    </w:p>
    <w:p>
      <w:pPr>
        <w:pStyle w:val="Default"/>
        <w:rPr>
          <w:rFonts w:ascii="Times New Roman" w:hAnsi="Times New Roman" w:cs="Times New Roman"/>
        </w:rPr>
      </w:pPr>
    </w:p>
    <w:p>
      <w:pPr>
        <w:pStyle w:val="Default"/>
        <w:rPr>
          <w:rFonts w:ascii="Times New Roman" w:hAnsi="Times New Roman" w:cs="Times New Roman"/>
        </w:rPr>
      </w:pPr>
    </w:p>
    <w:p>
      <w:pPr>
        <w:pStyle w:val="Default"/>
        <w:rPr>
          <w:rFonts w:ascii="Times New Roman" w:hAnsi="Times New Roman" w:cs="Times New Roman"/>
        </w:rPr>
      </w:pPr>
    </w:p>
    <w:p>
      <w:pPr>
        <w:pStyle w:val="Default"/>
        <w:rPr>
          <w:rFonts w:ascii="Times New Roman" w:hAnsi="Times New Roman" w:cs="Times New Roman"/>
        </w:rPr>
      </w:pPr>
    </w:p>
    <w:p>
      <w:pPr>
        <w:pStyle w:val="Default"/>
        <w:rPr>
          <w:rFonts w:ascii="Times New Roman" w:hAnsi="Times New Roman" w:cs="Times New Roman"/>
        </w:rPr>
      </w:pPr>
    </w:p>
    <w:p>
      <w:pPr>
        <w:pStyle w:val="Default"/>
        <w:rPr>
          <w:rFonts w:ascii="Times New Roman" w:hAnsi="Times New Roman" w:cs="Times New Roman"/>
        </w:rPr>
      </w:pPr>
    </w:p>
    <w:p>
      <w:pPr>
        <w:pStyle w:val="Default"/>
        <w:rPr>
          <w:rFonts w:ascii="Times New Roman" w:hAnsi="Times New Roman" w:cs="Times New Roman"/>
        </w:rPr>
      </w:pPr>
    </w:p>
    <w:p>
      <w:pPr>
        <w:pStyle w:val="Default"/>
        <w:rPr>
          <w:rFonts w:ascii="Times New Roman" w:hAnsi="Times New Roman" w:cs="Times New Roman"/>
        </w:rPr>
      </w:pPr>
    </w:p>
    <w:p>
      <w:pPr>
        <w:pStyle w:val="Default"/>
        <w:rPr>
          <w:rFonts w:ascii="Times New Roman" w:hAnsi="Times New Roman" w:cs="Times New Roman"/>
        </w:rPr>
      </w:pPr>
    </w:p>
    <w:p>
      <w:pPr>
        <w:pStyle w:val="Default"/>
        <w:rPr>
          <w:rFonts w:ascii="Times New Roman" w:hAnsi="Times New Roman" w:cs="Times New Roman"/>
        </w:rPr>
      </w:pPr>
    </w:p>
    <w:p>
      <w:pPr>
        <w:pStyle w:val="Default"/>
        <w:rPr>
          <w:rFonts w:ascii="Times New Roman" w:hAnsi="Times New Roman" w:cs="Times New Roman"/>
        </w:rPr>
      </w:pPr>
    </w:p>
    <w:p>
      <w:pPr>
        <w:pStyle w:val="Default"/>
        <w:rPr>
          <w:rFonts w:ascii="Times New Roman" w:hAnsi="Times New Roman" w:cs="Times New Roman"/>
        </w:rPr>
      </w:pPr>
    </w:p>
    <w:p>
      <w:pPr>
        <w:pStyle w:val="Defaul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Přílohy: situační plánek</w:t>
      </w:r>
    </w:p>
    <w:p>
      <w:pPr>
        <w:pStyle w:val="Defaul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cs-CZ"/>
        </w:rPr>
        <w:lastRenderedPageBreak/>
        <w:drawing>
          <wp:inline distT="0" distB="0" distL="0" distR="0">
            <wp:extent cx="5760720" cy="8150559"/>
            <wp:effectExtent l="0" t="0" r="0" b="317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>
      <w:r>
        <w:separator/>
      </w:r>
    </w:p>
  </w:endnote>
  <w:endnote w:type="continuationSeparator" w:id="0">
    <w:p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805700"/>
      <w:docPartObj>
        <w:docPartGallery w:val="Page Numbers (Bottom of Page)"/>
        <w:docPartUnique/>
      </w:docPartObj>
    </w:sdtPr>
    <w:sdtContent>
      <w:p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>
      <w:r>
        <w:separator/>
      </w:r>
    </w:p>
  </w:footnote>
  <w:footnote w:type="continuationSeparator" w:id="0">
    <w:p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3357D1"/>
    <w:multiLevelType w:val="hybridMultilevel"/>
    <w:tmpl w:val="2A7EA4B6"/>
    <w:lvl w:ilvl="0" w:tplc="2568915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4566C2B"/>
    <w:multiLevelType w:val="hybridMultilevel"/>
    <w:tmpl w:val="849E3DDC"/>
    <w:lvl w:ilvl="0" w:tplc="C904180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A92D6A"/>
    <w:multiLevelType w:val="hybridMultilevel"/>
    <w:tmpl w:val="13FCE88A"/>
    <w:lvl w:ilvl="0" w:tplc="1638E89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9601E8"/>
    <w:multiLevelType w:val="hybridMultilevel"/>
    <w:tmpl w:val="40349B7E"/>
    <w:lvl w:ilvl="0" w:tplc="DB283DD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4BE579C"/>
    <w:multiLevelType w:val="hybridMultilevel"/>
    <w:tmpl w:val="77186348"/>
    <w:lvl w:ilvl="0" w:tplc="65AE229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B0E7ECF"/>
    <w:multiLevelType w:val="hybridMultilevel"/>
    <w:tmpl w:val="9B348166"/>
    <w:lvl w:ilvl="0" w:tplc="D5246148">
      <w:start w:val="1"/>
      <w:numFmt w:val="decimal"/>
      <w:lvlText w:val="(%1)"/>
      <w:lvlJc w:val="left"/>
      <w:pPr>
        <w:ind w:left="42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146" w:hanging="360"/>
      </w:pPr>
    </w:lvl>
    <w:lvl w:ilvl="2" w:tplc="0405001B" w:tentative="1">
      <w:start w:val="1"/>
      <w:numFmt w:val="lowerRoman"/>
      <w:lvlText w:val="%3."/>
      <w:lvlJc w:val="right"/>
      <w:pPr>
        <w:ind w:left="1866" w:hanging="180"/>
      </w:pPr>
    </w:lvl>
    <w:lvl w:ilvl="3" w:tplc="0405000F" w:tentative="1">
      <w:start w:val="1"/>
      <w:numFmt w:val="decimal"/>
      <w:lvlText w:val="%4."/>
      <w:lvlJc w:val="left"/>
      <w:pPr>
        <w:ind w:left="2586" w:hanging="360"/>
      </w:pPr>
    </w:lvl>
    <w:lvl w:ilvl="4" w:tplc="04050019" w:tentative="1">
      <w:start w:val="1"/>
      <w:numFmt w:val="lowerLetter"/>
      <w:lvlText w:val="%5."/>
      <w:lvlJc w:val="left"/>
      <w:pPr>
        <w:ind w:left="3306" w:hanging="360"/>
      </w:pPr>
    </w:lvl>
    <w:lvl w:ilvl="5" w:tplc="0405001B" w:tentative="1">
      <w:start w:val="1"/>
      <w:numFmt w:val="lowerRoman"/>
      <w:lvlText w:val="%6."/>
      <w:lvlJc w:val="right"/>
      <w:pPr>
        <w:ind w:left="4026" w:hanging="180"/>
      </w:pPr>
    </w:lvl>
    <w:lvl w:ilvl="6" w:tplc="0405000F" w:tentative="1">
      <w:start w:val="1"/>
      <w:numFmt w:val="decimal"/>
      <w:lvlText w:val="%7."/>
      <w:lvlJc w:val="left"/>
      <w:pPr>
        <w:ind w:left="4746" w:hanging="360"/>
      </w:pPr>
    </w:lvl>
    <w:lvl w:ilvl="7" w:tplc="04050019" w:tentative="1">
      <w:start w:val="1"/>
      <w:numFmt w:val="lowerLetter"/>
      <w:lvlText w:val="%8."/>
      <w:lvlJc w:val="left"/>
      <w:pPr>
        <w:ind w:left="5466" w:hanging="360"/>
      </w:pPr>
    </w:lvl>
    <w:lvl w:ilvl="8" w:tplc="0405001B" w:tentative="1">
      <w:start w:val="1"/>
      <w:numFmt w:val="lowerRoman"/>
      <w:lvlText w:val="%9."/>
      <w:lvlJc w:val="right"/>
      <w:pPr>
        <w:ind w:left="6186" w:hanging="180"/>
      </w:pPr>
    </w:lvl>
  </w:abstractNum>
  <w:abstractNum w:abstractNumId="6" w15:restartNumberingAfterBreak="0">
    <w:nsid w:val="340B3FFA"/>
    <w:multiLevelType w:val="hybridMultilevel"/>
    <w:tmpl w:val="05944C14"/>
    <w:lvl w:ilvl="0" w:tplc="7406843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64F33C2"/>
    <w:multiLevelType w:val="hybridMultilevel"/>
    <w:tmpl w:val="2E02748E"/>
    <w:lvl w:ilvl="0" w:tplc="E2F4678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7763D38"/>
    <w:multiLevelType w:val="hybridMultilevel"/>
    <w:tmpl w:val="3A10DCF4"/>
    <w:lvl w:ilvl="0" w:tplc="4E80FFAE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9F05358"/>
    <w:multiLevelType w:val="hybridMultilevel"/>
    <w:tmpl w:val="1C540C68"/>
    <w:lvl w:ilvl="0" w:tplc="ACC44A9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BE72529"/>
    <w:multiLevelType w:val="hybridMultilevel"/>
    <w:tmpl w:val="50A8D02C"/>
    <w:lvl w:ilvl="0" w:tplc="F69A0EE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0A17BA4"/>
    <w:multiLevelType w:val="hybridMultilevel"/>
    <w:tmpl w:val="564E4D92"/>
    <w:lvl w:ilvl="0" w:tplc="6DC0FEB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583B204A"/>
    <w:multiLevelType w:val="hybridMultilevel"/>
    <w:tmpl w:val="9514CA28"/>
    <w:lvl w:ilvl="0" w:tplc="9DD0AE9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DA306E5"/>
    <w:multiLevelType w:val="hybridMultilevel"/>
    <w:tmpl w:val="1F7E85A6"/>
    <w:lvl w:ilvl="0" w:tplc="10C0E0D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76673DF"/>
    <w:multiLevelType w:val="hybridMultilevel"/>
    <w:tmpl w:val="030C6610"/>
    <w:lvl w:ilvl="0" w:tplc="63A65BC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2156CCC"/>
    <w:multiLevelType w:val="hybridMultilevel"/>
    <w:tmpl w:val="D98A029C"/>
    <w:lvl w:ilvl="0" w:tplc="14A20F5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73448EE"/>
    <w:multiLevelType w:val="hybridMultilevel"/>
    <w:tmpl w:val="6358C036"/>
    <w:lvl w:ilvl="0" w:tplc="ED989868">
      <w:start w:val="1"/>
      <w:numFmt w:val="decimal"/>
      <w:lvlText w:val="(%1)"/>
      <w:lvlJc w:val="left"/>
      <w:pPr>
        <w:ind w:left="7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796" w:hanging="360"/>
      </w:pPr>
    </w:lvl>
    <w:lvl w:ilvl="2" w:tplc="0405001B" w:tentative="1">
      <w:start w:val="1"/>
      <w:numFmt w:val="lowerRoman"/>
      <w:lvlText w:val="%3."/>
      <w:lvlJc w:val="right"/>
      <w:pPr>
        <w:ind w:left="1516" w:hanging="180"/>
      </w:pPr>
    </w:lvl>
    <w:lvl w:ilvl="3" w:tplc="0405000F" w:tentative="1">
      <w:start w:val="1"/>
      <w:numFmt w:val="decimal"/>
      <w:lvlText w:val="%4."/>
      <w:lvlJc w:val="left"/>
      <w:pPr>
        <w:ind w:left="2236" w:hanging="360"/>
      </w:pPr>
    </w:lvl>
    <w:lvl w:ilvl="4" w:tplc="04050019" w:tentative="1">
      <w:start w:val="1"/>
      <w:numFmt w:val="lowerLetter"/>
      <w:lvlText w:val="%5."/>
      <w:lvlJc w:val="left"/>
      <w:pPr>
        <w:ind w:left="2956" w:hanging="360"/>
      </w:pPr>
    </w:lvl>
    <w:lvl w:ilvl="5" w:tplc="0405001B" w:tentative="1">
      <w:start w:val="1"/>
      <w:numFmt w:val="lowerRoman"/>
      <w:lvlText w:val="%6."/>
      <w:lvlJc w:val="right"/>
      <w:pPr>
        <w:ind w:left="3676" w:hanging="180"/>
      </w:pPr>
    </w:lvl>
    <w:lvl w:ilvl="6" w:tplc="0405000F" w:tentative="1">
      <w:start w:val="1"/>
      <w:numFmt w:val="decimal"/>
      <w:lvlText w:val="%7."/>
      <w:lvlJc w:val="left"/>
      <w:pPr>
        <w:ind w:left="4396" w:hanging="360"/>
      </w:pPr>
    </w:lvl>
    <w:lvl w:ilvl="7" w:tplc="04050019" w:tentative="1">
      <w:start w:val="1"/>
      <w:numFmt w:val="lowerLetter"/>
      <w:lvlText w:val="%8."/>
      <w:lvlJc w:val="left"/>
      <w:pPr>
        <w:ind w:left="5116" w:hanging="360"/>
      </w:pPr>
    </w:lvl>
    <w:lvl w:ilvl="8" w:tplc="0405001B" w:tentative="1">
      <w:start w:val="1"/>
      <w:numFmt w:val="lowerRoman"/>
      <w:lvlText w:val="%9."/>
      <w:lvlJc w:val="right"/>
      <w:pPr>
        <w:ind w:left="5836" w:hanging="180"/>
      </w:pPr>
    </w:lvl>
  </w:abstractNum>
  <w:num w:numId="1">
    <w:abstractNumId w:val="10"/>
  </w:num>
  <w:num w:numId="2">
    <w:abstractNumId w:val="2"/>
  </w:num>
  <w:num w:numId="3">
    <w:abstractNumId w:val="15"/>
  </w:num>
  <w:num w:numId="4">
    <w:abstractNumId w:val="7"/>
  </w:num>
  <w:num w:numId="5">
    <w:abstractNumId w:val="3"/>
  </w:num>
  <w:num w:numId="6">
    <w:abstractNumId w:val="12"/>
  </w:num>
  <w:num w:numId="7">
    <w:abstractNumId w:val="0"/>
  </w:num>
  <w:num w:numId="8">
    <w:abstractNumId w:val="6"/>
  </w:num>
  <w:num w:numId="9">
    <w:abstractNumId w:val="1"/>
  </w:num>
  <w:num w:numId="10">
    <w:abstractNumId w:val="13"/>
  </w:num>
  <w:num w:numId="11">
    <w:abstractNumId w:val="8"/>
  </w:num>
  <w:num w:numId="12">
    <w:abstractNumId w:val="16"/>
  </w:num>
  <w:num w:numId="13">
    <w:abstractNumId w:val="9"/>
  </w:num>
  <w:num w:numId="14">
    <w:abstractNumId w:val="11"/>
  </w:num>
  <w:num w:numId="15">
    <w:abstractNumId w:val="5"/>
  </w:num>
  <w:num w:numId="16">
    <w:abstractNumId w:val="4"/>
  </w:num>
  <w:num w:numId="1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CDF8624-FC91-40BE-88A3-F9685492BF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</w:style>
  <w:style w:type="paragraph" w:styleId="Nadpis1">
    <w:name w:val="heading 1"/>
    <w:basedOn w:val="Normln"/>
    <w:next w:val="Normln"/>
    <w:link w:val="Nadpis1Char"/>
    <w:qFormat/>
    <w:pPr>
      <w:keepNext/>
      <w:jc w:val="center"/>
      <w:outlineLvl w:val="0"/>
    </w:pPr>
    <w:rPr>
      <w:rFonts w:ascii="Garamond" w:eastAsia="Times New Roman" w:hAnsi="Garamond"/>
      <w:b/>
      <w:bCs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Pr>
      <w:rFonts w:ascii="Times New Roman" w:eastAsia="Calibri" w:hAnsi="Times New Roman" w:cs="Times New Roman"/>
      <w:sz w:val="24"/>
      <w:szCs w:val="24"/>
    </w:rPr>
  </w:style>
  <w:style w:type="paragraph" w:styleId="Zpat">
    <w:name w:val="footer"/>
    <w:basedOn w:val="Normln"/>
    <w:link w:val="ZpatChar"/>
    <w:uiPriority w:val="99"/>
    <w:unhideWhenUsed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Pr>
      <w:rFonts w:ascii="Times New Roman" w:eastAsia="Calibri" w:hAnsi="Times New Roman" w:cs="Times New Roman"/>
      <w:sz w:val="24"/>
      <w:szCs w:val="24"/>
    </w:rPr>
  </w:style>
  <w:style w:type="paragraph" w:customStyle="1" w:styleId="Default">
    <w:name w:val="Default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Odkaznakoment">
    <w:name w:val="annotation reference"/>
    <w:basedOn w:val="Standardnpsmoodstavce"/>
    <w:uiPriority w:val="99"/>
    <w:semiHidden/>
    <w:unhideWhenUsed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Pr>
      <w:rFonts w:ascii="Times New Roman" w:eastAsia="Calibri" w:hAnsi="Times New Roman" w:cs="Times New Roman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Pr>
      <w:rFonts w:ascii="Times New Roman" w:eastAsia="Calibri" w:hAnsi="Times New Roman" w:cs="Times New Roman"/>
      <w:b/>
      <w:bCs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Pr>
      <w:rFonts w:ascii="Segoe UI" w:eastAsia="Calibri" w:hAnsi="Segoe UI" w:cs="Segoe UI"/>
      <w:sz w:val="18"/>
      <w:szCs w:val="18"/>
    </w:rPr>
  </w:style>
  <w:style w:type="character" w:customStyle="1" w:styleId="Nadpis1Char">
    <w:name w:val="Nadpis 1 Char"/>
    <w:basedOn w:val="Standardnpsmoodstavce"/>
    <w:link w:val="Nadpis1"/>
    <w:rPr>
      <w:rFonts w:ascii="Garamond" w:eastAsia="Times New Roman" w:hAnsi="Garamond" w:cs="Times New Roman"/>
      <w:b/>
      <w:bCs/>
      <w:sz w:val="24"/>
      <w:szCs w:val="24"/>
      <w:lang w:eastAsia="cs-CZ"/>
    </w:rPr>
  </w:style>
  <w:style w:type="paragraph" w:styleId="Zkladntextodsazen3">
    <w:name w:val="Body Text Indent 3"/>
    <w:basedOn w:val="Normln"/>
    <w:link w:val="Zkladntextodsazen3Char"/>
    <w:pPr>
      <w:ind w:left="360"/>
      <w:jc w:val="both"/>
    </w:pPr>
    <w:rPr>
      <w:rFonts w:eastAsia="Times New Roman"/>
      <w:lang w:eastAsia="cs-CZ"/>
    </w:rPr>
  </w:style>
  <w:style w:type="character" w:customStyle="1" w:styleId="Zkladntextodsazen3Char">
    <w:name w:val="Základní text odsazený 3 Char"/>
    <w:basedOn w:val="Standardnpsmoodstavce"/>
    <w:link w:val="Zkladntextodsazen3"/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61CBF3-3171-4F64-82C4-4C25B417AA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1098</Words>
  <Characters>6482</Characters>
  <Application>Microsoft Office Word</Application>
  <DocSecurity>0</DocSecurity>
  <Lines>54</Lines>
  <Paragraphs>15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Mgr. Ivana Petrová</dc:creator>
  <cp:keywords/>
  <dc:description/>
  <cp:lastModifiedBy>Kristýna Nováčková</cp:lastModifiedBy>
  <cp:revision>2</cp:revision>
  <dcterms:created xsi:type="dcterms:W3CDTF">2022-06-03T10:39:00Z</dcterms:created>
  <dcterms:modified xsi:type="dcterms:W3CDTF">2022-06-03T10:39:00Z</dcterms:modified>
</cp:coreProperties>
</file>