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ageBreakBefore w:val="0"/>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ageBreakBefore w:val="0"/>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Základní škola při Psychiatrické nemocnici Bohnice, Praha 8, Ústavní 91</w:t>
            </w:r>
          </w:p>
        </w:tc>
      </w:tr>
    </w:tb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Ústavní 91, 18100 Praha</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70828083</w:t>
            </w:r>
          </w:p>
        </w:tc>
      </w:tr>
    </w:tb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Mgr. Kamila Svobodová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resortní identifikátor (RED-IZO):</w:t>
              <w:tab/>
              <w:t xml:space="preserve">600021262</w:t>
            </w:r>
          </w:p>
        </w:tc>
      </w:tr>
    </w:tbl>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sestava SchoolBoard Premium Line 75" Triptych s keramickými křídly na el. pojezdu (3 ks);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Bezdrátová klávesnice s myší (3 ks) | Přepěťová ochrana (3 ks);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SW mozaBook s 3D modely a animacemi (licence na 3 roky do 3 zařízení);</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Barevné kamínky - iŠkolička (školní multilicence na 1 rok);</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Router ASUS;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Webkamera Logitech;</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Microsoft Office Standard 2021 EDU (trvalá licence do 3 zařízení).</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480.000 Kč (čtyři sta osmdesát tisíc korun českých)</w:t>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60 dnů od podpisu Smlouvy na číslo účtu Prodávajícího vedené v záhlaví této Smlouvy.</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na drese Poznaňská 830/32a, 181 00 Praha 8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na výše uvedené adrese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4">
      <w:pPr>
        <w:spacing w:line="276" w:lineRule="auto"/>
        <w:ind w:right="4.606299212599083"/>
        <w:jc w:val="center"/>
        <w:rPr>
          <w:b w:val="1"/>
          <w:sz w:val="20"/>
          <w:szCs w:val="20"/>
        </w:rPr>
      </w:pPr>
      <w:r w:rsidDel="00000000" w:rsidR="00000000" w:rsidRPr="00000000">
        <w:rPr>
          <w:rtl w:val="0"/>
        </w:rPr>
      </w:r>
    </w:p>
    <w:p w:rsidR="00000000" w:rsidDel="00000000" w:rsidP="00000000" w:rsidRDefault="00000000" w:rsidRPr="00000000" w14:paraId="00000055">
      <w:pP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6">
      <w:pPr>
        <w:spacing w:line="276" w:lineRule="auto"/>
        <w:jc w:val="center"/>
        <w:rPr>
          <w:sz w:val="20"/>
          <w:szCs w:val="20"/>
        </w:rPr>
      </w:pPr>
      <w:r w:rsidDel="00000000" w:rsidR="00000000" w:rsidRPr="00000000">
        <w:rPr>
          <w:b w:val="1"/>
          <w:sz w:val="20"/>
          <w:szCs w:val="20"/>
          <w:rtl w:val="0"/>
        </w:rPr>
        <w:t xml:space="preserve">Uveřejnění Smlouvy</w:t>
      </w:r>
      <w:r w:rsidDel="00000000" w:rsidR="00000000" w:rsidRPr="00000000">
        <w:rPr>
          <w:sz w:val="20"/>
          <w:szCs w:val="20"/>
          <w:rtl w:val="0"/>
        </w:rPr>
        <w:t xml:space="preserve"> </w:t>
      </w:r>
    </w:p>
    <w:p w:rsidR="00000000" w:rsidDel="00000000" w:rsidP="00000000" w:rsidRDefault="00000000" w:rsidRPr="00000000" w14:paraId="00000057">
      <w:pPr>
        <w:spacing w:line="276" w:lineRule="auto"/>
        <w:jc w:val="center"/>
        <w:rPr>
          <w:sz w:val="20"/>
          <w:szCs w:val="20"/>
        </w:rPr>
      </w:pPr>
      <w:r w:rsidDel="00000000" w:rsidR="00000000" w:rsidRPr="00000000">
        <w:rPr>
          <w:rtl w:val="0"/>
        </w:rPr>
      </w:r>
    </w:p>
    <w:p w:rsidR="00000000" w:rsidDel="00000000" w:rsidP="00000000" w:rsidRDefault="00000000" w:rsidRPr="00000000" w14:paraId="00000058">
      <w:pPr>
        <w:spacing w:line="276" w:lineRule="auto"/>
        <w:jc w:val="both"/>
        <w:rPr>
          <w:sz w:val="20"/>
          <w:szCs w:val="20"/>
        </w:rPr>
      </w:pPr>
      <w:r w:rsidDel="00000000" w:rsidR="00000000" w:rsidRPr="00000000">
        <w:rPr>
          <w:sz w:val="20"/>
          <w:szCs w:val="20"/>
          <w:rtl w:val="0"/>
        </w:rPr>
        <w:t xml:space="preserve">1.</w:t>
        <w:tab/>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000000" w:rsidDel="00000000" w:rsidP="00000000" w:rsidRDefault="00000000" w:rsidRPr="00000000" w14:paraId="00000059">
      <w:pPr>
        <w:spacing w:line="276" w:lineRule="auto"/>
        <w:jc w:val="both"/>
        <w:rPr>
          <w:sz w:val="20"/>
          <w:szCs w:val="20"/>
        </w:rPr>
      </w:pPr>
      <w:r w:rsidDel="00000000" w:rsidR="00000000" w:rsidRPr="00000000">
        <w:rPr>
          <w:sz w:val="20"/>
          <w:szCs w:val="20"/>
          <w:rtl w:val="0"/>
        </w:rPr>
        <w:t xml:space="preserve">2.</w:t>
        <w:tab/>
        <w:t xml:space="preserve">Strany prohlašují, že se dohodly na všech částech smlouvy, které budou pro účely jejího uveřejnění prostřednictvím registru smluv znečitelněny.</w:t>
      </w:r>
    </w:p>
    <w:p w:rsidR="00000000" w:rsidDel="00000000" w:rsidP="00000000" w:rsidRDefault="00000000" w:rsidRPr="00000000" w14:paraId="0000005A">
      <w:pPr>
        <w:spacing w:line="276" w:lineRule="auto"/>
        <w:jc w:val="both"/>
        <w:rPr>
          <w:sz w:val="20"/>
          <w:szCs w:val="20"/>
        </w:rPr>
      </w:pPr>
      <w:r w:rsidDel="00000000" w:rsidR="00000000" w:rsidRPr="00000000">
        <w:rPr>
          <w:sz w:val="20"/>
          <w:szCs w:val="20"/>
          <w:rtl w:val="0"/>
        </w:rPr>
        <w:t xml:space="preserve">3.</w:t>
        <w:tab/>
        <w:t xml:space="preserve">Smluvní strany se dále dohodly, že tuto Smlouvu zašle správci registru smluv k uveřejnění prostřednictvím registru smluv Prodávající. Notifikace správce registru smluv o uveřejnění Smlouvy bude zaslána Kupujícímu na e-mail Kupujícího. Kupující je povinen zkontrolovat, že tato Smlouva včetně všech příloh a metadat byla řádně v registru smluv uveřejněna. V případě, že Kupující zjistí jakékoli nepřesnosti či nedostatky, je povinen neprodleně o nich písemně informovat Prodávajícího. Postup uvedený v tomto odstavci se smluvní strany zavazují dodržovat i v případě uzavření jakýchkoli dalších dohod, kterými se tato Smlouva bude případně doplňovat, měnit, nahrazovat nebo rušit.</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IX.</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24. 5. 2022</w:t>
        <w:tab/>
        <w:tab/>
        <w:tab/>
        <w:tab/>
        <w:tab/>
        <w:t xml:space="preserve">Prodávající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Praze dne 24. 5. 2022</w:t>
        <w:tab/>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