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F1" w:rsidRPr="0076471F" w:rsidRDefault="00644CF1" w:rsidP="00644CF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6471F">
        <w:rPr>
          <w:rFonts w:ascii="Times New Roman" w:hAnsi="Times New Roman"/>
          <w:b/>
          <w:bCs/>
          <w:sz w:val="24"/>
          <w:szCs w:val="24"/>
        </w:rPr>
        <w:t xml:space="preserve">                          Číslo stavby _________</w:t>
      </w:r>
      <w:r w:rsidRPr="0076471F">
        <w:rPr>
          <w:rFonts w:ascii="Times New Roman" w:hAnsi="Times New Roman"/>
          <w:b/>
          <w:bCs/>
          <w:sz w:val="24"/>
          <w:szCs w:val="24"/>
        </w:rPr>
        <w:tab/>
      </w:r>
    </w:p>
    <w:p w:rsidR="00644CF1" w:rsidRPr="0076471F" w:rsidRDefault="00644CF1" w:rsidP="00644CF1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before="240" w:after="6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76471F">
        <w:rPr>
          <w:rFonts w:ascii="Times New Roman" w:hAnsi="Times New Roman"/>
          <w:b/>
          <w:bCs/>
          <w:sz w:val="28"/>
          <w:szCs w:val="28"/>
        </w:rPr>
        <w:tab/>
      </w:r>
    </w:p>
    <w:p w:rsidR="00644CF1" w:rsidRPr="0076471F" w:rsidRDefault="00644CF1" w:rsidP="00644C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471F">
        <w:rPr>
          <w:rFonts w:ascii="Times New Roman" w:hAnsi="Times New Roman"/>
          <w:b/>
          <w:bCs/>
          <w:sz w:val="28"/>
          <w:szCs w:val="28"/>
        </w:rPr>
        <w:t>S M L O U V A  O  B U D O U C Í  S M L O U V Ě</w:t>
      </w:r>
    </w:p>
    <w:p w:rsidR="00644CF1" w:rsidRPr="0076471F" w:rsidRDefault="00644CF1" w:rsidP="00644CF1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uto"/>
        <w:ind w:left="825"/>
        <w:jc w:val="center"/>
        <w:rPr>
          <w:rFonts w:ascii="Times New Roman" w:hAnsi="Times New Roman"/>
          <w:b/>
          <w:bCs/>
          <w:sz w:val="28"/>
          <w:szCs w:val="28"/>
        </w:rPr>
      </w:pPr>
      <w:r w:rsidRPr="0076471F">
        <w:rPr>
          <w:rFonts w:ascii="Times New Roman" w:hAnsi="Times New Roman"/>
          <w:b/>
          <w:bCs/>
          <w:sz w:val="28"/>
          <w:szCs w:val="28"/>
        </w:rPr>
        <w:t>O  Z Ř Í Z E N Í  S L U Ž E B N O S T I</w:t>
      </w:r>
    </w:p>
    <w:p w:rsidR="00644CF1" w:rsidRPr="0076471F" w:rsidRDefault="00644CF1" w:rsidP="00644CF1">
      <w:pPr>
        <w:pStyle w:val="Odstavecseseznamem"/>
        <w:keepNext/>
        <w:widowControl w:val="0"/>
        <w:tabs>
          <w:tab w:val="center" w:pos="5115"/>
          <w:tab w:val="left" w:pos="8040"/>
        </w:tabs>
        <w:autoSpaceDE w:val="0"/>
        <w:autoSpaceDN w:val="0"/>
        <w:adjustRightInd w:val="0"/>
        <w:spacing w:after="0" w:line="240" w:lineRule="auto"/>
        <w:ind w:left="825"/>
        <w:rPr>
          <w:rFonts w:ascii="Times New Roman" w:hAnsi="Times New Roman"/>
          <w:b/>
          <w:bCs/>
          <w:sz w:val="28"/>
          <w:szCs w:val="28"/>
        </w:rPr>
      </w:pPr>
      <w:r w:rsidRPr="0076471F">
        <w:rPr>
          <w:rFonts w:ascii="Times New Roman" w:hAnsi="Times New Roman"/>
          <w:b/>
          <w:bCs/>
          <w:sz w:val="28"/>
          <w:szCs w:val="28"/>
        </w:rPr>
        <w:tab/>
        <w:t>I N Ž E N Ý R S K É  S Í T Ě  č.</w:t>
      </w:r>
      <w:r>
        <w:rPr>
          <w:rFonts w:ascii="Times New Roman" w:hAnsi="Times New Roman"/>
          <w:b/>
          <w:bCs/>
          <w:sz w:val="28"/>
          <w:szCs w:val="28"/>
        </w:rPr>
        <w:t xml:space="preserve"> CES ………/……</w:t>
      </w:r>
      <w:r w:rsidRPr="0076471F">
        <w:rPr>
          <w:rFonts w:ascii="Times New Roman" w:hAnsi="Times New Roman"/>
          <w:b/>
          <w:bCs/>
          <w:sz w:val="28"/>
          <w:szCs w:val="28"/>
        </w:rPr>
        <w:tab/>
      </w:r>
    </w:p>
    <w:p w:rsidR="00644CF1" w:rsidRPr="0076471F" w:rsidRDefault="00644CF1" w:rsidP="00644C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471F">
        <w:rPr>
          <w:rFonts w:ascii="Times New Roman" w:hAnsi="Times New Roman"/>
          <w:b/>
          <w:bCs/>
          <w:sz w:val="24"/>
          <w:szCs w:val="24"/>
        </w:rPr>
        <w:t>uzavřená níže uvedeného dne, měsíce a roku</w:t>
      </w:r>
    </w:p>
    <w:p w:rsidR="00644CF1" w:rsidRPr="0076471F" w:rsidRDefault="00644CF1" w:rsidP="00644CF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 xml:space="preserve">dle ust. § </w:t>
      </w:r>
      <w:smartTag w:uri="urn:schemas-microsoft-com:office:smarttags" w:element="metricconverter">
        <w:smartTagPr>
          <w:attr w:name="ProductID" w:val="1785 a"/>
        </w:smartTagPr>
        <w:r w:rsidRPr="0076471F">
          <w:rPr>
            <w:rFonts w:ascii="Times New Roman" w:hAnsi="Times New Roman"/>
            <w:sz w:val="24"/>
            <w:szCs w:val="24"/>
          </w:rPr>
          <w:t>1785 a</w:t>
        </w:r>
      </w:smartTag>
      <w:r w:rsidRPr="0076471F">
        <w:rPr>
          <w:rFonts w:ascii="Times New Roman" w:hAnsi="Times New Roman"/>
          <w:sz w:val="24"/>
          <w:szCs w:val="24"/>
        </w:rPr>
        <w:t xml:space="preserve"> násl. zákona č. 89/2012 Sb., občanský zákoník, v platném znění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>/dále jen „Smlouva“ nebo „tato Smlouva“/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>mezi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>Město</w:t>
      </w:r>
      <w:r>
        <w:rPr>
          <w:rFonts w:ascii="Times New Roman" w:hAnsi="Times New Roman"/>
          <w:b/>
          <w:sz w:val="24"/>
          <w:szCs w:val="24"/>
        </w:rPr>
        <w:t xml:space="preserve"> Litvínov </w:t>
      </w:r>
      <w:r>
        <w:rPr>
          <w:rFonts w:ascii="Times New Roman" w:hAnsi="Times New Roman"/>
          <w:sz w:val="24"/>
          <w:szCs w:val="24"/>
        </w:rPr>
        <w:t>se sídlem na Městském úřadu v Litvínově, ulice Náměstí Míru č. 11,         PSČ 436 91</w:t>
      </w:r>
      <w:r w:rsidRPr="0076471F">
        <w:rPr>
          <w:rFonts w:ascii="Times New Roman" w:hAnsi="Times New Roman"/>
          <w:sz w:val="24"/>
          <w:szCs w:val="24"/>
        </w:rPr>
        <w:t>,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 xml:space="preserve">IČ </w:t>
      </w:r>
      <w:r>
        <w:rPr>
          <w:rFonts w:ascii="Times New Roman" w:hAnsi="Times New Roman"/>
          <w:sz w:val="24"/>
          <w:szCs w:val="24"/>
        </w:rPr>
        <w:t>00266027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 xml:space="preserve">DIČ </w:t>
      </w:r>
      <w:r>
        <w:rPr>
          <w:rFonts w:ascii="Times New Roman" w:hAnsi="Times New Roman"/>
          <w:sz w:val="24"/>
          <w:szCs w:val="24"/>
        </w:rPr>
        <w:t>CZ00266027</w:t>
      </w:r>
      <w:r w:rsidRPr="0076471F">
        <w:rPr>
          <w:rFonts w:ascii="Times New Roman" w:hAnsi="Times New Roman"/>
          <w:sz w:val="24"/>
          <w:szCs w:val="24"/>
        </w:rPr>
        <w:t>, zastoupen</w:t>
      </w:r>
      <w:r>
        <w:rPr>
          <w:rFonts w:ascii="Times New Roman" w:hAnsi="Times New Roman"/>
          <w:sz w:val="24"/>
          <w:szCs w:val="24"/>
        </w:rPr>
        <w:t>é</w:t>
      </w:r>
      <w:r w:rsidRPr="0076471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Mgr. Kamilou Bláhovou, starostkou města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>Komerční banka a.s., expozitura Litvínov</w:t>
      </w:r>
      <w:r w:rsidRPr="0076471F">
        <w:rPr>
          <w:rFonts w:ascii="Times New Roman" w:hAnsi="Times New Roman"/>
          <w:sz w:val="24"/>
          <w:szCs w:val="24"/>
        </w:rPr>
        <w:t>, č.ú.:</w:t>
      </w:r>
      <w:r>
        <w:rPr>
          <w:rFonts w:ascii="Times New Roman" w:hAnsi="Times New Roman"/>
          <w:sz w:val="24"/>
          <w:szCs w:val="24"/>
        </w:rPr>
        <w:t>19-0000921491/0100</w:t>
      </w:r>
    </w:p>
    <w:p w:rsidR="00644CF1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>(dále jen „</w:t>
      </w:r>
      <w:r w:rsidRPr="0076471F">
        <w:rPr>
          <w:rFonts w:ascii="Times New Roman" w:hAnsi="Times New Roman"/>
          <w:b/>
          <w:sz w:val="24"/>
          <w:szCs w:val="24"/>
        </w:rPr>
        <w:t>budoucí povinná osoba</w:t>
      </w:r>
      <w:r w:rsidRPr="0076471F">
        <w:rPr>
          <w:rFonts w:ascii="Times New Roman" w:hAnsi="Times New Roman"/>
          <w:sz w:val="24"/>
          <w:szCs w:val="24"/>
        </w:rPr>
        <w:t>“)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>a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b/>
          <w:sz w:val="24"/>
          <w:szCs w:val="24"/>
        </w:rPr>
        <w:t>Severočeská vodárenská společnost a.s</w:t>
      </w:r>
      <w:r w:rsidRPr="0076471F">
        <w:rPr>
          <w:rFonts w:ascii="Times New Roman" w:hAnsi="Times New Roman"/>
          <w:sz w:val="24"/>
          <w:szCs w:val="24"/>
        </w:rPr>
        <w:t xml:space="preserve">., </w:t>
      </w:r>
    </w:p>
    <w:p w:rsidR="00644CF1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r w:rsidRPr="0076471F">
        <w:rPr>
          <w:rFonts w:ascii="Times New Roman" w:hAnsi="Times New Roman"/>
          <w:sz w:val="24"/>
          <w:szCs w:val="24"/>
        </w:rPr>
        <w:t>sídlem Přítkovská 1689, 415 50</w:t>
      </w:r>
      <w:r>
        <w:rPr>
          <w:rFonts w:ascii="Times New Roman" w:hAnsi="Times New Roman"/>
          <w:sz w:val="24"/>
          <w:szCs w:val="24"/>
        </w:rPr>
        <w:t xml:space="preserve"> Teplice,</w:t>
      </w:r>
    </w:p>
    <w:p w:rsidR="00644CF1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IČ:49099469</w:t>
      </w:r>
    </w:p>
    <w:p w:rsidR="00644CF1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CZ49099469</w:t>
      </w:r>
    </w:p>
    <w:p w:rsidR="00644CF1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>zapsaná v obchodním rejstříku vedeném Krajským soudem v Ústí n</w:t>
      </w:r>
      <w:r>
        <w:rPr>
          <w:rFonts w:ascii="Times New Roman" w:hAnsi="Times New Roman"/>
          <w:sz w:val="24"/>
          <w:szCs w:val="24"/>
        </w:rPr>
        <w:t>ad Labem v oddílu B, vložce 466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>zastoupená</w:t>
      </w:r>
      <w:r>
        <w:rPr>
          <w:rFonts w:ascii="Times New Roman" w:hAnsi="Times New Roman"/>
          <w:sz w:val="24"/>
          <w:szCs w:val="24"/>
        </w:rPr>
        <w:t>:</w:t>
      </w:r>
      <w:r w:rsidRPr="007647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Aleš Zachariáš ředitel odboru správy majetku Severočeské vodárenské společnosti a.s.</w:t>
      </w:r>
      <w:r w:rsidRPr="0076471F">
        <w:rPr>
          <w:rFonts w:ascii="Times New Roman" w:hAnsi="Times New Roman"/>
          <w:sz w:val="24"/>
          <w:szCs w:val="24"/>
        </w:rPr>
        <w:t xml:space="preserve"> na základě pověření představenstva společnosti</w:t>
      </w:r>
      <w:r>
        <w:rPr>
          <w:rFonts w:ascii="Times New Roman" w:hAnsi="Times New Roman"/>
          <w:sz w:val="24"/>
          <w:szCs w:val="24"/>
        </w:rPr>
        <w:t xml:space="preserve"> ze dne 19.6.2014</w:t>
      </w:r>
    </w:p>
    <w:p w:rsidR="00644CF1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 xml:space="preserve">Bankovní spojení: </w:t>
      </w:r>
      <w:r w:rsidR="00B0636D">
        <w:rPr>
          <w:rFonts w:ascii="Times New Roman" w:hAnsi="Times New Roman"/>
          <w:sz w:val="24"/>
          <w:szCs w:val="24"/>
        </w:rPr>
        <w:t>xxxxxxxxxxxxxxxx</w:t>
      </w:r>
      <w:bookmarkStart w:id="0" w:name="_GoBack"/>
      <w:bookmarkEnd w:id="0"/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 xml:space="preserve"> </w:t>
      </w:r>
    </w:p>
    <w:p w:rsidR="00644CF1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>(dále jen „</w:t>
      </w:r>
      <w:r w:rsidRPr="0076471F">
        <w:rPr>
          <w:rFonts w:ascii="Times New Roman" w:hAnsi="Times New Roman"/>
          <w:b/>
          <w:sz w:val="24"/>
          <w:szCs w:val="24"/>
        </w:rPr>
        <w:t>budoucí oprávněná osoba</w:t>
      </w:r>
      <w:r w:rsidRPr="0076471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(společně též jako „Účastníci smlouvy“)</w:t>
      </w:r>
    </w:p>
    <w:p w:rsidR="00644CF1" w:rsidRPr="0076471F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6471F">
        <w:rPr>
          <w:rFonts w:ascii="Times New Roman" w:hAnsi="Times New Roman"/>
          <w:b/>
          <w:sz w:val="24"/>
          <w:szCs w:val="24"/>
        </w:rPr>
        <w:t>I.</w:t>
      </w:r>
    </w:p>
    <w:p w:rsidR="00644CF1" w:rsidRPr="0076471F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>Budoucí povinná osoba je výlučným vlastníkem:</w:t>
      </w:r>
    </w:p>
    <w:p w:rsidR="00644CF1" w:rsidRPr="00AD482D" w:rsidRDefault="00644CF1" w:rsidP="00644C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 xml:space="preserve">pozemku </w:t>
      </w:r>
      <w:r w:rsidRPr="00AD482D">
        <w:rPr>
          <w:rFonts w:ascii="Times New Roman" w:hAnsi="Times New Roman"/>
          <w:sz w:val="24"/>
          <w:szCs w:val="24"/>
        </w:rPr>
        <w:t>parc. č.</w:t>
      </w:r>
      <w:r>
        <w:rPr>
          <w:rFonts w:ascii="Times New Roman" w:hAnsi="Times New Roman"/>
          <w:sz w:val="24"/>
          <w:szCs w:val="24"/>
        </w:rPr>
        <w:t>1338/11</w:t>
      </w:r>
      <w:r w:rsidRPr="00AD482D">
        <w:rPr>
          <w:rFonts w:ascii="Times New Roman" w:hAnsi="Times New Roman"/>
          <w:sz w:val="24"/>
          <w:szCs w:val="24"/>
        </w:rPr>
        <w:t xml:space="preserve">, zapsaného v Katastru nemovitostí na listu vlastnictví číslo </w:t>
      </w:r>
      <w:r>
        <w:rPr>
          <w:rFonts w:ascii="Times New Roman" w:hAnsi="Times New Roman"/>
          <w:sz w:val="24"/>
          <w:szCs w:val="24"/>
        </w:rPr>
        <w:t>1,</w:t>
      </w:r>
      <w:r w:rsidRPr="00AD482D">
        <w:rPr>
          <w:rFonts w:ascii="Times New Roman" w:hAnsi="Times New Roman"/>
          <w:sz w:val="24"/>
          <w:szCs w:val="24"/>
        </w:rPr>
        <w:t xml:space="preserve"> pro katastrální území</w:t>
      </w:r>
      <w:r>
        <w:rPr>
          <w:rFonts w:ascii="Times New Roman" w:hAnsi="Times New Roman"/>
          <w:sz w:val="24"/>
          <w:szCs w:val="24"/>
        </w:rPr>
        <w:t xml:space="preserve"> Horní Litvínov</w:t>
      </w:r>
      <w:r w:rsidRPr="00AD482D">
        <w:rPr>
          <w:rFonts w:ascii="Times New Roman" w:hAnsi="Times New Roman"/>
          <w:sz w:val="24"/>
          <w:szCs w:val="24"/>
        </w:rPr>
        <w:t xml:space="preserve">, obec </w:t>
      </w:r>
      <w:r>
        <w:rPr>
          <w:rFonts w:ascii="Times New Roman" w:hAnsi="Times New Roman"/>
          <w:sz w:val="24"/>
          <w:szCs w:val="24"/>
        </w:rPr>
        <w:t>Litvínov</w:t>
      </w:r>
      <w:r w:rsidRPr="00AD482D">
        <w:rPr>
          <w:rFonts w:ascii="Times New Roman" w:hAnsi="Times New Roman"/>
          <w:sz w:val="24"/>
          <w:szCs w:val="24"/>
        </w:rPr>
        <w:t xml:space="preserve">, u Katastrálního úřadu pro </w:t>
      </w:r>
      <w:r>
        <w:rPr>
          <w:rFonts w:ascii="Times New Roman" w:hAnsi="Times New Roman"/>
          <w:sz w:val="24"/>
          <w:szCs w:val="24"/>
        </w:rPr>
        <w:t>Ústecký K</w:t>
      </w:r>
      <w:r w:rsidRPr="00AD482D">
        <w:rPr>
          <w:rFonts w:ascii="Times New Roman" w:hAnsi="Times New Roman"/>
          <w:sz w:val="24"/>
          <w:szCs w:val="24"/>
        </w:rPr>
        <w:t>raj, Katastrální pracoviště</w:t>
      </w:r>
      <w:r>
        <w:rPr>
          <w:rFonts w:ascii="Times New Roman" w:hAnsi="Times New Roman"/>
          <w:sz w:val="24"/>
          <w:szCs w:val="24"/>
        </w:rPr>
        <w:t xml:space="preserve"> Most</w:t>
      </w:r>
      <w:r w:rsidRPr="00AD482D">
        <w:rPr>
          <w:rFonts w:ascii="Times New Roman" w:hAnsi="Times New Roman"/>
          <w:sz w:val="24"/>
          <w:szCs w:val="24"/>
        </w:rPr>
        <w:t>,</w:t>
      </w:r>
    </w:p>
    <w:p w:rsidR="00644CF1" w:rsidRPr="00AD482D" w:rsidRDefault="00644CF1" w:rsidP="00644C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D482D">
        <w:rPr>
          <w:rFonts w:ascii="Times New Roman" w:hAnsi="Times New Roman"/>
          <w:sz w:val="24"/>
          <w:szCs w:val="24"/>
        </w:rPr>
        <w:t xml:space="preserve">pozemku parc. č. </w:t>
      </w:r>
      <w:r>
        <w:rPr>
          <w:rFonts w:ascii="Times New Roman" w:hAnsi="Times New Roman"/>
          <w:sz w:val="24"/>
          <w:szCs w:val="24"/>
        </w:rPr>
        <w:t>2510,</w:t>
      </w:r>
      <w:r w:rsidRPr="00AD482D">
        <w:rPr>
          <w:rFonts w:ascii="Times New Roman" w:hAnsi="Times New Roman"/>
          <w:sz w:val="24"/>
          <w:szCs w:val="24"/>
        </w:rPr>
        <w:t xml:space="preserve"> zapsaného v Katastru nemovitostí na listu vlastnictví číslo</w:t>
      </w:r>
      <w:r>
        <w:rPr>
          <w:rFonts w:ascii="Times New Roman" w:hAnsi="Times New Roman"/>
          <w:sz w:val="24"/>
          <w:szCs w:val="24"/>
        </w:rPr>
        <w:t xml:space="preserve"> 1</w:t>
      </w:r>
      <w:r w:rsidRPr="00AD482D">
        <w:rPr>
          <w:rFonts w:ascii="Times New Roman" w:hAnsi="Times New Roman"/>
          <w:sz w:val="24"/>
          <w:szCs w:val="24"/>
        </w:rPr>
        <w:t xml:space="preserve">, pro katastrální území </w:t>
      </w:r>
      <w:r>
        <w:rPr>
          <w:rFonts w:ascii="Times New Roman" w:hAnsi="Times New Roman"/>
          <w:sz w:val="24"/>
          <w:szCs w:val="24"/>
        </w:rPr>
        <w:t>Horní Litvínov, obec Litvínov</w:t>
      </w:r>
      <w:r w:rsidRPr="00AD482D">
        <w:rPr>
          <w:rFonts w:ascii="Times New Roman" w:hAnsi="Times New Roman"/>
          <w:sz w:val="24"/>
          <w:szCs w:val="24"/>
        </w:rPr>
        <w:t xml:space="preserve">, u Katastrálního úřadu pro </w:t>
      </w:r>
      <w:r>
        <w:rPr>
          <w:rFonts w:ascii="Times New Roman" w:hAnsi="Times New Roman"/>
          <w:sz w:val="24"/>
          <w:szCs w:val="24"/>
        </w:rPr>
        <w:t>Ústecký</w:t>
      </w:r>
      <w:r w:rsidRPr="00AD482D">
        <w:rPr>
          <w:rFonts w:ascii="Times New Roman" w:hAnsi="Times New Roman"/>
          <w:sz w:val="24"/>
          <w:szCs w:val="24"/>
        </w:rPr>
        <w:t xml:space="preserve"> kraj, Katastrální pracoviště </w:t>
      </w:r>
      <w:r>
        <w:rPr>
          <w:rFonts w:ascii="Times New Roman" w:hAnsi="Times New Roman"/>
          <w:sz w:val="24"/>
          <w:szCs w:val="24"/>
        </w:rPr>
        <w:t>Most</w:t>
      </w:r>
      <w:r w:rsidRPr="00AD482D">
        <w:rPr>
          <w:rFonts w:ascii="Times New Roman" w:hAnsi="Times New Roman"/>
          <w:sz w:val="24"/>
          <w:szCs w:val="24"/>
        </w:rPr>
        <w:t>,</w:t>
      </w:r>
    </w:p>
    <w:p w:rsidR="00644CF1" w:rsidRPr="00AD482D" w:rsidRDefault="00644CF1" w:rsidP="00644C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D482D">
        <w:rPr>
          <w:rFonts w:ascii="Times New Roman" w:hAnsi="Times New Roman"/>
          <w:sz w:val="24"/>
          <w:szCs w:val="24"/>
        </w:rPr>
        <w:lastRenderedPageBreak/>
        <w:t xml:space="preserve">pozemku parc. č. </w:t>
      </w:r>
      <w:r>
        <w:rPr>
          <w:rFonts w:ascii="Times New Roman" w:hAnsi="Times New Roman"/>
          <w:sz w:val="24"/>
          <w:szCs w:val="24"/>
        </w:rPr>
        <w:t>2509</w:t>
      </w:r>
      <w:r w:rsidRPr="00AD482D">
        <w:rPr>
          <w:rFonts w:ascii="Times New Roman" w:hAnsi="Times New Roman"/>
          <w:sz w:val="24"/>
          <w:szCs w:val="24"/>
        </w:rPr>
        <w:t xml:space="preserve">, zapsaného v Katastru nemovitostí na listu vlastnictví číslo </w:t>
      </w:r>
      <w:r>
        <w:rPr>
          <w:rFonts w:ascii="Times New Roman" w:hAnsi="Times New Roman"/>
          <w:sz w:val="24"/>
          <w:szCs w:val="24"/>
        </w:rPr>
        <w:t>1</w:t>
      </w:r>
      <w:r w:rsidRPr="00AD482D">
        <w:rPr>
          <w:rFonts w:ascii="Times New Roman" w:hAnsi="Times New Roman"/>
          <w:sz w:val="24"/>
          <w:szCs w:val="24"/>
        </w:rPr>
        <w:t xml:space="preserve">, pro katastrální území </w:t>
      </w:r>
      <w:r>
        <w:rPr>
          <w:rFonts w:ascii="Times New Roman" w:hAnsi="Times New Roman"/>
          <w:sz w:val="24"/>
          <w:szCs w:val="24"/>
        </w:rPr>
        <w:t>Horní Litvínov</w:t>
      </w:r>
      <w:r w:rsidRPr="00AD482D">
        <w:rPr>
          <w:rFonts w:ascii="Times New Roman" w:hAnsi="Times New Roman"/>
          <w:sz w:val="24"/>
          <w:szCs w:val="24"/>
        </w:rPr>
        <w:t xml:space="preserve">, obec </w:t>
      </w:r>
      <w:r>
        <w:rPr>
          <w:rFonts w:ascii="Times New Roman" w:hAnsi="Times New Roman"/>
          <w:sz w:val="24"/>
          <w:szCs w:val="24"/>
        </w:rPr>
        <w:t>Litvínov</w:t>
      </w:r>
      <w:r w:rsidRPr="00AD482D">
        <w:rPr>
          <w:rFonts w:ascii="Times New Roman" w:hAnsi="Times New Roman"/>
          <w:sz w:val="24"/>
          <w:szCs w:val="24"/>
        </w:rPr>
        <w:t xml:space="preserve">, u Katastrálního úřadu pro </w:t>
      </w:r>
      <w:r>
        <w:rPr>
          <w:rFonts w:ascii="Times New Roman" w:hAnsi="Times New Roman"/>
          <w:sz w:val="24"/>
          <w:szCs w:val="24"/>
        </w:rPr>
        <w:t>Ústecký</w:t>
      </w:r>
      <w:r w:rsidRPr="00AD482D">
        <w:rPr>
          <w:rFonts w:ascii="Times New Roman" w:hAnsi="Times New Roman"/>
          <w:sz w:val="24"/>
          <w:szCs w:val="24"/>
        </w:rPr>
        <w:t xml:space="preserve"> kraj, Katastrální pracoviště </w:t>
      </w:r>
      <w:r>
        <w:rPr>
          <w:rFonts w:ascii="Times New Roman" w:hAnsi="Times New Roman"/>
          <w:sz w:val="24"/>
          <w:szCs w:val="24"/>
        </w:rPr>
        <w:t>Most</w:t>
      </w:r>
      <w:r w:rsidRPr="00AD482D">
        <w:rPr>
          <w:rFonts w:ascii="Times New Roman" w:hAnsi="Times New Roman"/>
          <w:sz w:val="24"/>
          <w:szCs w:val="24"/>
        </w:rPr>
        <w:t>,</w:t>
      </w:r>
    </w:p>
    <w:p w:rsidR="00644CF1" w:rsidRPr="00AD482D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D482D">
        <w:rPr>
          <w:rFonts w:ascii="Times New Roman" w:hAnsi="Times New Roman"/>
          <w:sz w:val="24"/>
          <w:szCs w:val="24"/>
        </w:rPr>
        <w:t>/dále jen „Budoucí Služebný pozemek“/.</w:t>
      </w:r>
    </w:p>
    <w:p w:rsidR="00644CF1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6471F">
        <w:rPr>
          <w:rFonts w:ascii="Times New Roman" w:hAnsi="Times New Roman"/>
          <w:b/>
          <w:sz w:val="24"/>
          <w:szCs w:val="24"/>
        </w:rPr>
        <w:t>II.</w:t>
      </w:r>
    </w:p>
    <w:p w:rsidR="00644CF1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6471F">
        <w:rPr>
          <w:rFonts w:ascii="Times New Roman" w:hAnsi="Times New Roman"/>
          <w:sz w:val="24"/>
          <w:szCs w:val="24"/>
        </w:rPr>
        <w:t xml:space="preserve">Účastníci smlouvy konstatují, že na výše v čl. I. této Smlouvy uvedeném </w:t>
      </w:r>
      <w:r>
        <w:rPr>
          <w:rFonts w:ascii="Times New Roman" w:hAnsi="Times New Roman"/>
          <w:sz w:val="24"/>
          <w:szCs w:val="24"/>
        </w:rPr>
        <w:t xml:space="preserve">Budoucím Služebném </w:t>
      </w:r>
      <w:r w:rsidRPr="0076471F">
        <w:rPr>
          <w:rFonts w:ascii="Times New Roman" w:hAnsi="Times New Roman"/>
          <w:sz w:val="24"/>
          <w:szCs w:val="24"/>
        </w:rPr>
        <w:t xml:space="preserve">pozemku bude v rámci </w:t>
      </w:r>
      <w:r w:rsidRPr="00452D1A">
        <w:rPr>
          <w:rFonts w:ascii="Times New Roman" w:hAnsi="Times New Roman"/>
          <w:sz w:val="24"/>
          <w:szCs w:val="24"/>
        </w:rPr>
        <w:t>realizace stavby</w:t>
      </w:r>
      <w:r w:rsidRPr="00452D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„MO 020 141 Litvínov, Ke Střelnici – rekonstrukce kanalizace a vodovodu“</w:t>
      </w:r>
      <w:r w:rsidRPr="00A01276">
        <w:rPr>
          <w:rFonts w:ascii="Times New Roman" w:hAnsi="Times New Roman"/>
          <w:b/>
          <w:sz w:val="24"/>
          <w:szCs w:val="24"/>
        </w:rPr>
        <w:t xml:space="preserve">  </w:t>
      </w:r>
      <w:r w:rsidRPr="00A01276">
        <w:rPr>
          <w:rFonts w:ascii="Times New Roman" w:hAnsi="Times New Roman"/>
          <w:sz w:val="24"/>
          <w:szCs w:val="24"/>
        </w:rPr>
        <w:t xml:space="preserve">zřízena a přes něj vedena na náklady budoucí oprávněné </w:t>
      </w:r>
      <w:r w:rsidRPr="00344D6B">
        <w:rPr>
          <w:rFonts w:ascii="Times New Roman" w:hAnsi="Times New Roman"/>
          <w:sz w:val="24"/>
          <w:szCs w:val="24"/>
        </w:rPr>
        <w:t>osoby, vhodným a bezpečným způsobem inženýrská síť</w:t>
      </w:r>
      <w:r w:rsidRPr="00D16B13">
        <w:rPr>
          <w:rFonts w:ascii="Times New Roman" w:hAnsi="Times New Roman"/>
          <w:sz w:val="24"/>
          <w:szCs w:val="24"/>
        </w:rPr>
        <w:t xml:space="preserve"> - specifikace inženýrské sítě: </w:t>
      </w:r>
      <w:r w:rsidRPr="00D16B13">
        <w:rPr>
          <w:rFonts w:ascii="Times New Roman" w:hAnsi="Times New Roman"/>
          <w:b/>
          <w:sz w:val="24"/>
          <w:szCs w:val="24"/>
        </w:rPr>
        <w:t xml:space="preserve">vodovodní řad a kanalizační řad a s ním související objekty, </w:t>
      </w:r>
      <w:r w:rsidRPr="00D16B13">
        <w:rPr>
          <w:rFonts w:ascii="Times New Roman" w:hAnsi="Times New Roman"/>
          <w:sz w:val="24"/>
          <w:szCs w:val="24"/>
        </w:rPr>
        <w:t xml:space="preserve">a to včetně ochranného pásma vodovodního a kanalizačního řadu v souladu s ust. </w:t>
      </w:r>
      <w:r w:rsidRPr="00E75400">
        <w:rPr>
          <w:rFonts w:ascii="Times New Roman" w:hAnsi="Times New Roman"/>
          <w:sz w:val="24"/>
          <w:szCs w:val="24"/>
        </w:rPr>
        <w:t xml:space="preserve">§ 23 odst. 1 až 3 zákona č. 274/2001 Sb., </w:t>
      </w:r>
      <w:r w:rsidRPr="00E75400">
        <w:rPr>
          <w:rFonts w:ascii="Times New Roman" w:hAnsi="Times New Roman"/>
          <w:bCs/>
          <w:sz w:val="24"/>
          <w:szCs w:val="24"/>
        </w:rPr>
        <w:t xml:space="preserve">o </w:t>
      </w:r>
      <w:hyperlink r:id="rId8" w:history="1">
        <w:r w:rsidRPr="00E75400">
          <w:rPr>
            <w:rFonts w:ascii="Times New Roman" w:hAnsi="Times New Roman"/>
            <w:bCs/>
            <w:sz w:val="24"/>
            <w:szCs w:val="24"/>
          </w:rPr>
          <w:t>vodovodech</w:t>
        </w:r>
      </w:hyperlink>
      <w:r w:rsidRPr="00E75400">
        <w:rPr>
          <w:rFonts w:ascii="Times New Roman" w:hAnsi="Times New Roman"/>
          <w:bCs/>
          <w:sz w:val="24"/>
          <w:szCs w:val="24"/>
        </w:rPr>
        <w:t xml:space="preserve"> a kanalizacích pro veřejnou potřebu a o změně některých zákonů</w:t>
      </w:r>
      <w:r w:rsidRPr="00E75400">
        <w:rPr>
          <w:rFonts w:ascii="Times New Roman" w:hAnsi="Times New Roman"/>
          <w:sz w:val="24"/>
          <w:szCs w:val="24"/>
        </w:rPr>
        <w:t xml:space="preserve"> </w:t>
      </w:r>
      <w:r w:rsidRPr="00E75400">
        <w:rPr>
          <w:rFonts w:ascii="Times New Roman" w:hAnsi="Times New Roman"/>
          <w:bCs/>
          <w:sz w:val="24"/>
          <w:szCs w:val="24"/>
        </w:rPr>
        <w:t>(zákon o vodovodech a kanalizacích), v platném znění</w:t>
      </w:r>
      <w:r w:rsidRPr="00A01276">
        <w:rPr>
          <w:rFonts w:ascii="Times New Roman" w:hAnsi="Times New Roman"/>
          <w:sz w:val="24"/>
          <w:szCs w:val="24"/>
        </w:rPr>
        <w:t xml:space="preserve"> /dále jen „Inženýrská síť“/. </w:t>
      </w:r>
    </w:p>
    <w:p w:rsidR="00644CF1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A01276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Budoucí povinná osoba s provedením stavby Inženýrské sítě na Budoucím Služebném pozemku souhlasí a zavazuje se za níže uvedených podmínek uzavřít s budoucí oprávněnou osobou smlouvu o zřízení služebnosti Inženýrské sítě k Budoucímu služebnému pozemku.</w:t>
      </w:r>
    </w:p>
    <w:p w:rsidR="00644CF1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344D6B" w:rsidRDefault="00644CF1" w:rsidP="00644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6471F">
        <w:rPr>
          <w:rFonts w:ascii="Times New Roman" w:hAnsi="Times New Roman"/>
          <w:b/>
          <w:sz w:val="24"/>
          <w:szCs w:val="24"/>
        </w:rPr>
        <w:t>III.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 xml:space="preserve">Účastníci smlouvy se dohodli, že nejpozději </w:t>
      </w:r>
      <w:r w:rsidRPr="00AD482D">
        <w:rPr>
          <w:rFonts w:ascii="Times New Roman" w:hAnsi="Times New Roman"/>
          <w:sz w:val="24"/>
          <w:szCs w:val="24"/>
        </w:rPr>
        <w:t xml:space="preserve">do dvanácti měsíců </w:t>
      </w:r>
      <w:r w:rsidRPr="0076471F">
        <w:rPr>
          <w:rFonts w:ascii="Times New Roman" w:hAnsi="Times New Roman"/>
          <w:sz w:val="24"/>
          <w:szCs w:val="24"/>
        </w:rPr>
        <w:t>od kolaudace stavby</w:t>
      </w:r>
      <w:r>
        <w:rPr>
          <w:rFonts w:ascii="Times New Roman" w:hAnsi="Times New Roman"/>
          <w:sz w:val="24"/>
          <w:szCs w:val="24"/>
        </w:rPr>
        <w:t xml:space="preserve"> specifikované v čl. II odst. 1</w:t>
      </w:r>
      <w:r w:rsidRPr="0076471F">
        <w:rPr>
          <w:rFonts w:ascii="Times New Roman" w:hAnsi="Times New Roman"/>
          <w:sz w:val="24"/>
          <w:szCs w:val="24"/>
        </w:rPr>
        <w:t xml:space="preserve"> spolu uzavřou smlouvu o zřízení služebnosti </w:t>
      </w:r>
      <w:r>
        <w:rPr>
          <w:rFonts w:ascii="Times New Roman" w:hAnsi="Times New Roman"/>
          <w:sz w:val="24"/>
          <w:szCs w:val="24"/>
        </w:rPr>
        <w:t>I</w:t>
      </w:r>
      <w:r w:rsidRPr="0076471F">
        <w:rPr>
          <w:rFonts w:ascii="Times New Roman" w:hAnsi="Times New Roman"/>
          <w:sz w:val="24"/>
          <w:szCs w:val="24"/>
        </w:rPr>
        <w:t xml:space="preserve">nženýrské sítě, v níž bude zakotveno, že budoucí </w:t>
      </w:r>
      <w:r w:rsidRPr="00E75400">
        <w:rPr>
          <w:rFonts w:ascii="Times New Roman" w:hAnsi="Times New Roman"/>
          <w:b/>
          <w:sz w:val="24"/>
          <w:szCs w:val="24"/>
        </w:rPr>
        <w:t>povinná osoba a každý další vlastník Budoucího Služebného pozemku</w:t>
      </w:r>
      <w:r w:rsidRPr="0076471F">
        <w:rPr>
          <w:rFonts w:ascii="Times New Roman" w:hAnsi="Times New Roman"/>
          <w:sz w:val="24"/>
          <w:szCs w:val="24"/>
        </w:rPr>
        <w:t xml:space="preserve"> specifikovaného v čl. I. této Smlouvy </w:t>
      </w:r>
      <w:r w:rsidRPr="00E75400">
        <w:rPr>
          <w:rFonts w:ascii="Times New Roman" w:hAnsi="Times New Roman"/>
          <w:b/>
          <w:sz w:val="24"/>
          <w:szCs w:val="24"/>
        </w:rPr>
        <w:t>je povinn</w:t>
      </w:r>
      <w:r>
        <w:rPr>
          <w:rFonts w:ascii="Times New Roman" w:hAnsi="Times New Roman"/>
          <w:b/>
          <w:sz w:val="24"/>
          <w:szCs w:val="24"/>
        </w:rPr>
        <w:t>a</w:t>
      </w:r>
      <w:r w:rsidRPr="0076471F">
        <w:rPr>
          <w:rFonts w:ascii="Times New Roman" w:hAnsi="Times New Roman"/>
          <w:sz w:val="24"/>
          <w:szCs w:val="24"/>
        </w:rPr>
        <w:t xml:space="preserve"> v souladu s ust. § </w:t>
      </w:r>
      <w:smartTag w:uri="urn:schemas-microsoft-com:office:smarttags" w:element="metricconverter">
        <w:smartTagPr>
          <w:attr w:name="ProductID" w:val="1257 a"/>
        </w:smartTagPr>
        <w:r w:rsidRPr="0076471F">
          <w:rPr>
            <w:rFonts w:ascii="Times New Roman" w:hAnsi="Times New Roman"/>
            <w:sz w:val="24"/>
            <w:szCs w:val="24"/>
          </w:rPr>
          <w:t>1257 a</w:t>
        </w:r>
      </w:smartTag>
      <w:r w:rsidRPr="0076471F">
        <w:rPr>
          <w:rFonts w:ascii="Times New Roman" w:hAnsi="Times New Roman"/>
          <w:sz w:val="24"/>
          <w:szCs w:val="24"/>
        </w:rPr>
        <w:t xml:space="preserve"> násl. občanského zákoníku, a to ve spojení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71F">
        <w:rPr>
          <w:rFonts w:ascii="Times New Roman" w:hAnsi="Times New Roman"/>
          <w:sz w:val="24"/>
          <w:szCs w:val="24"/>
        </w:rPr>
        <w:t xml:space="preserve">s ust. § </w:t>
      </w:r>
      <w:smartTag w:uri="urn:schemas-microsoft-com:office:smarttags" w:element="metricconverter">
        <w:smartTagPr>
          <w:attr w:name="ProductID" w:val="1267 a"/>
        </w:smartTagPr>
        <w:r w:rsidRPr="0076471F">
          <w:rPr>
            <w:rFonts w:ascii="Times New Roman" w:hAnsi="Times New Roman"/>
            <w:sz w:val="24"/>
            <w:szCs w:val="24"/>
          </w:rPr>
          <w:t>1267 a</w:t>
        </w:r>
      </w:smartTag>
      <w:r w:rsidRPr="0076471F">
        <w:rPr>
          <w:rFonts w:ascii="Times New Roman" w:hAnsi="Times New Roman"/>
          <w:sz w:val="24"/>
          <w:szCs w:val="24"/>
        </w:rPr>
        <w:t xml:space="preserve"> § 1268 zákona č. 89/2012 Sb., občanský zákoník, v platném znění, </w:t>
      </w:r>
      <w:r w:rsidRPr="00E75400">
        <w:rPr>
          <w:rFonts w:ascii="Times New Roman" w:hAnsi="Times New Roman"/>
          <w:b/>
          <w:sz w:val="24"/>
          <w:szCs w:val="24"/>
        </w:rPr>
        <w:t xml:space="preserve">strpět na výše uvedeném Budoucím Služebném pozemku umístění </w:t>
      </w:r>
      <w:r w:rsidRPr="00E75400">
        <w:rPr>
          <w:rFonts w:ascii="Times New Roman" w:hAnsi="Times New Roman"/>
          <w:b/>
          <w:iCs/>
          <w:sz w:val="24"/>
          <w:szCs w:val="24"/>
        </w:rPr>
        <w:t>Inženýrské sítě</w:t>
      </w:r>
      <w:r w:rsidRPr="00E75400">
        <w:rPr>
          <w:rFonts w:ascii="Times New Roman" w:hAnsi="Times New Roman"/>
          <w:b/>
          <w:sz w:val="24"/>
          <w:szCs w:val="24"/>
        </w:rPr>
        <w:t xml:space="preserve">, </w:t>
      </w:r>
      <w:r w:rsidRPr="00E75400">
        <w:rPr>
          <w:rFonts w:ascii="Times New Roman" w:hAnsi="Times New Roman"/>
          <w:b/>
          <w:color w:val="000000"/>
          <w:sz w:val="24"/>
          <w:szCs w:val="24"/>
        </w:rPr>
        <w:t>a to včetně provozování, údržby Inženýrské sítě, jakož i provádění na Inženýrské síti její úpravy za účelem její modernizace nebo zlepšení její výkonnosti</w:t>
      </w:r>
      <w:r w:rsidRPr="007647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6471F">
        <w:rPr>
          <w:rFonts w:ascii="Times New Roman" w:hAnsi="Times New Roman"/>
          <w:sz w:val="24"/>
          <w:szCs w:val="24"/>
        </w:rPr>
        <w:t>zdržet se všeho, co by vedlo k ohrožení Inženýrské sítě, zejména pak se zdrž</w:t>
      </w:r>
      <w:r>
        <w:rPr>
          <w:rFonts w:ascii="Times New Roman" w:hAnsi="Times New Roman"/>
          <w:sz w:val="24"/>
          <w:szCs w:val="24"/>
        </w:rPr>
        <w:t>et</w:t>
      </w:r>
      <w:r w:rsidRPr="0076471F">
        <w:rPr>
          <w:rFonts w:ascii="Times New Roman" w:hAnsi="Times New Roman"/>
          <w:sz w:val="24"/>
          <w:szCs w:val="24"/>
        </w:rPr>
        <w:t xml:space="preserve"> stavební činnosti a výsadby stromů </w:t>
      </w:r>
      <w:r>
        <w:rPr>
          <w:rFonts w:ascii="Times New Roman" w:hAnsi="Times New Roman"/>
          <w:sz w:val="24"/>
          <w:szCs w:val="24"/>
        </w:rPr>
        <w:t xml:space="preserve">bez předchozího oznámení </w:t>
      </w:r>
      <w:r w:rsidRPr="0076471F">
        <w:rPr>
          <w:rFonts w:ascii="Times New Roman" w:hAnsi="Times New Roman"/>
          <w:sz w:val="24"/>
          <w:szCs w:val="24"/>
        </w:rPr>
        <w:t xml:space="preserve">na Budoucím Služebném pozemku a bude-li </w:t>
      </w:r>
      <w:r>
        <w:rPr>
          <w:rFonts w:ascii="Times New Roman" w:hAnsi="Times New Roman"/>
          <w:sz w:val="24"/>
          <w:szCs w:val="24"/>
        </w:rPr>
        <w:t xml:space="preserve">mu </w:t>
      </w:r>
      <w:r w:rsidRPr="0076471F">
        <w:rPr>
          <w:rFonts w:ascii="Times New Roman" w:hAnsi="Times New Roman"/>
          <w:sz w:val="24"/>
          <w:szCs w:val="24"/>
        </w:rPr>
        <w:t xml:space="preserve">to předem </w:t>
      </w:r>
      <w:r>
        <w:rPr>
          <w:rFonts w:ascii="Times New Roman" w:hAnsi="Times New Roman"/>
          <w:sz w:val="24"/>
          <w:szCs w:val="24"/>
        </w:rPr>
        <w:t>oznámeno</w:t>
      </w:r>
      <w:r w:rsidRPr="0076471F">
        <w:rPr>
          <w:rFonts w:ascii="Times New Roman" w:hAnsi="Times New Roman"/>
          <w:sz w:val="24"/>
          <w:szCs w:val="24"/>
        </w:rPr>
        <w:t xml:space="preserve">, umožní </w:t>
      </w:r>
      <w:r>
        <w:rPr>
          <w:rFonts w:ascii="Times New Roman" w:hAnsi="Times New Roman"/>
          <w:sz w:val="24"/>
          <w:szCs w:val="24"/>
        </w:rPr>
        <w:t xml:space="preserve">budoucí povinná osoba </w:t>
      </w:r>
      <w:r w:rsidRPr="0076471F">
        <w:rPr>
          <w:rFonts w:ascii="Times New Roman" w:hAnsi="Times New Roman"/>
          <w:sz w:val="24"/>
          <w:szCs w:val="24"/>
        </w:rPr>
        <w:t xml:space="preserve">budoucí oprávněné osobě nebo budoucímu oprávněnou osobou zmocněnému provozovateli Inženýrské sítě vstup a vjezd na Budoucí Služebný pozemek po nezbytnou dobu a v nutném rozsahu za účelem prohlídky, údržby, </w:t>
      </w:r>
      <w:r>
        <w:rPr>
          <w:rFonts w:ascii="Times New Roman" w:hAnsi="Times New Roman"/>
          <w:sz w:val="24"/>
          <w:szCs w:val="24"/>
        </w:rPr>
        <w:t xml:space="preserve">úpravy, </w:t>
      </w:r>
      <w:r w:rsidRPr="0076471F">
        <w:rPr>
          <w:rFonts w:ascii="Times New Roman" w:hAnsi="Times New Roman"/>
          <w:sz w:val="24"/>
          <w:szCs w:val="24"/>
        </w:rPr>
        <w:t xml:space="preserve">opravy nebo odstranění havárií Inženýrské sítě. Budoucí oprávněná osoba nebo budoucí oprávněnou osobou zmocněný provozovatel Inženýrské sítě bude vždy jakoukoliv prohlídku, údržbu, opravu nebo havárii Inženýrské sítě provádět s řádnou péčí a vždy Budoucí Služebný pozemek uvede na vlastní náklad do předešlého stavu s tím, že případnou škodu spojenou s prohlídkou, údržbou, opravou nebo havárií Inženýrské sítě budoucí povinné osobě uhradí. Nesnese-li záležitost při náhlém poškození Inženýrské sítě odkladu, obstará její opravu budoucí oprávněná osoba i bez předchozího </w:t>
      </w:r>
      <w:r>
        <w:rPr>
          <w:rFonts w:ascii="Times New Roman" w:hAnsi="Times New Roman"/>
          <w:sz w:val="24"/>
          <w:szCs w:val="24"/>
        </w:rPr>
        <w:t>oznámení</w:t>
      </w:r>
      <w:r w:rsidRPr="0076471F">
        <w:rPr>
          <w:rFonts w:ascii="Times New Roman" w:hAnsi="Times New Roman"/>
          <w:sz w:val="24"/>
          <w:szCs w:val="24"/>
        </w:rPr>
        <w:t xml:space="preserve">; dotčeným osobám však neprodleně oznámí provádění opravy, její místo označí a zabezpečí. Služebnost Inženýrské sítě bude zřízena na dobu neurčitou, a to ode dne zápisu do </w:t>
      </w:r>
      <w:r>
        <w:rPr>
          <w:rFonts w:ascii="Times New Roman" w:hAnsi="Times New Roman"/>
          <w:sz w:val="24"/>
          <w:szCs w:val="24"/>
        </w:rPr>
        <w:t>Katastru nemovitostí</w:t>
      </w:r>
      <w:r w:rsidRPr="0076471F">
        <w:rPr>
          <w:rFonts w:ascii="Times New Roman" w:hAnsi="Times New Roman"/>
          <w:sz w:val="24"/>
          <w:szCs w:val="24"/>
        </w:rPr>
        <w:t xml:space="preserve">. </w:t>
      </w:r>
    </w:p>
    <w:p w:rsidR="00644CF1" w:rsidRPr="0076471F" w:rsidRDefault="00644CF1" w:rsidP="00644CF1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644CF1" w:rsidRDefault="00644CF1" w:rsidP="00644C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44CF1" w:rsidRDefault="00644CF1" w:rsidP="00644C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44CF1" w:rsidRDefault="00644CF1" w:rsidP="00644C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44CF1" w:rsidRDefault="00644CF1" w:rsidP="00644C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44CF1" w:rsidRPr="0076471F" w:rsidRDefault="00644CF1" w:rsidP="00644C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44CF1" w:rsidRPr="0076471F" w:rsidRDefault="00644CF1" w:rsidP="00644C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6471F">
        <w:rPr>
          <w:rFonts w:ascii="Times New Roman" w:hAnsi="Times New Roman"/>
          <w:b/>
          <w:sz w:val="24"/>
          <w:szCs w:val="24"/>
        </w:rPr>
        <w:t>IV.</w:t>
      </w:r>
    </w:p>
    <w:p w:rsidR="00644CF1" w:rsidRPr="00482615" w:rsidRDefault="00644CF1" w:rsidP="00644CF1">
      <w:pPr>
        <w:pStyle w:val="Odstavecseseznamem"/>
        <w:numPr>
          <w:ilvl w:val="0"/>
          <w:numId w:val="2"/>
        </w:numPr>
        <w:spacing w:after="0" w:line="240" w:lineRule="atLeast"/>
        <w:ind w:left="142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82615">
        <w:rPr>
          <w:rFonts w:ascii="Times New Roman" w:hAnsi="Times New Roman"/>
          <w:sz w:val="24"/>
          <w:szCs w:val="24"/>
        </w:rPr>
        <w:t>Služebnost Inženýrské sítě specifikovaná v článku III. této Smlouvy bude zřízena úplatně. Finanční náhrada bude vypočtena dle Zásad pro prodej, pronájem, výpůjčky a pro zřizování věcných břemen u pozemků ve vlastnictví města Litvínov schválených ZM usn. č. Z/751/22 dne 25.4.2013. K uvedené finanční náhradě bude připočtena platná sazba DPH. Úhrada nákladů spojených s uzavřením smlouvy o zřízení věcného břemene, kterou se strana oprávněná zavazuje zaplatit straně povinné, je stanovena na 1.000 Kč + platná sazba DPH.</w:t>
      </w:r>
    </w:p>
    <w:p w:rsidR="00644CF1" w:rsidRPr="00C4608D" w:rsidRDefault="00644CF1" w:rsidP="00644CF1">
      <w:pPr>
        <w:spacing w:after="0" w:line="240" w:lineRule="atLeas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44CF1" w:rsidRPr="0076471F" w:rsidRDefault="00644CF1" w:rsidP="00644CF1">
      <w:pPr>
        <w:spacing w:after="0" w:line="240" w:lineRule="atLeast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6471F">
        <w:rPr>
          <w:rFonts w:ascii="Times New Roman" w:hAnsi="Times New Roman"/>
          <w:sz w:val="24"/>
          <w:szCs w:val="24"/>
        </w:rPr>
        <w:t xml:space="preserve">Budoucí oprávněná osoba uhradí stanovenou částku na účet budoucí povinné osoby do 30 dnů ode dne zápisu práva služebnosti Inženýrské sítě do </w:t>
      </w:r>
      <w:r>
        <w:rPr>
          <w:rFonts w:ascii="Times New Roman" w:hAnsi="Times New Roman"/>
          <w:sz w:val="24"/>
          <w:szCs w:val="24"/>
        </w:rPr>
        <w:t>Katastru nemovitostí</w:t>
      </w:r>
      <w:r w:rsidRPr="0076471F">
        <w:rPr>
          <w:rFonts w:ascii="Times New Roman" w:hAnsi="Times New Roman"/>
          <w:sz w:val="24"/>
          <w:szCs w:val="24"/>
        </w:rPr>
        <w:t>.</w:t>
      </w:r>
    </w:p>
    <w:p w:rsidR="00644CF1" w:rsidRDefault="00644CF1" w:rsidP="00644C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44CF1" w:rsidRDefault="00644CF1" w:rsidP="00644C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44CF1" w:rsidRPr="0076471F" w:rsidRDefault="00644CF1" w:rsidP="00644C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6471F">
        <w:rPr>
          <w:rFonts w:ascii="Times New Roman" w:hAnsi="Times New Roman"/>
          <w:b/>
          <w:sz w:val="24"/>
          <w:szCs w:val="24"/>
        </w:rPr>
        <w:t>V.</w:t>
      </w: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6471F">
        <w:rPr>
          <w:rFonts w:ascii="Times New Roman" w:hAnsi="Times New Roman"/>
          <w:sz w:val="24"/>
          <w:szCs w:val="24"/>
        </w:rPr>
        <w:t xml:space="preserve">Geometrický plán pro vymezení služebnosti Inženýrské sítě, náklady spojené se sepsáním Smlouvy o zřízení služebnosti </w:t>
      </w:r>
      <w:r>
        <w:rPr>
          <w:rFonts w:ascii="Times New Roman" w:hAnsi="Times New Roman"/>
          <w:sz w:val="24"/>
          <w:szCs w:val="24"/>
        </w:rPr>
        <w:t>I</w:t>
      </w:r>
      <w:r w:rsidRPr="0076471F">
        <w:rPr>
          <w:rFonts w:ascii="Times New Roman" w:hAnsi="Times New Roman"/>
          <w:sz w:val="24"/>
          <w:szCs w:val="24"/>
        </w:rPr>
        <w:t>nženýrské sítě,</w:t>
      </w:r>
      <w:r>
        <w:rPr>
          <w:rFonts w:ascii="Times New Roman" w:hAnsi="Times New Roman"/>
          <w:sz w:val="24"/>
          <w:szCs w:val="24"/>
        </w:rPr>
        <w:t xml:space="preserve"> náklady spojené s vyhotovením znaleckého posudku,</w:t>
      </w:r>
      <w:r w:rsidRPr="0076471F">
        <w:rPr>
          <w:rFonts w:ascii="Times New Roman" w:hAnsi="Times New Roman"/>
          <w:sz w:val="24"/>
          <w:szCs w:val="24"/>
        </w:rPr>
        <w:t xml:space="preserve"> jakož i veškeré náklady spojené se zápisem do </w:t>
      </w:r>
      <w:r>
        <w:rPr>
          <w:rFonts w:ascii="Times New Roman" w:hAnsi="Times New Roman"/>
          <w:sz w:val="24"/>
          <w:szCs w:val="24"/>
        </w:rPr>
        <w:t>Katastru nemovitostí</w:t>
      </w:r>
      <w:r w:rsidRPr="0076471F">
        <w:rPr>
          <w:rFonts w:ascii="Times New Roman" w:hAnsi="Times New Roman"/>
          <w:sz w:val="24"/>
          <w:szCs w:val="24"/>
        </w:rPr>
        <w:t xml:space="preserve"> služebnosti Inženýrské sítě ponese budoucí oprávněná osoba.</w:t>
      </w:r>
    </w:p>
    <w:p w:rsidR="00644CF1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6471F">
        <w:rPr>
          <w:rFonts w:ascii="Times New Roman" w:hAnsi="Times New Roman"/>
          <w:b/>
          <w:sz w:val="24"/>
          <w:szCs w:val="24"/>
        </w:rPr>
        <w:t>VI.</w:t>
      </w: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b/>
          <w:szCs w:val="24"/>
        </w:rPr>
      </w:pPr>
      <w:r w:rsidRPr="0076471F">
        <w:rPr>
          <w:szCs w:val="24"/>
        </w:rPr>
        <w:t>1. Smlouva nabývá platnosti a účinnosti dnem podpisu poslední</w:t>
      </w:r>
      <w:r>
        <w:rPr>
          <w:szCs w:val="24"/>
        </w:rPr>
        <w:t>m Účastníkem Smlouvy</w:t>
      </w:r>
      <w:r w:rsidRPr="0076471F">
        <w:rPr>
          <w:szCs w:val="24"/>
        </w:rPr>
        <w:t>.</w:t>
      </w: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szCs w:val="24"/>
        </w:rPr>
      </w:pPr>
      <w:r w:rsidRPr="0076471F">
        <w:rPr>
          <w:szCs w:val="24"/>
        </w:rPr>
        <w:t xml:space="preserve">2. Smlouvu lze doplňovat nebo měnit pouze písemnou formou se souhlasem obou </w:t>
      </w:r>
      <w:r>
        <w:rPr>
          <w:szCs w:val="24"/>
        </w:rPr>
        <w:t>Účastníků Smlouvy</w:t>
      </w:r>
      <w:r w:rsidRPr="0076471F">
        <w:rPr>
          <w:szCs w:val="24"/>
        </w:rPr>
        <w:t>.</w:t>
      </w: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Pr="0076471F" w:rsidRDefault="00644CF1" w:rsidP="00644CF1">
      <w:pPr>
        <w:pStyle w:val="textsmlouvy"/>
        <w:spacing w:after="0" w:afterAutospacing="0" w:line="240" w:lineRule="atLeast"/>
      </w:pPr>
      <w:r w:rsidRPr="0076471F">
        <w:rPr>
          <w:szCs w:val="24"/>
        </w:rPr>
        <w:t xml:space="preserve">3. </w:t>
      </w:r>
      <w:r w:rsidRPr="0076471F">
        <w:rPr>
          <w:bCs/>
          <w:szCs w:val="24"/>
        </w:rPr>
        <w:t xml:space="preserve">Smlouva </w:t>
      </w:r>
      <w:r w:rsidRPr="0076471F">
        <w:rPr>
          <w:szCs w:val="24"/>
        </w:rPr>
        <w:t xml:space="preserve">o </w:t>
      </w:r>
      <w:r>
        <w:rPr>
          <w:szCs w:val="24"/>
        </w:rPr>
        <w:t>budoucí smlouvě</w:t>
      </w:r>
      <w:r w:rsidRPr="0076471F">
        <w:rPr>
          <w:bCs/>
          <w:szCs w:val="24"/>
        </w:rPr>
        <w:t xml:space="preserve"> o zřízení služebnosti Inženýrské sítě</w:t>
      </w:r>
      <w:r w:rsidRPr="0076471F">
        <w:rPr>
          <w:szCs w:val="24"/>
        </w:rPr>
        <w:t xml:space="preserve"> se uzavírá v souladu s dle ust. § </w:t>
      </w:r>
      <w:smartTag w:uri="urn:schemas-microsoft-com:office:smarttags" w:element="metricconverter">
        <w:smartTagPr>
          <w:attr w:name="ProductID" w:val="1785 a"/>
        </w:smartTagPr>
        <w:r w:rsidRPr="0076471F">
          <w:rPr>
            <w:szCs w:val="24"/>
          </w:rPr>
          <w:t>1785 a</w:t>
        </w:r>
      </w:smartTag>
      <w:r w:rsidRPr="0076471F">
        <w:rPr>
          <w:szCs w:val="24"/>
        </w:rPr>
        <w:t xml:space="preserve"> násl. zákona č. 89/2012 Sb., občanský zákoník, v platném znění. </w:t>
      </w:r>
      <w:r w:rsidRPr="00E06EE4">
        <w:rPr>
          <w:b/>
        </w:rPr>
        <w:t>Služebnost Inženýrské sítě je jedním z věcných břemen</w:t>
      </w:r>
      <w:r w:rsidRPr="0076471F">
        <w:t xml:space="preserve"> dle </w:t>
      </w:r>
      <w:r>
        <w:t xml:space="preserve">§ </w:t>
      </w:r>
      <w:smartTag w:uri="urn:schemas-microsoft-com:office:smarttags" w:element="metricconverter">
        <w:smartTagPr>
          <w:attr w:name="ProductID" w:val="1267 a"/>
        </w:smartTagPr>
        <w:r>
          <w:t>1267 a</w:t>
        </w:r>
      </w:smartTag>
      <w:r>
        <w:t xml:space="preserve"> násl. </w:t>
      </w:r>
      <w:r w:rsidRPr="0076471F">
        <w:t>zákona č. 89/2012 Sb., občanský zákoník, v platném znění.</w:t>
      </w: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szCs w:val="24"/>
        </w:rPr>
      </w:pPr>
      <w:r w:rsidRPr="0076471F">
        <w:rPr>
          <w:szCs w:val="24"/>
        </w:rPr>
        <w:t xml:space="preserve">4. Tato Smlouva o </w:t>
      </w:r>
      <w:r>
        <w:rPr>
          <w:szCs w:val="24"/>
        </w:rPr>
        <w:t xml:space="preserve">budoucí smlouvě o </w:t>
      </w:r>
      <w:r w:rsidRPr="0076471F">
        <w:rPr>
          <w:szCs w:val="24"/>
        </w:rPr>
        <w:t xml:space="preserve">zřízení </w:t>
      </w:r>
      <w:r>
        <w:rPr>
          <w:szCs w:val="24"/>
        </w:rPr>
        <w:t>služebnosti Inženýrské sítě</w:t>
      </w:r>
      <w:r w:rsidRPr="0076471F">
        <w:rPr>
          <w:szCs w:val="24"/>
        </w:rPr>
        <w:t xml:space="preserve"> je sepsána ve </w:t>
      </w:r>
      <w:r>
        <w:rPr>
          <w:szCs w:val="24"/>
        </w:rPr>
        <w:t>4</w:t>
      </w:r>
      <w:r w:rsidRPr="0076471F">
        <w:rPr>
          <w:szCs w:val="24"/>
        </w:rPr>
        <w:t xml:space="preserve"> vyhotoveních, přičemž každé toto vyhotovení Smlouvy má platnost originálu. Každý </w:t>
      </w:r>
      <w:r>
        <w:rPr>
          <w:szCs w:val="24"/>
        </w:rPr>
        <w:t>Ú</w:t>
      </w:r>
      <w:r w:rsidRPr="0076471F">
        <w:rPr>
          <w:szCs w:val="24"/>
        </w:rPr>
        <w:t>častník této Smlouvy obdrží dvě vyhotovení.</w:t>
      </w: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  <w:r w:rsidRPr="0076471F">
        <w:rPr>
          <w:szCs w:val="24"/>
        </w:rPr>
        <w:t xml:space="preserve">5. </w:t>
      </w:r>
      <w:r>
        <w:rPr>
          <w:szCs w:val="24"/>
        </w:rPr>
        <w:t>Účastníci smlouvy</w:t>
      </w:r>
      <w:r w:rsidRPr="0076471F">
        <w:rPr>
          <w:szCs w:val="24"/>
        </w:rPr>
        <w:t xml:space="preserve"> prohlašují, že si tuto Smlouvu před jejím podpisem řádně přečetl</w:t>
      </w:r>
      <w:r>
        <w:rPr>
          <w:szCs w:val="24"/>
        </w:rPr>
        <w:t>i</w:t>
      </w:r>
      <w:r w:rsidRPr="0076471F">
        <w:rPr>
          <w:szCs w:val="24"/>
        </w:rPr>
        <w:t>, že byla uzavřena po vzájemném projednání podle jejich pravé a svobodné vůle, určitě, vážně a srozumitelně, nikoliv v tísni za nápadně nevýhodných podmínek.</w:t>
      </w: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Pr="007E60EF" w:rsidRDefault="00644CF1" w:rsidP="00644CF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E270A">
        <w:rPr>
          <w:rFonts w:ascii="Times New Roman" w:hAnsi="Times New Roman"/>
          <w:sz w:val="24"/>
          <w:szCs w:val="24"/>
        </w:rPr>
        <w:t xml:space="preserve">6. </w:t>
      </w:r>
      <w:r w:rsidRPr="007E60EF">
        <w:rPr>
          <w:rFonts w:ascii="Times New Roman" w:eastAsia="Calibri" w:hAnsi="Times New Roman"/>
          <w:sz w:val="24"/>
          <w:szCs w:val="24"/>
        </w:rPr>
        <w:t xml:space="preserve"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:rsidR="00644CF1" w:rsidRPr="007E60EF" w:rsidRDefault="00644CF1" w:rsidP="00644CF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E60EF">
        <w:rPr>
          <w:rFonts w:ascii="Times New Roman" w:eastAsia="Calibri" w:hAnsi="Times New Roman"/>
          <w:sz w:val="24"/>
          <w:szCs w:val="24"/>
        </w:rPr>
        <w:t xml:space="preserve">Smluvní strany prohlašují, že skutečnosti uvedené v této Smlouvě nepovažují za obchodní tajemství a udělují svolení k jejich zpřístupnění ve smyslu zákona č. 106/1999 Sb., o svobodném přístupu k informacím. </w:t>
      </w:r>
    </w:p>
    <w:p w:rsidR="00644CF1" w:rsidRPr="007E60EF" w:rsidRDefault="00644CF1" w:rsidP="00644CF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E60EF">
        <w:rPr>
          <w:rFonts w:ascii="Times New Roman" w:eastAsia="Calibri" w:hAnsi="Times New Roman"/>
          <w:sz w:val="24"/>
          <w:szCs w:val="24"/>
        </w:rPr>
        <w:t>Tato Smlouva bude v plném rozsahu uveřejněna v informačním systému registru smluv dle zákona č. 340/2015 Sb., zákona o registru smluv.</w:t>
      </w:r>
    </w:p>
    <w:p w:rsidR="00644CF1" w:rsidRDefault="00644CF1" w:rsidP="00644CF1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</w:rPr>
      </w:pPr>
    </w:p>
    <w:p w:rsidR="00644CF1" w:rsidRDefault="00644CF1" w:rsidP="00644CF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E60EF">
        <w:rPr>
          <w:rFonts w:ascii="Times New Roman" w:eastAsia="Calibri" w:hAnsi="Times New Roman"/>
          <w:sz w:val="24"/>
          <w:szCs w:val="24"/>
        </w:rPr>
        <w:lastRenderedPageBreak/>
        <w:t>Tato Smlouva nabývá účinnosti dnem, kdy město Litvínov uveřejní Smlouvu v informačním systému registru smluv.</w:t>
      </w:r>
    </w:p>
    <w:p w:rsidR="00644CF1" w:rsidRPr="007E60EF" w:rsidRDefault="00644CF1" w:rsidP="00644CF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44CF1" w:rsidRPr="00BE270A" w:rsidRDefault="00644CF1" w:rsidP="00644CF1">
      <w:pPr>
        <w:spacing w:before="12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BE270A">
        <w:rPr>
          <w:rFonts w:ascii="Times New Roman" w:hAnsi="Times New Roman"/>
          <w:sz w:val="24"/>
          <w:szCs w:val="24"/>
        </w:rPr>
        <w:t xml:space="preserve">Tato smlouva byla schválena Radou města Litvínov dne </w:t>
      </w:r>
      <w:r>
        <w:rPr>
          <w:rFonts w:ascii="Times New Roman" w:hAnsi="Times New Roman"/>
          <w:sz w:val="24"/>
          <w:szCs w:val="24"/>
        </w:rPr>
        <w:t>16. 11. 2016</w:t>
      </w:r>
      <w:r w:rsidRPr="00BE270A">
        <w:rPr>
          <w:rFonts w:ascii="Times New Roman" w:hAnsi="Times New Roman"/>
          <w:sz w:val="24"/>
          <w:szCs w:val="24"/>
        </w:rPr>
        <w:t xml:space="preserve"> usnesením č. </w:t>
      </w:r>
      <w:r>
        <w:rPr>
          <w:rFonts w:ascii="Times New Roman" w:hAnsi="Times New Roman"/>
          <w:sz w:val="24"/>
          <w:szCs w:val="24"/>
        </w:rPr>
        <w:t>R/1573/59.</w:t>
      </w:r>
    </w:p>
    <w:p w:rsidR="00644CF1" w:rsidRPr="0076471F" w:rsidRDefault="00644CF1" w:rsidP="00644CF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szCs w:val="24"/>
        </w:rPr>
      </w:pPr>
      <w:r w:rsidRPr="0076471F">
        <w:rPr>
          <w:szCs w:val="24"/>
        </w:rPr>
        <w:t>V………………….dne……………….</w:t>
      </w:r>
      <w:r w:rsidRPr="0076471F">
        <w:rPr>
          <w:szCs w:val="24"/>
        </w:rPr>
        <w:tab/>
      </w:r>
      <w:r w:rsidRPr="0076471F">
        <w:rPr>
          <w:szCs w:val="24"/>
        </w:rPr>
        <w:tab/>
        <w:t>V</w:t>
      </w:r>
      <w:r>
        <w:rPr>
          <w:szCs w:val="24"/>
        </w:rPr>
        <w:t xml:space="preserve"> Teplicích, </w:t>
      </w:r>
      <w:r w:rsidRPr="0076471F">
        <w:rPr>
          <w:szCs w:val="24"/>
        </w:rPr>
        <w:t>dne ……………………...</w:t>
      </w: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  <w:r w:rsidRPr="0076471F">
        <w:rPr>
          <w:szCs w:val="24"/>
        </w:rPr>
        <w:t>budoucí povinná osoba:</w:t>
      </w:r>
      <w:r w:rsidRPr="0076471F">
        <w:rPr>
          <w:szCs w:val="24"/>
        </w:rPr>
        <w:tab/>
      </w:r>
      <w:r w:rsidRPr="0076471F">
        <w:rPr>
          <w:szCs w:val="24"/>
        </w:rPr>
        <w:tab/>
      </w:r>
      <w:r w:rsidRPr="0076471F">
        <w:rPr>
          <w:szCs w:val="24"/>
        </w:rPr>
        <w:tab/>
      </w:r>
      <w:r w:rsidRPr="0076471F">
        <w:rPr>
          <w:szCs w:val="24"/>
        </w:rPr>
        <w:tab/>
        <w:t>budoucí oprávněná osoba:</w:t>
      </w: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  <w:r w:rsidRPr="00BE270A">
        <w:rPr>
          <w:rFonts w:eastAsia="Times New Roman"/>
          <w:szCs w:val="24"/>
        </w:rPr>
        <w:t>Mgr. Kamila Bláhová, starostka města</w:t>
      </w:r>
      <w:r>
        <w:rPr>
          <w:i/>
          <w:szCs w:val="24"/>
        </w:rPr>
        <w:t xml:space="preserve">          </w:t>
      </w:r>
      <w:r w:rsidRPr="00BE270A">
        <w:rPr>
          <w:szCs w:val="24"/>
        </w:rPr>
        <w:t>Aleš Zachariáš -</w:t>
      </w:r>
      <w:r>
        <w:rPr>
          <w:i/>
          <w:szCs w:val="24"/>
        </w:rPr>
        <w:t xml:space="preserve"> </w:t>
      </w:r>
      <w:r>
        <w:rPr>
          <w:szCs w:val="24"/>
        </w:rPr>
        <w:t xml:space="preserve">ředitel odboru správy majetku  </w:t>
      </w: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Severočeské vodárenské společnosti a.s.        </w:t>
      </w: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p w:rsidR="00644CF1" w:rsidRDefault="00644CF1" w:rsidP="00644CF1">
      <w:pPr>
        <w:pStyle w:val="textsmlouvy"/>
        <w:spacing w:after="0" w:afterAutospacing="0" w:line="240" w:lineRule="atLeast"/>
        <w:rPr>
          <w:szCs w:val="24"/>
        </w:rPr>
      </w:pPr>
    </w:p>
    <w:tbl>
      <w:tblPr>
        <w:tblW w:w="53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76"/>
        <w:gridCol w:w="1763"/>
        <w:gridCol w:w="2255"/>
        <w:gridCol w:w="2347"/>
        <w:gridCol w:w="2055"/>
      </w:tblGrid>
      <w:tr w:rsidR="00644CF1" w:rsidRPr="00FC1945" w:rsidTr="001B1CC2">
        <w:trPr>
          <w:trHeight w:val="348"/>
        </w:trPr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4CF1" w:rsidRPr="00FC1945" w:rsidRDefault="00644CF1" w:rsidP="001B1C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Datum</w:t>
            </w:r>
          </w:p>
        </w:tc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4CF1" w:rsidRPr="00FC1945" w:rsidRDefault="00644CF1" w:rsidP="001B1C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Jméno</w:t>
            </w:r>
          </w:p>
        </w:tc>
        <w:tc>
          <w:tcPr>
            <w:tcW w:w="11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4CF1" w:rsidRPr="00FC1945" w:rsidRDefault="00644CF1" w:rsidP="001B1C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Funkce</w:t>
            </w:r>
          </w:p>
        </w:tc>
        <w:tc>
          <w:tcPr>
            <w:tcW w:w="9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4CF1" w:rsidRPr="00FC1945" w:rsidRDefault="00644CF1" w:rsidP="001B1C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Podpis</w:t>
            </w:r>
          </w:p>
        </w:tc>
      </w:tr>
      <w:tr w:rsidR="00644CF1" w:rsidRPr="00FC1945" w:rsidTr="001B1CC2">
        <w:trPr>
          <w:trHeight w:val="454"/>
        </w:trPr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Zpracoval: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Radka Fikrtová</w:t>
            </w:r>
          </w:p>
        </w:tc>
        <w:tc>
          <w:tcPr>
            <w:tcW w:w="114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referent úseku pozemků</w:t>
            </w:r>
          </w:p>
        </w:tc>
        <w:tc>
          <w:tcPr>
            <w:tcW w:w="99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CF1" w:rsidRPr="00FC1945" w:rsidTr="001B1CC2">
        <w:trPr>
          <w:trHeight w:val="454"/>
        </w:trPr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Schválil: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Ing. Petr Řeháček, MBA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vedoucí ONM</w:t>
            </w:r>
          </w:p>
        </w:tc>
        <w:tc>
          <w:tcPr>
            <w:tcW w:w="9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CF1" w:rsidRPr="00FC1945" w:rsidTr="001B1CC2">
        <w:trPr>
          <w:trHeight w:val="454"/>
        </w:trPr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Správce rozpočtu: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Ing. Zdeňka Burešová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ekonom ONM</w:t>
            </w:r>
          </w:p>
        </w:tc>
        <w:tc>
          <w:tcPr>
            <w:tcW w:w="9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CF1" w:rsidRPr="00FC1945" w:rsidTr="001B1CC2">
        <w:trPr>
          <w:trHeight w:val="454"/>
        </w:trPr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Právní oddělení: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právní odd.</w:t>
            </w:r>
          </w:p>
        </w:tc>
        <w:tc>
          <w:tcPr>
            <w:tcW w:w="99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CF1" w:rsidRPr="00FC1945" w:rsidTr="001B1CC2">
        <w:trPr>
          <w:gridAfter w:val="1"/>
          <w:wAfter w:w="998" w:type="pct"/>
          <w:trHeight w:val="454"/>
        </w:trPr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Schváleno - RM: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before="2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16. 11. 2016</w:t>
            </w:r>
          </w:p>
        </w:tc>
        <w:tc>
          <w:tcPr>
            <w:tcW w:w="1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Číslo usnesení: R/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1573/59</w:t>
            </w: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44CF1" w:rsidRPr="00FC1945" w:rsidTr="001B1CC2">
        <w:trPr>
          <w:gridAfter w:val="1"/>
          <w:wAfter w:w="998" w:type="pct"/>
          <w:trHeight w:val="454"/>
        </w:trPr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ZM: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 xml:space="preserve"> -----------------------</w:t>
            </w:r>
          </w:p>
        </w:tc>
        <w:tc>
          <w:tcPr>
            <w:tcW w:w="1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Číslo usnesení: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Z/ ------------------------------</w:t>
            </w:r>
          </w:p>
        </w:tc>
      </w:tr>
      <w:tr w:rsidR="00644CF1" w:rsidRPr="00FC1945" w:rsidTr="001B1CC2">
        <w:trPr>
          <w:gridAfter w:val="2"/>
          <w:wAfter w:w="2138" w:type="pct"/>
          <w:trHeight w:val="454"/>
        </w:trPr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Zveřejněno: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od: ------------------</w:t>
            </w:r>
          </w:p>
        </w:tc>
        <w:tc>
          <w:tcPr>
            <w:tcW w:w="1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do: ---------------------</w:t>
            </w:r>
          </w:p>
        </w:tc>
      </w:tr>
      <w:tr w:rsidR="00644CF1" w:rsidRPr="00FC1945" w:rsidTr="001B1CC2">
        <w:trPr>
          <w:trHeight w:val="454"/>
        </w:trPr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1945">
              <w:rPr>
                <w:rFonts w:ascii="Times New Roman" w:hAnsi="Times New Roman"/>
                <w:b/>
                <w:sz w:val="18"/>
                <w:szCs w:val="18"/>
              </w:rPr>
              <w:t>Vedení města: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------------------------</w:t>
            </w:r>
          </w:p>
        </w:tc>
        <w:tc>
          <w:tcPr>
            <w:tcW w:w="109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---------------------------</w:t>
            </w:r>
          </w:p>
        </w:tc>
        <w:tc>
          <w:tcPr>
            <w:tcW w:w="114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----------------------------------</w:t>
            </w:r>
          </w:p>
        </w:tc>
        <w:tc>
          <w:tcPr>
            <w:tcW w:w="99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44CF1" w:rsidRPr="00FC1945" w:rsidRDefault="00644CF1" w:rsidP="001B1C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C1945">
              <w:rPr>
                <w:rFonts w:ascii="Times New Roman" w:hAnsi="Times New Roman"/>
                <w:sz w:val="18"/>
                <w:szCs w:val="18"/>
              </w:rPr>
              <w:t>------------------------------</w:t>
            </w:r>
          </w:p>
        </w:tc>
      </w:tr>
    </w:tbl>
    <w:p w:rsidR="00644CF1" w:rsidRPr="00A94066" w:rsidRDefault="00644CF1" w:rsidP="00644CF1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</w:p>
    <w:p w:rsidR="00644CF1" w:rsidRPr="0076471F" w:rsidRDefault="00644CF1" w:rsidP="00644CF1">
      <w:pPr>
        <w:pStyle w:val="textsmlouvy"/>
        <w:spacing w:after="0" w:afterAutospacing="0" w:line="240" w:lineRule="atLeast"/>
        <w:rPr>
          <w:i/>
          <w:szCs w:val="24"/>
        </w:rPr>
      </w:pPr>
      <w:r>
        <w:rPr>
          <w:szCs w:val="24"/>
        </w:rPr>
        <w:t xml:space="preserve">                                                 </w:t>
      </w:r>
    </w:p>
    <w:p w:rsidR="00CD46B7" w:rsidRDefault="00CD46B7"/>
    <w:sectPr w:rsidR="00CD46B7" w:rsidSect="00BE270A">
      <w:headerReference w:type="default" r:id="rId9"/>
      <w:footerReference w:type="default" r:id="rId10"/>
      <w:pgSz w:w="12240" w:h="15840"/>
      <w:pgMar w:top="851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5B" w:rsidRDefault="0017155B">
      <w:pPr>
        <w:spacing w:after="0" w:line="240" w:lineRule="auto"/>
      </w:pPr>
      <w:r>
        <w:separator/>
      </w:r>
    </w:p>
  </w:endnote>
  <w:endnote w:type="continuationSeparator" w:id="0">
    <w:p w:rsidR="0017155B" w:rsidRDefault="0017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AD" w:rsidRPr="002F3ECC" w:rsidRDefault="00644CF1" w:rsidP="00D87155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406"/>
      </w:tabs>
      <w:rPr>
        <w:rFonts w:ascii="Arial" w:hAnsi="Arial" w:cs="Arial"/>
        <w:sz w:val="16"/>
        <w:szCs w:val="16"/>
      </w:rPr>
    </w:pPr>
    <w:r w:rsidRPr="002F3ECC">
      <w:rPr>
        <w:rFonts w:ascii="Arial" w:hAnsi="Arial" w:cs="Arial"/>
        <w:sz w:val="16"/>
        <w:szCs w:val="16"/>
      </w:rPr>
      <w:t>Smlouva o</w:t>
    </w:r>
    <w:r>
      <w:rPr>
        <w:rFonts w:ascii="Arial" w:hAnsi="Arial" w:cs="Arial"/>
        <w:sz w:val="16"/>
        <w:szCs w:val="16"/>
      </w:rPr>
      <w:t xml:space="preserve"> budoucí smlouvě o</w:t>
    </w:r>
    <w:r w:rsidRPr="002F3ECC">
      <w:rPr>
        <w:rFonts w:ascii="Arial" w:hAnsi="Arial" w:cs="Arial"/>
        <w:sz w:val="16"/>
        <w:szCs w:val="16"/>
      </w:rPr>
      <w:t xml:space="preserve"> zřízení služebnosti inženýrské sítě </w:t>
    </w:r>
    <w:r>
      <w:rPr>
        <w:rFonts w:ascii="Arial" w:hAnsi="Arial" w:cs="Arial"/>
        <w:sz w:val="16"/>
        <w:szCs w:val="16"/>
      </w:rPr>
      <w:t>(ORI)</w:t>
    </w:r>
    <w:r w:rsidRPr="002F3ECC">
      <w:rPr>
        <w:rFonts w:ascii="Arial" w:hAnsi="Arial" w:cs="Arial"/>
        <w:sz w:val="16"/>
        <w:szCs w:val="16"/>
      </w:rPr>
      <w:tab/>
      <w:t xml:space="preserve">Stránka </w:t>
    </w:r>
    <w:r w:rsidRPr="002F3ECC">
      <w:rPr>
        <w:rFonts w:ascii="Arial" w:hAnsi="Arial" w:cs="Arial"/>
        <w:sz w:val="16"/>
        <w:szCs w:val="16"/>
      </w:rPr>
      <w:fldChar w:fldCharType="begin"/>
    </w:r>
    <w:r w:rsidRPr="002F3ECC">
      <w:rPr>
        <w:rFonts w:ascii="Arial" w:hAnsi="Arial" w:cs="Arial"/>
        <w:sz w:val="16"/>
        <w:szCs w:val="16"/>
      </w:rPr>
      <w:instrText xml:space="preserve"> PAGE   \* MERGEFORMAT </w:instrText>
    </w:r>
    <w:r w:rsidRPr="002F3ECC">
      <w:rPr>
        <w:rFonts w:ascii="Arial" w:hAnsi="Arial" w:cs="Arial"/>
        <w:sz w:val="16"/>
        <w:szCs w:val="16"/>
      </w:rPr>
      <w:fldChar w:fldCharType="separate"/>
    </w:r>
    <w:r w:rsidR="00B0636D">
      <w:rPr>
        <w:rFonts w:ascii="Arial" w:hAnsi="Arial" w:cs="Arial"/>
        <w:noProof/>
        <w:sz w:val="16"/>
        <w:szCs w:val="16"/>
      </w:rPr>
      <w:t>5</w:t>
    </w:r>
    <w:r w:rsidRPr="002F3ECC">
      <w:rPr>
        <w:rFonts w:ascii="Arial" w:hAnsi="Arial" w:cs="Arial"/>
        <w:sz w:val="16"/>
        <w:szCs w:val="16"/>
      </w:rPr>
      <w:fldChar w:fldCharType="end"/>
    </w:r>
  </w:p>
  <w:p w:rsidR="008379AD" w:rsidRDefault="001715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5B" w:rsidRDefault="0017155B">
      <w:pPr>
        <w:spacing w:after="0" w:line="240" w:lineRule="auto"/>
      </w:pPr>
      <w:r>
        <w:separator/>
      </w:r>
    </w:p>
  </w:footnote>
  <w:footnote w:type="continuationSeparator" w:id="0">
    <w:p w:rsidR="0017155B" w:rsidRDefault="0017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9B" w:rsidRDefault="00644CF1">
    <w:pPr>
      <w:pStyle w:val="Zhlav"/>
    </w:pPr>
    <w:r>
      <w:tab/>
    </w:r>
    <w:r>
      <w:tab/>
      <w:t>KT/8976/16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73E"/>
    <w:multiLevelType w:val="hybridMultilevel"/>
    <w:tmpl w:val="7ABE5092"/>
    <w:lvl w:ilvl="0" w:tplc="0405000F">
      <w:start w:val="1"/>
      <w:numFmt w:val="decimal"/>
      <w:lvlText w:val="%1."/>
      <w:lvlJc w:val="left"/>
      <w:pPr>
        <w:ind w:left="76" w:hanging="360"/>
      </w:p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A2B266E"/>
    <w:multiLevelType w:val="hybridMultilevel"/>
    <w:tmpl w:val="2586C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F1"/>
    <w:rsid w:val="0017155B"/>
    <w:rsid w:val="002436B7"/>
    <w:rsid w:val="00644CF1"/>
    <w:rsid w:val="0086572E"/>
    <w:rsid w:val="00B0636D"/>
    <w:rsid w:val="00C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CF1"/>
    <w:pPr>
      <w:spacing w:after="200" w:line="276" w:lineRule="auto"/>
    </w:pPr>
    <w:rPr>
      <w:rFonts w:ascii="Calibri" w:eastAsia="MS Mincho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44CF1"/>
    <w:pPr>
      <w:ind w:left="720"/>
      <w:contextualSpacing/>
    </w:pPr>
  </w:style>
  <w:style w:type="paragraph" w:customStyle="1" w:styleId="textsmlouvy">
    <w:name w:val="text smlouvy"/>
    <w:basedOn w:val="Normln"/>
    <w:uiPriority w:val="99"/>
    <w:rsid w:val="00644CF1"/>
    <w:pPr>
      <w:spacing w:after="100" w:afterAutospacing="1" w:line="240" w:lineRule="auto"/>
      <w:jc w:val="both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4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CF1"/>
    <w:rPr>
      <w:rFonts w:ascii="Calibri" w:eastAsia="MS Mincho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64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CF1"/>
    <w:rPr>
      <w:rFonts w:ascii="Calibri" w:eastAsia="MS Mincho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CF1"/>
    <w:pPr>
      <w:spacing w:after="200" w:line="276" w:lineRule="auto"/>
    </w:pPr>
    <w:rPr>
      <w:rFonts w:ascii="Calibri" w:eastAsia="MS Mincho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44CF1"/>
    <w:pPr>
      <w:ind w:left="720"/>
      <w:contextualSpacing/>
    </w:pPr>
  </w:style>
  <w:style w:type="paragraph" w:customStyle="1" w:styleId="textsmlouvy">
    <w:name w:val="text smlouvy"/>
    <w:basedOn w:val="Normln"/>
    <w:uiPriority w:val="99"/>
    <w:rsid w:val="00644CF1"/>
    <w:pPr>
      <w:spacing w:after="100" w:afterAutospacing="1" w:line="240" w:lineRule="auto"/>
      <w:jc w:val="both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4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CF1"/>
    <w:rPr>
      <w:rFonts w:ascii="Calibri" w:eastAsia="MS Mincho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64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CF1"/>
    <w:rPr>
      <w:rFonts w:ascii="Calibri" w:eastAsia="MS Mincho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nnptembqhfpwy6boozxwi33wn5s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Fikrtova Radka</dc:creator>
  <cp:lastModifiedBy>Sieberova Miroslava</cp:lastModifiedBy>
  <cp:revision>2</cp:revision>
  <dcterms:created xsi:type="dcterms:W3CDTF">2017-04-26T14:36:00Z</dcterms:created>
  <dcterms:modified xsi:type="dcterms:W3CDTF">2017-04-26T14:36:00Z</dcterms:modified>
</cp:coreProperties>
</file>