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0F" w:rsidRDefault="00AD3F5F">
      <w:r>
        <w:t>Příloha č. 1 – stanovisko ORI ze dne 20.4.2022</w:t>
      </w:r>
      <w:bookmarkStart w:id="0" w:name="_GoBack"/>
      <w:bookmarkEnd w:id="0"/>
    </w:p>
    <w:sectPr w:rsidR="00E67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5F"/>
    <w:rsid w:val="00AD3F5F"/>
    <w:rsid w:val="00E6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8E677"/>
  <w15:chartTrackingRefBased/>
  <w15:docId w15:val="{D266ED6F-A931-4A27-875E-B2AB1732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Kortusová Iveta</dc:creator>
  <cp:keywords/>
  <dc:description/>
  <cp:lastModifiedBy>Kortusová Iveta</cp:lastModifiedBy>
  <cp:revision>1</cp:revision>
  <dcterms:created xsi:type="dcterms:W3CDTF">2022-06-02T07:49:00Z</dcterms:created>
  <dcterms:modified xsi:type="dcterms:W3CDTF">2022-06-02T07:49:00Z</dcterms:modified>
</cp:coreProperties>
</file>