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DD" w:rsidRDefault="00335143">
      <w:pPr>
        <w:spacing w:after="139" w:line="259" w:lineRule="auto"/>
        <w:ind w:left="18" w:firstLine="0"/>
        <w:jc w:val="center"/>
      </w:pPr>
      <w:r>
        <w:rPr>
          <w:sz w:val="26"/>
        </w:rPr>
        <w:t>Kupní smlouva (PRODEJ) č. 19/2022</w:t>
      </w:r>
    </w:p>
    <w:p w:rsidR="00E353DD" w:rsidRDefault="00335143">
      <w:pPr>
        <w:spacing w:after="569" w:line="259" w:lineRule="auto"/>
        <w:ind w:left="24" w:firstLine="0"/>
        <w:jc w:val="center"/>
      </w:pPr>
      <w:r>
        <w:t>dle S 2079 a násl. zákona č. 89/2012 Sb., občanský zákoník, v platném znění</w:t>
      </w:r>
    </w:p>
    <w:p w:rsidR="0089700E" w:rsidRDefault="00335143">
      <w:pPr>
        <w:spacing w:after="30" w:line="282" w:lineRule="auto"/>
        <w:ind w:left="33" w:right="2633" w:firstLine="8"/>
        <w:jc w:val="left"/>
      </w:pPr>
      <w:r w:rsidRPr="0089700E">
        <w:rPr>
          <w:b/>
        </w:rPr>
        <w:t>UNILES, a.s.,</w:t>
      </w:r>
      <w:r>
        <w:t xml:space="preserve"> IČO 47307706, DIČ CZ47307706 se sídlem Rumburk, Jiříkovská 913/18, PSČ 408 Ol SP. zn. B 340 vedená u Krajského soudu v Ústí nad Labem číslo účtu 15003431/0100, Komerční banka a.s., pobočka Děčín zastoupená Vladimír </w:t>
      </w:r>
      <w:proofErr w:type="gramStart"/>
      <w:r>
        <w:t>Pařil,ved.stř.</w:t>
      </w:r>
      <w:proofErr w:type="gramEnd"/>
      <w:r>
        <w:t>3300, na zákl</w:t>
      </w:r>
      <w:r>
        <w:t xml:space="preserve">adě podpisového řádu S-VED-07 dále jen </w:t>
      </w:r>
      <w:r w:rsidRPr="0089700E">
        <w:rPr>
          <w:b/>
        </w:rPr>
        <w:t>prodávající</w:t>
      </w:r>
      <w:r>
        <w:t xml:space="preserve"> na straně jedné</w:t>
      </w:r>
    </w:p>
    <w:p w:rsidR="00E353DD" w:rsidRDefault="00335143">
      <w:pPr>
        <w:spacing w:after="30" w:line="282" w:lineRule="auto"/>
        <w:ind w:left="33" w:right="2633" w:firstLine="8"/>
        <w:jc w:val="left"/>
      </w:pPr>
      <w:r>
        <w:t>a</w:t>
      </w:r>
    </w:p>
    <w:p w:rsidR="00E353DD" w:rsidRDefault="00335143">
      <w:pPr>
        <w:spacing w:after="879" w:line="282" w:lineRule="auto"/>
        <w:ind w:left="33" w:right="309" w:firstLine="8"/>
        <w:jc w:val="left"/>
      </w:pPr>
      <w:r w:rsidRPr="0089700E">
        <w:rPr>
          <w:b/>
        </w:rPr>
        <w:t>Česká lesnická akademie Trutnov-střední škola a vyšší odborná škola</w:t>
      </w:r>
      <w:r>
        <w:t>, IČO 60153296, DIČ CZ60153296 se sídlem: Trutnov, Lesnická 9, PSČ 54101 SP. zn. ”X XXXX” vedená u Krajského (Městského)</w:t>
      </w:r>
      <w:r>
        <w:t xml:space="preserve"> soudu v </w:t>
      </w:r>
      <w:proofErr w:type="spellStart"/>
      <w:r>
        <w:t>Xxxxxxxxx</w:t>
      </w:r>
      <w:proofErr w:type="spellEnd"/>
      <w:r>
        <w:t xml:space="preserve"> zastoupená </w:t>
      </w:r>
      <w:proofErr w:type="spellStart"/>
      <w:r>
        <w:t>InglMiloš</w:t>
      </w:r>
      <w:proofErr w:type="spellEnd"/>
      <w:r>
        <w:t xml:space="preserve"> </w:t>
      </w:r>
      <w:proofErr w:type="spellStart"/>
      <w:proofErr w:type="gramStart"/>
      <w:r>
        <w:t>Pochobradský;ředitel</w:t>
      </w:r>
      <w:proofErr w:type="spellEnd"/>
      <w:proofErr w:type="gramEnd"/>
      <w:r>
        <w:t xml:space="preserve"> číslo účtu 218391577/0300 dále jen </w:t>
      </w:r>
      <w:r w:rsidRPr="0089700E">
        <w:rPr>
          <w:b/>
        </w:rPr>
        <w:t xml:space="preserve">kupující </w:t>
      </w:r>
      <w:r>
        <w:t>na straně druhé</w:t>
      </w:r>
    </w:p>
    <w:p w:rsidR="00E353DD" w:rsidRDefault="00335143">
      <w:pPr>
        <w:spacing w:after="74" w:line="435" w:lineRule="auto"/>
        <w:ind w:left="19" w:right="174"/>
      </w:pPr>
      <w:r>
        <w:t>(prodávající a kupující jsou dále označováni jednotlivě jako smluvní strana a společně jako smluvní strany) se níže uvedeného dne, měsí</w:t>
      </w:r>
      <w:r>
        <w:t>ce a roku dohodli na následujícím znění této smlouvy:</w:t>
      </w:r>
    </w:p>
    <w:p w:rsidR="00E353DD" w:rsidRDefault="00335143">
      <w:pPr>
        <w:pStyle w:val="Nadpis1"/>
        <w:tabs>
          <w:tab w:val="center" w:pos="1739"/>
        </w:tabs>
        <w:ind w:left="0" w:firstLine="0"/>
      </w:pPr>
      <w:r>
        <w:t>1.</w:t>
      </w:r>
      <w:r>
        <w:tab/>
        <w:t>Úvodní ustanovení</w:t>
      </w:r>
    </w:p>
    <w:p w:rsidR="00E353DD" w:rsidRDefault="00335143">
      <w:pPr>
        <w:tabs>
          <w:tab w:val="right" w:pos="9105"/>
        </w:tabs>
        <w:ind w:left="0" w:firstLine="0"/>
        <w:jc w:val="left"/>
      </w:pPr>
      <w:r>
        <w:t>1.I.</w:t>
      </w:r>
      <w:r>
        <w:tab/>
        <w:t xml:space="preserve">„Zboží” je dle této smlouvy sadební materiál v kvalitě dle </w:t>
      </w:r>
      <w:proofErr w:type="spellStart"/>
      <w:r>
        <w:t>vyhl</w:t>
      </w:r>
      <w:proofErr w:type="spellEnd"/>
      <w:r>
        <w:t>. 29/2004 Sb., kterou se provádí zákon</w:t>
      </w:r>
    </w:p>
    <w:p w:rsidR="00E353DD" w:rsidRDefault="00335143">
      <w:pPr>
        <w:ind w:left="946" w:right="57"/>
      </w:pPr>
      <w:r>
        <w:t>č. 149/2003 Sb., o obchodu s reprodukčním materiálem lesních dřevin v plat</w:t>
      </w:r>
      <w:r>
        <w:t>ném a účinném znění ke dni dodání sazenic a dle ČSN 4821 15.</w:t>
      </w:r>
    </w:p>
    <w:tbl>
      <w:tblPr>
        <w:tblStyle w:val="TableGrid"/>
        <w:tblW w:w="9023" w:type="dxa"/>
        <w:tblInd w:w="34" w:type="dxa"/>
        <w:tblCellMar>
          <w:top w:w="14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1096"/>
        <w:gridCol w:w="1713"/>
        <w:gridCol w:w="1068"/>
        <w:gridCol w:w="1598"/>
        <w:gridCol w:w="753"/>
        <w:gridCol w:w="672"/>
        <w:gridCol w:w="384"/>
        <w:gridCol w:w="1739"/>
      </w:tblGrid>
      <w:tr w:rsidR="00E353DD">
        <w:trPr>
          <w:trHeight w:val="468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335143">
            <w:pPr>
              <w:spacing w:after="0" w:line="259" w:lineRule="auto"/>
              <w:ind w:left="122" w:firstLine="0"/>
              <w:jc w:val="left"/>
            </w:pPr>
            <w:r>
              <w:t>Dřevina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335143">
            <w:pPr>
              <w:spacing w:after="0" w:line="259" w:lineRule="auto"/>
              <w:ind w:left="118" w:firstLine="0"/>
              <w:jc w:val="left"/>
            </w:pPr>
            <w:r>
              <w:t xml:space="preserve">Výšková třída cm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335143">
            <w:pPr>
              <w:spacing w:after="0" w:line="259" w:lineRule="auto"/>
              <w:ind w:left="126" w:firstLine="0"/>
              <w:jc w:val="left"/>
            </w:pPr>
            <w:r>
              <w:t xml:space="preserve">Kód LČR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335143">
            <w:pPr>
              <w:spacing w:after="0" w:line="259" w:lineRule="auto"/>
              <w:ind w:left="120" w:firstLine="0"/>
              <w:jc w:val="left"/>
            </w:pPr>
            <w:r>
              <w:t xml:space="preserve">Množství tis. ks 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3DD" w:rsidRDefault="00335143">
            <w:pPr>
              <w:spacing w:after="0" w:line="259" w:lineRule="auto"/>
              <w:ind w:left="118" w:firstLine="0"/>
              <w:jc w:val="left"/>
            </w:pPr>
            <w:r>
              <w:rPr>
                <w:sz w:val="22"/>
              </w:rPr>
              <w:t>Cena DPH</w:t>
            </w: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53DD" w:rsidRDefault="00335143">
            <w:pPr>
              <w:spacing w:after="0" w:line="259" w:lineRule="auto"/>
              <w:ind w:left="0" w:firstLine="0"/>
              <w:jc w:val="left"/>
            </w:pPr>
            <w:r>
              <w:t xml:space="preserve">Kč/ks </w:t>
            </w:r>
          </w:p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53DD" w:rsidRDefault="00335143">
            <w:pPr>
              <w:spacing w:after="0" w:line="259" w:lineRule="auto"/>
              <w:ind w:left="0" w:firstLine="0"/>
            </w:pPr>
            <w:r>
              <w:t xml:space="preserve">bez 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335143">
            <w:pPr>
              <w:spacing w:after="0" w:line="259" w:lineRule="auto"/>
              <w:ind w:left="114" w:firstLine="0"/>
            </w:pPr>
            <w:r>
              <w:t>Cena Kč/ks celkem bez DPH</w:t>
            </w:r>
          </w:p>
        </w:tc>
      </w:tr>
      <w:tr w:rsidR="00E353DD">
        <w:trPr>
          <w:trHeight w:val="24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335143">
            <w:pPr>
              <w:spacing w:after="0" w:line="259" w:lineRule="auto"/>
              <w:ind w:left="116" w:firstLine="0"/>
              <w:jc w:val="left"/>
            </w:pPr>
            <w:r>
              <w:t>SM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89700E">
            <w:pPr>
              <w:spacing w:after="160" w:line="259" w:lineRule="auto"/>
              <w:ind w:left="0" w:firstLine="0"/>
              <w:jc w:val="left"/>
            </w:pPr>
            <w:r>
              <w:t>8+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Pr="0089700E" w:rsidRDefault="00335143">
            <w:pPr>
              <w:spacing w:after="0" w:line="259" w:lineRule="auto"/>
              <w:ind w:left="114" w:firstLine="0"/>
              <w:jc w:val="left"/>
              <w:rPr>
                <w:color w:val="auto"/>
                <w:highlight w:val="black"/>
              </w:rPr>
            </w:pPr>
            <w:r w:rsidRPr="0089700E">
              <w:rPr>
                <w:color w:val="auto"/>
                <w:highlight w:val="black"/>
              </w:rPr>
              <w:t>41200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3DD" w:rsidRPr="0089700E" w:rsidRDefault="00335143">
            <w:pPr>
              <w:spacing w:after="0" w:line="259" w:lineRule="auto"/>
              <w:ind w:left="112" w:firstLine="0"/>
              <w:jc w:val="left"/>
              <w:rPr>
                <w:color w:val="auto"/>
                <w:highlight w:val="black"/>
              </w:rPr>
            </w:pPr>
            <w:r w:rsidRPr="0089700E">
              <w:rPr>
                <w:color w:val="auto"/>
                <w:highlight w:val="black"/>
              </w:rPr>
              <w:t>2,1</w:t>
            </w: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53DD" w:rsidRPr="0089700E" w:rsidRDefault="00E353DD">
            <w:pPr>
              <w:spacing w:after="16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53DD" w:rsidRPr="0089700E" w:rsidRDefault="00E353DD">
            <w:pPr>
              <w:spacing w:after="16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Pr="0089700E" w:rsidRDefault="00335143">
            <w:pPr>
              <w:spacing w:after="0" w:line="259" w:lineRule="auto"/>
              <w:ind w:left="114" w:firstLine="0"/>
              <w:jc w:val="left"/>
              <w:rPr>
                <w:color w:val="auto"/>
                <w:highlight w:val="black"/>
              </w:rPr>
            </w:pPr>
            <w:r w:rsidRPr="0089700E">
              <w:rPr>
                <w:color w:val="auto"/>
                <w:highlight w:val="black"/>
              </w:rPr>
              <w:t>86520</w:t>
            </w:r>
          </w:p>
        </w:tc>
      </w:tr>
      <w:tr w:rsidR="00E353DD">
        <w:trPr>
          <w:trHeight w:val="24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</w:tr>
      <w:tr w:rsidR="00E353DD">
        <w:trPr>
          <w:trHeight w:val="242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3DD" w:rsidRDefault="00E353D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353DD" w:rsidRDefault="00335143">
      <w:pPr>
        <w:ind w:left="190" w:right="57"/>
      </w:pPr>
      <w:r>
        <w:rPr>
          <w:noProof/>
        </w:rPr>
        <w:drawing>
          <wp:inline distT="0" distB="0" distL="0" distR="0">
            <wp:extent cx="87601" cy="87578"/>
            <wp:effectExtent l="0" t="0" r="0" b="0"/>
            <wp:docPr id="28174" name="Picture 28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4" name="Picture 28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01" cy="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„Kupní cena” je dle této smlouvy kupní cena zboží uvedená v bodě 1.I. této smlouvy.</w:t>
      </w:r>
    </w:p>
    <w:p w:rsidR="00E353DD" w:rsidRDefault="00335143">
      <w:pPr>
        <w:tabs>
          <w:tab w:val="center" w:pos="3179"/>
        </w:tabs>
        <w:ind w:left="0" w:firstLine="0"/>
        <w:jc w:val="left"/>
      </w:pPr>
      <w:r>
        <w:t>I.3</w:t>
      </w:r>
      <w:r>
        <w:tab/>
        <w:t xml:space="preserve">„Místo plnění" je dle této smlouvy: </w:t>
      </w:r>
      <w:proofErr w:type="gramStart"/>
      <w:r>
        <w:t>LŠUdánky,stř</w:t>
      </w:r>
      <w:proofErr w:type="gramEnd"/>
      <w:r>
        <w:t>3300.</w:t>
      </w:r>
    </w:p>
    <w:p w:rsidR="00E353DD" w:rsidRDefault="00335143">
      <w:pPr>
        <w:spacing w:after="293"/>
        <w:ind w:left="15" w:right="2285" w:firstLine="126"/>
      </w:pPr>
      <w:r>
        <w:rPr>
          <w:noProof/>
        </w:rPr>
        <w:drawing>
          <wp:inline distT="0" distB="0" distL="0" distR="0">
            <wp:extent cx="87601" cy="91386"/>
            <wp:effectExtent l="0" t="0" r="0" b="0"/>
            <wp:docPr id="28176" name="Picture 28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6" name="Picture 281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01" cy="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 věci realizace dodání zboží zastupuje prodávajícího: Vladimír Pařil. I.5 Ve věci realizace převzetí zboží zastupuje kupujícího: </w:t>
      </w:r>
      <w:proofErr w:type="spellStart"/>
      <w:proofErr w:type="gramStart"/>
      <w:r>
        <w:t>ing.Jan</w:t>
      </w:r>
      <w:proofErr w:type="spellEnd"/>
      <w:proofErr w:type="gramEnd"/>
      <w:r>
        <w:t xml:space="preserve"> Téra.</w:t>
      </w:r>
    </w:p>
    <w:p w:rsidR="00E353DD" w:rsidRDefault="00335143">
      <w:pPr>
        <w:pStyle w:val="Nadpis1"/>
        <w:tabs>
          <w:tab w:val="center" w:pos="1679"/>
        </w:tabs>
        <w:spacing w:after="151"/>
        <w:ind w:left="0" w:firstLine="0"/>
      </w:pPr>
      <w:r>
        <w:t>2.</w:t>
      </w:r>
      <w:r>
        <w:tab/>
        <w:t>Předmět smlouvy</w:t>
      </w:r>
    </w:p>
    <w:p w:rsidR="00E353DD" w:rsidRDefault="00335143">
      <w:pPr>
        <w:numPr>
          <w:ilvl w:val="0"/>
          <w:numId w:val="1"/>
        </w:numPr>
        <w:ind w:right="57" w:hanging="912"/>
      </w:pPr>
      <w:proofErr w:type="gramStart"/>
      <w:r>
        <w:t>I .</w:t>
      </w:r>
      <w:proofErr w:type="gramEnd"/>
      <w:r>
        <w:t xml:space="preserve"> </w:t>
      </w:r>
      <w:r>
        <w:t xml:space="preserve">Prodávající se tímto zavazuje dodat kupujícímu zboží a převést na kupujícího vlastnické </w:t>
      </w:r>
      <w:r>
        <w:t xml:space="preserve">právo ke zboží, a to za podmínek stanovených touto smlouvou. Skutečně odebrané množství jednotlivých druhů zboží </w:t>
      </w:r>
      <w:r>
        <w:t>bude průběžně upřesňováno v průběhu plnění této smlouvy.</w:t>
      </w:r>
    </w:p>
    <w:p w:rsidR="00E353DD" w:rsidRDefault="00335143">
      <w:pPr>
        <w:numPr>
          <w:ilvl w:val="1"/>
          <w:numId w:val="1"/>
        </w:numPr>
        <w:spacing w:after="318"/>
        <w:ind w:right="57" w:hanging="996"/>
      </w:pPr>
      <w:r>
        <w:t>Kupující se tímto zavazuje převzít zboží od prodávajícího a zaplatit prodávajícímu kup</w:t>
      </w:r>
      <w:r>
        <w:t>ní cenu, a to za podmínek stanovených touto smlouvou.</w:t>
      </w:r>
    </w:p>
    <w:p w:rsidR="00E353DD" w:rsidRDefault="00335143">
      <w:pPr>
        <w:numPr>
          <w:ilvl w:val="0"/>
          <w:numId w:val="1"/>
        </w:numPr>
        <w:spacing w:after="151"/>
        <w:ind w:right="57" w:hanging="912"/>
      </w:pPr>
      <w:r>
        <w:t>Dodací podmínky</w:t>
      </w:r>
    </w:p>
    <w:p w:rsidR="00E353DD" w:rsidRDefault="00335143">
      <w:pPr>
        <w:tabs>
          <w:tab w:val="right" w:pos="9105"/>
        </w:tabs>
        <w:ind w:left="0" w:firstLine="0"/>
        <w:jc w:val="left"/>
      </w:pPr>
      <w:r>
        <w:t>3.I.</w:t>
      </w:r>
      <w:r>
        <w:tab/>
        <w:t>Prodávající se Zbožím dodá list o původu sadebního materiálu lesních dřevin a rostlinolékařský pas.</w:t>
      </w:r>
    </w:p>
    <w:p w:rsidR="00E353DD" w:rsidRDefault="00335143">
      <w:pPr>
        <w:numPr>
          <w:ilvl w:val="1"/>
          <w:numId w:val="1"/>
        </w:numPr>
        <w:ind w:right="57" w:hanging="996"/>
      </w:pPr>
      <w:r>
        <w:t xml:space="preserve">Převzetí zboží je povinen kupující nebo za kupujícího jeho odběratel potvrdit na </w:t>
      </w:r>
      <w:r>
        <w:t>dodacím listu vystaveném prodávajícím.</w:t>
      </w:r>
    </w:p>
    <w:p w:rsidR="00E353DD" w:rsidRDefault="00335143">
      <w:pPr>
        <w:numPr>
          <w:ilvl w:val="1"/>
          <w:numId w:val="1"/>
        </w:numPr>
        <w:spacing w:after="56"/>
        <w:ind w:right="57" w:hanging="996"/>
      </w:pPr>
      <w:r>
        <w:t>Způsob přejímky zboží: fyzická v místě plnění.</w:t>
      </w:r>
    </w:p>
    <w:p w:rsidR="00E353DD" w:rsidRDefault="00335143">
      <w:pPr>
        <w:numPr>
          <w:ilvl w:val="1"/>
          <w:numId w:val="1"/>
        </w:numPr>
        <w:ind w:right="57" w:hanging="996"/>
      </w:pPr>
      <w:r>
        <w:t>Prodávající předá zboží kupujícímu nebo odběrateli kupujícího v místě plnění.</w:t>
      </w:r>
    </w:p>
    <w:p w:rsidR="00E353DD" w:rsidRDefault="00335143">
      <w:pPr>
        <w:numPr>
          <w:ilvl w:val="1"/>
          <w:numId w:val="1"/>
        </w:numPr>
        <w:ind w:right="57" w:hanging="996"/>
      </w:pPr>
      <w:r>
        <w:t>Přepravu zboží z místa plnění si zajišťuje kupující nebo odběratel kupujícího na své náklady</w:t>
      </w:r>
      <w:r>
        <w:t>/zajišťuje prodávající na náklady kupujícího.</w:t>
      </w:r>
    </w:p>
    <w:p w:rsidR="00E353DD" w:rsidRDefault="00335143">
      <w:pPr>
        <w:numPr>
          <w:ilvl w:val="1"/>
          <w:numId w:val="1"/>
        </w:numPr>
        <w:ind w:right="57" w:hanging="996"/>
      </w:pPr>
      <w:r>
        <w:t>Prodávající je povinen upozornit kupujícího na vady zboží, o kterých ví.</w:t>
      </w:r>
    </w:p>
    <w:p w:rsidR="00E353DD" w:rsidRDefault="00335143">
      <w:pPr>
        <w:numPr>
          <w:ilvl w:val="1"/>
          <w:numId w:val="1"/>
        </w:numPr>
        <w:ind w:right="57" w:hanging="996"/>
      </w:pPr>
      <w:r>
        <w:lastRenderedPageBreak/>
        <w:t>Prodávající je povinen předat kupujícímu veškeré doklady vztahující se ke zboží, a to nejpozději při převzetí zboží kupujícím. Doklady vz</w:t>
      </w:r>
      <w:r>
        <w:t>tahující se ke zboží včetně dodacího listu musí obsahovat</w:t>
      </w:r>
    </w:p>
    <w:p w:rsidR="00E353DD" w:rsidRDefault="00335143">
      <w:pPr>
        <w:spacing w:after="1"/>
        <w:ind w:left="994" w:right="57"/>
      </w:pPr>
      <w:r>
        <w:t>zejména číslo dodacího listu, množství dodaného zboží, počet kusů, datum, uvedení prodávajícího a kupujícího, jména a příjmení osob zastupujících prodávajícího a kupujícího a jejich podpisy.</w:t>
      </w:r>
    </w:p>
    <w:p w:rsidR="00E353DD" w:rsidRDefault="00335143">
      <w:pPr>
        <w:numPr>
          <w:ilvl w:val="1"/>
          <w:numId w:val="1"/>
        </w:numPr>
        <w:ind w:right="57" w:hanging="996"/>
      </w:pPr>
      <w:r>
        <w:t>Zboží bude dodáno v době od ”XX. XX. XXXX” nejpozději do ”XX. XX. XXXX</w:t>
      </w:r>
      <w:proofErr w:type="gramStart"/>
      <w:r>
        <w:t>” .</w:t>
      </w:r>
      <w:proofErr w:type="gramEnd"/>
    </w:p>
    <w:p w:rsidR="00E353DD" w:rsidRDefault="00335143">
      <w:pPr>
        <w:numPr>
          <w:ilvl w:val="1"/>
          <w:numId w:val="1"/>
        </w:numPr>
        <w:ind w:right="57" w:hanging="996"/>
      </w:pPr>
      <w:r>
        <w:t>Smluvní strany se dohodly na možnosti dílčího plnění předmětu této smlouvy.</w:t>
      </w:r>
    </w:p>
    <w:p w:rsidR="00E353DD" w:rsidRDefault="00335143">
      <w:pPr>
        <w:numPr>
          <w:ilvl w:val="1"/>
          <w:numId w:val="1"/>
        </w:numPr>
        <w:spacing w:after="290"/>
        <w:ind w:right="57" w:hanging="996"/>
      </w:pPr>
      <w:r>
        <w:t>Náklady spojené s odevzdáním věci nese kupující.</w:t>
      </w:r>
    </w:p>
    <w:p w:rsidR="00E353DD" w:rsidRDefault="00335143">
      <w:pPr>
        <w:numPr>
          <w:ilvl w:val="0"/>
          <w:numId w:val="1"/>
        </w:numPr>
        <w:spacing w:after="163"/>
        <w:ind w:right="57" w:hanging="912"/>
      </w:pPr>
      <w:r>
        <w:t>Vlastnictví ke zboží a přechod nebezpečí škody na zboží</w:t>
      </w:r>
    </w:p>
    <w:p w:rsidR="00E353DD" w:rsidRDefault="00335143">
      <w:pPr>
        <w:numPr>
          <w:ilvl w:val="0"/>
          <w:numId w:val="2"/>
        </w:numPr>
        <w:ind w:right="57" w:hanging="900"/>
      </w:pPr>
      <w:proofErr w:type="gramStart"/>
      <w:r>
        <w:t>I</w:t>
      </w:r>
      <w:r>
        <w:t xml:space="preserve"> .</w:t>
      </w:r>
      <w:proofErr w:type="gramEnd"/>
      <w:r>
        <w:tab/>
        <w:t>Zboží zůstává po celou dobu až do zaplacení kupní ceny zboží ve vlastnictví prodávajícího.</w:t>
      </w:r>
    </w:p>
    <w:p w:rsidR="00E353DD" w:rsidRDefault="00335143">
      <w:pPr>
        <w:numPr>
          <w:ilvl w:val="1"/>
          <w:numId w:val="2"/>
        </w:numPr>
        <w:spacing w:after="3" w:line="259" w:lineRule="auto"/>
        <w:ind w:right="28" w:hanging="906"/>
        <w:jc w:val="left"/>
      </w:pPr>
      <w:r>
        <w:t>Kupující nabývá vlastnické právo ke zboží až po úplném zaplacení kupní ceny zboží.</w:t>
      </w:r>
    </w:p>
    <w:p w:rsidR="00E353DD" w:rsidRDefault="00335143">
      <w:pPr>
        <w:numPr>
          <w:ilvl w:val="1"/>
          <w:numId w:val="2"/>
        </w:numPr>
        <w:spacing w:after="315"/>
        <w:ind w:right="28" w:hanging="906"/>
        <w:jc w:val="left"/>
      </w:pPr>
      <w:r>
        <w:t>Nebezpečí škody na zboží přechází na kupujícího okamžikem převzetí zboží kupují</w:t>
      </w:r>
      <w:r>
        <w:t>cím nebo odběratelem kupujícího nebo okamžikem předání k přepravě nebo okamžikem vzniku prodlení kupujícího s převzetím zboží, kdy nebezpečí škody přechází na základě té z uvedených skutečností, která nastane nejdříve.</w:t>
      </w:r>
    </w:p>
    <w:p w:rsidR="00E353DD" w:rsidRDefault="00335143">
      <w:pPr>
        <w:numPr>
          <w:ilvl w:val="0"/>
          <w:numId w:val="2"/>
        </w:numPr>
        <w:spacing w:after="130"/>
        <w:ind w:right="57" w:hanging="900"/>
      </w:pPr>
      <w:r>
        <w:t>Odpovědnost za vady zboží</w:t>
      </w:r>
    </w:p>
    <w:p w:rsidR="00E353DD" w:rsidRDefault="00335143">
      <w:pPr>
        <w:numPr>
          <w:ilvl w:val="0"/>
          <w:numId w:val="3"/>
        </w:numPr>
        <w:ind w:right="57" w:hanging="180"/>
      </w:pPr>
      <w:proofErr w:type="gramStart"/>
      <w:r>
        <w:t>I .</w:t>
      </w:r>
      <w:proofErr w:type="gramEnd"/>
      <w:r>
        <w:t xml:space="preserve"> Zjevné vady zboží je kupující oprávněn uplatnit u prodávajícího (ihned při převzetí zboží) nejpozději do 5 kalendářních dnů od převzetí zboží kupujícím nebo odběratelem kupujícího.</w:t>
      </w:r>
    </w:p>
    <w:p w:rsidR="00E353DD" w:rsidRDefault="00335143">
      <w:pPr>
        <w:numPr>
          <w:ilvl w:val="1"/>
          <w:numId w:val="3"/>
        </w:numPr>
        <w:spacing w:after="0"/>
        <w:ind w:right="57" w:hanging="900"/>
      </w:pPr>
      <w:r>
        <w:t>Skryté vady je kupující oprávněn uplatnit u prodávajícího bez zbytečnéh</w:t>
      </w:r>
      <w:r>
        <w:t>o odkladu po jejich zjištění, nejpozději však do deseti dnů od dne převzetí zboží kupujícím nebo odběratelem kupujícího. Kupující musí doložit, kdy a jakým způsobem sadební materiál založil, kdy a kam vysázel a doložit celý průběh nakládání s tímto sadební</w:t>
      </w:r>
      <w:r>
        <w:t xml:space="preserve">m materiálem od jeho převzetí od prodávajícího. Smluvní strany se dohodly, že přirozený úhyn rostlin do </w:t>
      </w:r>
      <w:proofErr w:type="gramStart"/>
      <w:r>
        <w:t>7%</w:t>
      </w:r>
      <w:proofErr w:type="gramEnd"/>
      <w:r>
        <w:t xml:space="preserve"> objemově za jeden rok není možné považovat za důvod k uplatnění práv z vadného plnění.</w:t>
      </w:r>
    </w:p>
    <w:p w:rsidR="00E353DD" w:rsidRDefault="00335143">
      <w:pPr>
        <w:numPr>
          <w:ilvl w:val="1"/>
          <w:numId w:val="3"/>
        </w:numPr>
        <w:ind w:right="57" w:hanging="900"/>
      </w:pPr>
      <w:r>
        <w:t>Uplatní-li kupující právo z vadného plnění, je prodávající povinen potvrdit mu písemně, kdy právo uplatnil.</w:t>
      </w:r>
    </w:p>
    <w:p w:rsidR="00E353DD" w:rsidRDefault="00335143">
      <w:pPr>
        <w:numPr>
          <w:ilvl w:val="1"/>
          <w:numId w:val="3"/>
        </w:numPr>
        <w:ind w:right="57" w:hanging="900"/>
      </w:pPr>
      <w:r>
        <w:t xml:space="preserve">Za vady zboží se nepovažují vady vzniklé poškozením rostlin, způsobeným zásahem kupujícího, nebo jiné osoby, zvířat, zvěře, přírodních živlů, vyšší </w:t>
      </w:r>
      <w:r>
        <w:t>moci a rovněž chorobami a škůdci rostlin, jejichž inkubační doba je kratší než doba, která uplynula mezi převzetím sadebního materiálu kupujícím a vznikem poškození chorobami nebo škůdci. Za vady zboží se nepovažují vady vzniklé nesprávným nakládáním se zb</w:t>
      </w:r>
      <w:r>
        <w:t>ožím kupujícím nebo jím pověřenými osobami nebo nesprávným uložením zboží kupujícím nebo jím pověřenými osobami nebo nesprávnou výsadbou zboží.</w:t>
      </w:r>
    </w:p>
    <w:p w:rsidR="00E353DD" w:rsidRDefault="00335143">
      <w:pPr>
        <w:numPr>
          <w:ilvl w:val="1"/>
          <w:numId w:val="3"/>
        </w:numPr>
        <w:ind w:right="57" w:hanging="900"/>
      </w:pPr>
      <w:r>
        <w:t>Kupující je povinen uhradit kupní cenu zboží v plné výši i v případě existence vady zboží a není oprávněn neplat</w:t>
      </w:r>
      <w:r>
        <w:t>it část kupní ceny odhadem přiměřeně odpovídající jeho právu na slevu z kupní ceny zboží, pokud se smluvní strany nedohodnou jinak.</w:t>
      </w:r>
    </w:p>
    <w:p w:rsidR="00E353DD" w:rsidRDefault="00335143">
      <w:pPr>
        <w:numPr>
          <w:ilvl w:val="1"/>
          <w:numId w:val="3"/>
        </w:numPr>
        <w:spacing w:after="263"/>
        <w:ind w:right="57" w:hanging="900"/>
      </w:pPr>
      <w:r>
        <w:t>Prodávající je povinen odstranit zjištěné a prokázané vady zboží způsobem, na kterém se dohodne s kupujícím.</w:t>
      </w:r>
    </w:p>
    <w:p w:rsidR="00E353DD" w:rsidRDefault="00335143">
      <w:pPr>
        <w:pStyle w:val="Nadpis1"/>
        <w:tabs>
          <w:tab w:val="center" w:pos="3539"/>
        </w:tabs>
        <w:spacing w:after="100"/>
        <w:ind w:left="0" w:firstLine="0"/>
      </w:pPr>
      <w:r>
        <w:t>6.</w:t>
      </w:r>
      <w:r>
        <w:tab/>
        <w:t>Kupní cena z</w:t>
      </w:r>
      <w:r>
        <w:t>boží a způsob její úhrady a náklady na přepravu</w:t>
      </w:r>
    </w:p>
    <w:p w:rsidR="00E353DD" w:rsidRDefault="00335143">
      <w:pPr>
        <w:numPr>
          <w:ilvl w:val="0"/>
          <w:numId w:val="4"/>
        </w:numPr>
        <w:ind w:right="57" w:hanging="912"/>
      </w:pPr>
      <w:proofErr w:type="gramStart"/>
      <w:r>
        <w:t>I .</w:t>
      </w:r>
      <w:proofErr w:type="gramEnd"/>
      <w:r>
        <w:t xml:space="preserve"> Jednotkové kupní ceny jednotlivých druhů zboží bez DPH jsou uvedeny v bodě 1.I. této smlouvy. V případě dílčího plnění bude Kupní cena vypočtena dle skutečně odebraného množství zboží dle jednotlivých dru</w:t>
      </w:r>
      <w:r>
        <w:t>hů a ceny dohodnuté v bodě I.</w:t>
      </w:r>
      <w:proofErr w:type="gramStart"/>
      <w:r>
        <w:t>1 .této</w:t>
      </w:r>
      <w:proofErr w:type="gramEnd"/>
      <w:r>
        <w:t xml:space="preserve"> smlouvy.</w:t>
      </w:r>
    </w:p>
    <w:p w:rsidR="00E353DD" w:rsidRDefault="00335143">
      <w:pPr>
        <w:numPr>
          <w:ilvl w:val="1"/>
          <w:numId w:val="4"/>
        </w:numPr>
        <w:ind w:right="57" w:hanging="906"/>
      </w:pPr>
      <w:r>
        <w:t>Kupní cena je uvedena bez dopravy zajištěné prodávajícím.</w:t>
      </w:r>
    </w:p>
    <w:p w:rsidR="00E353DD" w:rsidRDefault="00335143">
      <w:pPr>
        <w:numPr>
          <w:ilvl w:val="1"/>
          <w:numId w:val="4"/>
        </w:numPr>
        <w:ind w:right="57" w:hanging="906"/>
      </w:pPr>
      <w:r>
        <w:t xml:space="preserve">Prodávající je povinen vystavit k úhradě kupní ceny dodaného zboží kupujícímu daňový doklad </w:t>
      </w:r>
      <w:r>
        <w:rPr>
          <w:noProof/>
        </w:rPr>
        <w:drawing>
          <wp:inline distT="0" distB="0" distL="0" distR="0">
            <wp:extent cx="76174" cy="11423"/>
            <wp:effectExtent l="0" t="0" r="0" b="0"/>
            <wp:docPr id="6878" name="Picture 6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" name="Picture 68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74" cy="1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fakturu, v případě dílčího plnění jednotlivé daňové </w:t>
      </w:r>
      <w:proofErr w:type="gramStart"/>
      <w:r>
        <w:t>doklady</w:t>
      </w:r>
      <w:r>
        <w:t xml:space="preserve"> - faktury</w:t>
      </w:r>
      <w:proofErr w:type="gramEnd"/>
      <w:r>
        <w:t xml:space="preserve"> a zaslat je kupujícímu do 15 dnů od uskutečnění zdanitelného plnění tj. předání a převzetí jednotlivých dílčích plnění této smlouvy na adresu uvedenou v záhlaví této smlouvy.</w:t>
      </w:r>
    </w:p>
    <w:p w:rsidR="00E353DD" w:rsidRDefault="00335143">
      <w:pPr>
        <w:numPr>
          <w:ilvl w:val="1"/>
          <w:numId w:val="4"/>
        </w:numPr>
        <w:ind w:right="57" w:hanging="906"/>
      </w:pPr>
      <w:r>
        <w:t xml:space="preserve">Vystavený daňový </w:t>
      </w:r>
      <w:proofErr w:type="gramStart"/>
      <w:r>
        <w:t>doklad - faktura</w:t>
      </w:r>
      <w:proofErr w:type="gramEnd"/>
      <w:r>
        <w:t xml:space="preserve"> k úhradě kupní ceny zboží bude splat</w:t>
      </w:r>
      <w:r>
        <w:t>ná do 60 dnů od uskutečnění zdanitelného plnění bezhotovostním převodem na účet prodávajícího a musí obsahovat veškeré náležitosti dle příslušných právních předpisů.</w:t>
      </w:r>
    </w:p>
    <w:p w:rsidR="00E353DD" w:rsidRDefault="00335143">
      <w:pPr>
        <w:numPr>
          <w:ilvl w:val="1"/>
          <w:numId w:val="4"/>
        </w:numPr>
        <w:ind w:right="57" w:hanging="906"/>
      </w:pPr>
      <w:r>
        <w:t>Kupující je povinen uhradit prodávajícímu kupní cenu zboží ve lhůtě její splatnosti. Uhraz</w:t>
      </w:r>
      <w:r>
        <w:t>ením kupní ceny zboží se dle této smlouvy rozumí okamžik připsaní dlužné částky na účet prodávajícího nebo okamžik převzetí dlužné částky v hotovosti prodávajícím nebo v případě ujednání o započtení pohledávek mezi smluvními stranami okamžik, kdy se započí</w:t>
      </w:r>
      <w:r>
        <w:t>távané pohledávky střetly poprvé.</w:t>
      </w:r>
    </w:p>
    <w:p w:rsidR="00E353DD" w:rsidRDefault="00335143">
      <w:pPr>
        <w:numPr>
          <w:ilvl w:val="1"/>
          <w:numId w:val="4"/>
        </w:numPr>
        <w:spacing w:after="349"/>
        <w:ind w:right="57" w:hanging="906"/>
      </w:pPr>
      <w:r>
        <w:t xml:space="preserve">Kupující se tímto zavazuje, že v případě jeho prodlení s úhradou kupní ceny zaplatí prodávajícímu smluvní pokutu ve výši 0,05 % z dlužné částky za každý započatý den prodlení. Kupující je povinen </w:t>
      </w:r>
      <w:r>
        <w:lastRenderedPageBreak/>
        <w:t>zaplatit tuto smluvní poku</w:t>
      </w:r>
      <w:r>
        <w:t>tu pouze na základě výzvy prodávajícího. Tímto ustanovením není dotčeno právo prodávajícího na náhradu škody vůči kupujícímu způsobené porušením povinnosti, jejíž splnění je touto smluvní pokutou zajištěno.</w:t>
      </w:r>
    </w:p>
    <w:p w:rsidR="00E353DD" w:rsidRDefault="00335143">
      <w:pPr>
        <w:numPr>
          <w:ilvl w:val="0"/>
          <w:numId w:val="4"/>
        </w:numPr>
        <w:spacing w:after="156"/>
        <w:ind w:right="57" w:hanging="912"/>
      </w:pPr>
      <w:r>
        <w:t>Platnost a účinnost smlouvy</w:t>
      </w:r>
    </w:p>
    <w:p w:rsidR="00E353DD" w:rsidRDefault="00335143">
      <w:pPr>
        <w:numPr>
          <w:ilvl w:val="0"/>
          <w:numId w:val="5"/>
        </w:numPr>
        <w:spacing w:after="331"/>
        <w:ind w:right="57" w:hanging="906"/>
      </w:pPr>
      <w:proofErr w:type="gramStart"/>
      <w:r>
        <w:t>I .</w:t>
      </w:r>
      <w:proofErr w:type="gramEnd"/>
      <w:r>
        <w:tab/>
        <w:t>Tato smlouva nabý</w:t>
      </w:r>
      <w:r>
        <w:t>vá platnosti a účinnosti dnem jejího podpisu oběma smluvními stranami.</w:t>
      </w:r>
    </w:p>
    <w:p w:rsidR="00E353DD" w:rsidRDefault="00335143">
      <w:pPr>
        <w:spacing w:after="170" w:line="259" w:lineRule="auto"/>
        <w:ind w:left="10" w:right="273" w:hanging="10"/>
        <w:jc w:val="right"/>
      </w:pPr>
      <w:r>
        <w:rPr>
          <w:sz w:val="16"/>
        </w:rPr>
        <w:t>K/012</w:t>
      </w:r>
    </w:p>
    <w:p w:rsidR="00E353DD" w:rsidRDefault="00335143">
      <w:pPr>
        <w:numPr>
          <w:ilvl w:val="1"/>
          <w:numId w:val="5"/>
        </w:numPr>
        <w:ind w:right="57" w:hanging="894"/>
      </w:pPr>
      <w:r>
        <w:t>Tuto smlouvu je možno ukončit dohodou smluvních stran.</w:t>
      </w:r>
    </w:p>
    <w:p w:rsidR="00E353DD" w:rsidRDefault="00335143">
      <w:pPr>
        <w:numPr>
          <w:ilvl w:val="1"/>
          <w:numId w:val="5"/>
        </w:numPr>
        <w:ind w:right="57" w:hanging="894"/>
      </w:pPr>
      <w:r>
        <w:t>Prodávající může tuto smlouvu vypovědět bez výpovědní doby v případě, že kupující bude v prodlení s úhradou kupní ceny nebo její části déle než 5 dní.</w:t>
      </w:r>
    </w:p>
    <w:p w:rsidR="00E353DD" w:rsidRDefault="00335143">
      <w:pPr>
        <w:numPr>
          <w:ilvl w:val="1"/>
          <w:numId w:val="5"/>
        </w:numPr>
        <w:ind w:right="57" w:hanging="894"/>
      </w:pPr>
      <w:r>
        <w:t>Prodávající není povinen dodat kupujícímu zboží v případě, že kupující bude v prodlení s úhradou kupní ce</w:t>
      </w:r>
      <w:r>
        <w:t>ny nebo její části déle než 5 dní.</w:t>
      </w:r>
    </w:p>
    <w:p w:rsidR="00E353DD" w:rsidRDefault="00335143">
      <w:pPr>
        <w:numPr>
          <w:ilvl w:val="1"/>
          <w:numId w:val="5"/>
        </w:numPr>
        <w:spacing w:after="322"/>
        <w:ind w:right="57" w:hanging="894"/>
      </w:pPr>
      <w:r>
        <w:t xml:space="preserve">V případě zásahu vyšší moci mající vliv na plnění povinnosti prodávajícího dle této smlouvy, není prodávající v prodlení </w:t>
      </w:r>
      <w:proofErr w:type="gramStart"/>
      <w:r>
        <w:t>s</w:t>
      </w:r>
      <w:proofErr w:type="gramEnd"/>
      <w:r>
        <w:t xml:space="preserve"> plnění této smlouvy po dobu, po kterou trvá zásah vyšší moci nebo její následky mající vliv na pln</w:t>
      </w:r>
      <w:r>
        <w:t>ění jeho povinnosti.</w:t>
      </w:r>
    </w:p>
    <w:p w:rsidR="00E353DD" w:rsidRDefault="00335143">
      <w:pPr>
        <w:numPr>
          <w:ilvl w:val="0"/>
          <w:numId w:val="5"/>
        </w:numPr>
        <w:spacing w:after="129"/>
        <w:ind w:right="57" w:hanging="906"/>
      </w:pPr>
      <w:r>
        <w:t>Svépomocný prodej</w:t>
      </w:r>
    </w:p>
    <w:p w:rsidR="00E353DD" w:rsidRDefault="00335143">
      <w:pPr>
        <w:numPr>
          <w:ilvl w:val="0"/>
          <w:numId w:val="6"/>
        </w:numPr>
        <w:ind w:right="57" w:hanging="174"/>
      </w:pPr>
      <w:proofErr w:type="gramStart"/>
      <w:r>
        <w:t>I .</w:t>
      </w:r>
      <w:proofErr w:type="gramEnd"/>
      <w:r>
        <w:t xml:space="preserve"> Prodlením kupujícího s převzetím zboží vzniká prodávajícímu právo zboží po předchozím upozornění na účet kupujícího vhodným způsobem prodat poté, co kupujícímu poskytl dodatečnou přiměřenou lhůtu k převzetí.</w:t>
      </w:r>
    </w:p>
    <w:p w:rsidR="00E353DD" w:rsidRDefault="00335143">
      <w:pPr>
        <w:spacing w:after="317"/>
        <w:ind w:left="903" w:right="57" w:hanging="888"/>
      </w:pPr>
      <w:r>
        <w:t>8.2.</w:t>
      </w:r>
      <w:r>
        <w:tab/>
      </w:r>
      <w:r>
        <w:t>Hrozí-li zboží rychlá zkáza a není-li na upozornění čas, není upozornění dle předchozího ustanovení nutné.</w:t>
      </w:r>
    </w:p>
    <w:p w:rsidR="00E353DD" w:rsidRDefault="00335143">
      <w:pPr>
        <w:pStyle w:val="Nadpis1"/>
        <w:tabs>
          <w:tab w:val="center" w:pos="1661"/>
        </w:tabs>
        <w:spacing w:after="176"/>
        <w:ind w:left="0" w:firstLine="0"/>
      </w:pPr>
      <w:r>
        <w:t>9.</w:t>
      </w:r>
      <w:r>
        <w:tab/>
        <w:t>Příslušnost soudů</w:t>
      </w:r>
    </w:p>
    <w:p w:rsidR="00E353DD" w:rsidRDefault="00335143">
      <w:pPr>
        <w:numPr>
          <w:ilvl w:val="0"/>
          <w:numId w:val="7"/>
        </w:numPr>
        <w:ind w:right="57" w:hanging="174"/>
      </w:pPr>
      <w:proofErr w:type="gramStart"/>
      <w:r>
        <w:t>I .</w:t>
      </w:r>
      <w:proofErr w:type="gramEnd"/>
      <w:r>
        <w:t xml:space="preserve"> Smluvní strany se tímto zavazují případné spory vzniklé, na základě této smlouvy nebo v souvislosti s ní, řešit smírnou cest</w:t>
      </w:r>
      <w:r>
        <w:t>ou.</w:t>
      </w:r>
    </w:p>
    <w:p w:rsidR="00E353DD" w:rsidRDefault="00335143">
      <w:pPr>
        <w:spacing w:after="291"/>
        <w:ind w:left="861" w:right="57" w:hanging="846"/>
      </w:pPr>
      <w:r>
        <w:t xml:space="preserve">9.2. Smluvní strany tímto sjednávají, že pro spory vzniklé, na základě této smlouvy nebo v souvislosti s ní, které se nepodaří vyřešit </w:t>
      </w:r>
      <w:proofErr w:type="spellStart"/>
      <w:r>
        <w:t>sm</w:t>
      </w:r>
      <w:proofErr w:type="spellEnd"/>
      <w:r>
        <w:t xml:space="preserve"> </w:t>
      </w:r>
      <w:proofErr w:type="spellStart"/>
      <w:r>
        <w:t>írnou</w:t>
      </w:r>
      <w:proofErr w:type="spellEnd"/>
      <w:r>
        <w:t xml:space="preserve"> cestou, budou místně příslušné Okresní soud v Děčíně a Krajský soud v </w:t>
      </w:r>
      <w:proofErr w:type="spellStart"/>
      <w:r>
        <w:t>Ustí</w:t>
      </w:r>
      <w:proofErr w:type="spellEnd"/>
      <w:r>
        <w:t xml:space="preserve"> nad Labem.</w:t>
      </w:r>
    </w:p>
    <w:p w:rsidR="00E353DD" w:rsidRDefault="00335143">
      <w:pPr>
        <w:pStyle w:val="Nadpis1"/>
        <w:tabs>
          <w:tab w:val="center" w:pos="1955"/>
        </w:tabs>
        <w:ind w:left="0" w:firstLine="0"/>
      </w:pPr>
      <w:r>
        <w:t>10.</w:t>
      </w:r>
      <w:r>
        <w:tab/>
        <w:t>Ochrana osobních údajů</w:t>
      </w:r>
    </w:p>
    <w:p w:rsidR="00E353DD" w:rsidRDefault="00335143">
      <w:pPr>
        <w:spacing w:after="203"/>
        <w:ind w:left="862" w:right="57"/>
      </w:pPr>
      <w:r>
        <w:t>Smluvní strany se zavazují dodržovat všechny povinnosti, které jim jako správcům vyplývají z Nařízení Evropského parlamentu a Rady (EU) 2016/679 ze dne 27. dubna 2016 0 ochraně fyzických osob v souvislosti se zpracováním osobních</w:t>
      </w:r>
      <w:r>
        <w:t xml:space="preserve"> údajů a o volném pohybu těchto údajů a o zrušení směrnice 95/46/ES (dále jen „nařízení”), a to zejména:</w:t>
      </w:r>
    </w:p>
    <w:p w:rsidR="00E353DD" w:rsidRDefault="00335143">
      <w:pPr>
        <w:ind w:left="831" w:right="57" w:hanging="81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578925</wp:posOffset>
            </wp:positionH>
            <wp:positionV relativeFrom="page">
              <wp:posOffset>418851</wp:posOffset>
            </wp:positionV>
            <wp:extent cx="11426" cy="3808"/>
            <wp:effectExtent l="0" t="0" r="0" b="0"/>
            <wp:wrapSquare wrapText="bothSides"/>
            <wp:docPr id="10909" name="Picture 10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9" name="Picture 109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26" cy="3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677952</wp:posOffset>
            </wp:positionH>
            <wp:positionV relativeFrom="page">
              <wp:posOffset>422659</wp:posOffset>
            </wp:positionV>
            <wp:extent cx="34278" cy="11423"/>
            <wp:effectExtent l="0" t="0" r="0" b="0"/>
            <wp:wrapSquare wrapText="bothSides"/>
            <wp:docPr id="10910" name="Picture 10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" name="Picture 109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78" cy="1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700804</wp:posOffset>
            </wp:positionH>
            <wp:positionV relativeFrom="page">
              <wp:posOffset>453121</wp:posOffset>
            </wp:positionV>
            <wp:extent cx="30470" cy="34270"/>
            <wp:effectExtent l="0" t="0" r="0" b="0"/>
            <wp:wrapSquare wrapText="bothSides"/>
            <wp:docPr id="10911" name="Picture 10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" name="Picture 109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0" cy="3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10.I. Smluvní strany se zavazují zpracovávat osobní údaje, předané druhou smluvní stranou, výlučně na základě jim doložených pokynů, kdy se jedná ze</w:t>
      </w:r>
      <w:r>
        <w:t xml:space="preserve">jména o jméno, příjmení, datum narození, rodné číslo, pokud bude subjektem údajů uvedeno, IČO, bydliště, sídlo, telefonní číslo, e-mailovou adresu (dále jen </w:t>
      </w:r>
      <w:r>
        <w:rPr>
          <w:noProof/>
        </w:rPr>
        <w:drawing>
          <wp:inline distT="0" distB="0" distL="0" distR="0">
            <wp:extent cx="49513" cy="38078"/>
            <wp:effectExtent l="0" t="0" r="0" b="0"/>
            <wp:docPr id="28179" name="Picture 28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9" name="Picture 281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13" cy="3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údaje”) za účelem (i) plnění povinností smluvních stran vyplývajících z platných právních předpisů</w:t>
      </w:r>
      <w:r>
        <w:t>, (</w:t>
      </w:r>
      <w:proofErr w:type="spellStart"/>
      <w:r>
        <w:t>ii</w:t>
      </w:r>
      <w:proofErr w:type="spellEnd"/>
      <w:r>
        <w:t>) plnění smluvních povinností vyplývajících smluvním stranám z této smlouvy a (</w:t>
      </w:r>
      <w:proofErr w:type="spellStart"/>
      <w:r>
        <w:t>iii</w:t>
      </w:r>
      <w:proofErr w:type="spellEnd"/>
      <w:r>
        <w:t>) účely oprávněných zájmů smluvních stran, tj. ochrana majetku smluvních stran a vymahatelnosti jejich nároků, a to v rozsahu nezbytném k dosažení těchto účelů a po dobu</w:t>
      </w:r>
      <w:r>
        <w:t xml:space="preserve"> trvání smluvního vztahu, kdy dobu zpracování po jeho ukončení stanovují příslušné právní předpisy.</w:t>
      </w:r>
    </w:p>
    <w:p w:rsidR="00E353DD" w:rsidRDefault="00335143">
      <w:pPr>
        <w:tabs>
          <w:tab w:val="center" w:pos="1688"/>
        </w:tabs>
        <w:ind w:left="0" w:firstLine="0"/>
        <w:jc w:val="left"/>
      </w:pPr>
      <w:r>
        <w:t>10.2.</w:t>
      </w:r>
      <w:r>
        <w:tab/>
        <w:t>Smluvní strany mají:</w:t>
      </w:r>
    </w:p>
    <w:p w:rsidR="00E353DD" w:rsidRDefault="00335143">
      <w:pPr>
        <w:tabs>
          <w:tab w:val="center" w:pos="1922"/>
        </w:tabs>
        <w:ind w:left="0" w:firstLine="0"/>
        <w:jc w:val="left"/>
      </w:pPr>
      <w:r>
        <w:rPr>
          <w:noProof/>
        </w:rPr>
        <w:drawing>
          <wp:inline distT="0" distB="0" distL="0" distR="0">
            <wp:extent cx="114262" cy="114232"/>
            <wp:effectExtent l="0" t="0" r="0" b="0"/>
            <wp:docPr id="28181" name="Picture 28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1" name="Picture 2818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262" cy="11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právo na přístup k údajům;</w:t>
      </w:r>
    </w:p>
    <w:p w:rsidR="00E353DD" w:rsidRDefault="00335143">
      <w:pPr>
        <w:numPr>
          <w:ilvl w:val="0"/>
          <w:numId w:val="8"/>
        </w:numPr>
        <w:ind w:right="57" w:hanging="852"/>
      </w:pPr>
      <w:r>
        <w:t>právo na odvolání souhlasu, uděleného ke zpracování údajů;</w:t>
      </w:r>
    </w:p>
    <w:p w:rsidR="00E353DD" w:rsidRDefault="00335143">
      <w:pPr>
        <w:numPr>
          <w:ilvl w:val="0"/>
          <w:numId w:val="8"/>
        </w:numPr>
        <w:ind w:right="57" w:hanging="852"/>
      </w:pPr>
      <w:r>
        <w:t>právo na opravu nepřesných údajů;</w:t>
      </w:r>
    </w:p>
    <w:p w:rsidR="00E353DD" w:rsidRDefault="00335143">
      <w:pPr>
        <w:numPr>
          <w:ilvl w:val="0"/>
          <w:numId w:val="8"/>
        </w:numPr>
        <w:ind w:right="57" w:hanging="852"/>
      </w:pPr>
      <w:r>
        <w:t>právo n</w:t>
      </w:r>
      <w:r>
        <w:t>a výmaz (právo „být zapomenut”);</w:t>
      </w:r>
    </w:p>
    <w:p w:rsidR="00E353DD" w:rsidRDefault="00335143">
      <w:pPr>
        <w:numPr>
          <w:ilvl w:val="0"/>
          <w:numId w:val="8"/>
        </w:numPr>
        <w:ind w:right="57" w:hanging="852"/>
      </w:pPr>
      <w:r>
        <w:t>právo na omezení zpracování údajů;</w:t>
      </w:r>
    </w:p>
    <w:p w:rsidR="00E353DD" w:rsidRDefault="00335143">
      <w:pPr>
        <w:numPr>
          <w:ilvl w:val="0"/>
          <w:numId w:val="8"/>
        </w:numPr>
        <w:ind w:right="57" w:hanging="852"/>
      </w:pPr>
      <w:r>
        <w:t>povinnost oznámení druhé smluvní straně při opravě nebo výmazu osobních údajů nebo omezení zpracování;</w:t>
      </w:r>
    </w:p>
    <w:p w:rsidR="00E353DD" w:rsidRDefault="00335143">
      <w:pPr>
        <w:numPr>
          <w:ilvl w:val="0"/>
          <w:numId w:val="8"/>
        </w:numPr>
        <w:ind w:right="57" w:hanging="852"/>
      </w:pPr>
      <w:r>
        <w:t>právo na přenositelnost údajů;</w:t>
      </w:r>
    </w:p>
    <w:p w:rsidR="00E353DD" w:rsidRDefault="00335143">
      <w:pPr>
        <w:numPr>
          <w:ilvl w:val="0"/>
          <w:numId w:val="8"/>
        </w:numPr>
        <w:ind w:right="57" w:hanging="852"/>
      </w:pPr>
      <w:r>
        <w:lastRenderedPageBreak/>
        <w:t>právo vznést námitku proti zpracování údajů druhou sml</w:t>
      </w:r>
      <w:r>
        <w:t>uvní stranou pro účely jejích oprávněných zájmů;</w:t>
      </w:r>
    </w:p>
    <w:p w:rsidR="00E353DD" w:rsidRDefault="00335143">
      <w:pPr>
        <w:numPr>
          <w:ilvl w:val="0"/>
          <w:numId w:val="8"/>
        </w:numPr>
        <w:spacing w:after="0" w:line="282" w:lineRule="auto"/>
        <w:ind w:right="57" w:hanging="852"/>
      </w:pPr>
      <w:r>
        <w:t>povinnost oznamování případů porušení zabezpečení osobních údajů; (x)</w:t>
      </w:r>
      <w:r>
        <w:tab/>
        <w:t>právo podat stížnost u Úřadu na ochranu osobních údajů; (</w:t>
      </w:r>
      <w:proofErr w:type="spellStart"/>
      <w:r>
        <w:t>xi</w:t>
      </w:r>
      <w:proofErr w:type="spellEnd"/>
      <w:r>
        <w:t>)</w:t>
      </w:r>
      <w:r>
        <w:tab/>
        <w:t>právo na soudní ochranu.</w:t>
      </w:r>
    </w:p>
    <w:p w:rsidR="00E353DD" w:rsidRDefault="00335143">
      <w:pPr>
        <w:numPr>
          <w:ilvl w:val="1"/>
          <w:numId w:val="10"/>
        </w:numPr>
        <w:ind w:right="57" w:hanging="816"/>
      </w:pPr>
      <w:r>
        <w:t>Smluvní strany berou na vědomí, že informace poskyt</w:t>
      </w:r>
      <w:r>
        <w:t>nuté druhé smluvní straně v rámci plnění této smlouvy mohou obsahovat zvláštní kategorii údajů. V této souvislosti se smluvní strany zavazují, že budou při plnění této smlouvy postupovat plně v souladu s právními předpisy upravujícími ochranu osobních údaj</w:t>
      </w:r>
      <w:r>
        <w:t>ů a pokyny druhé smluvní strany. Smluvní strany nejsou oprávněny postupovat při plnění této smlouvy v rozporu s pokyny druhé smluvní strany.</w:t>
      </w:r>
    </w:p>
    <w:p w:rsidR="00E353DD" w:rsidRDefault="00335143">
      <w:pPr>
        <w:numPr>
          <w:ilvl w:val="1"/>
          <w:numId w:val="10"/>
        </w:numPr>
        <w:spacing w:after="338"/>
        <w:ind w:right="57" w:hanging="816"/>
      </w:pPr>
      <w:r>
        <w:t>Smluvní strany nesou plnou odpovědnost za zabezpečení údajů ve svých informačních systémech a postupují tak, aby nedošlo k neoprávněnému nebo nahodilému přístupu k údajům, k jejich změně, zničení či ztrátě, neoprávněným přenosům, k jejich jinému neoprávněn</w:t>
      </w:r>
      <w:r>
        <w:t>ému zpracování, jakož i k jinému zneužití osobních údajů. Smluvní strany prohlašují, že za tímto účelem přijaly příslušná technická a organizační opatření. Smluvní strany jsou povinny zachovávat mlčenlivost o údajích a o bezpečnostních opatřeních.</w:t>
      </w:r>
    </w:p>
    <w:p w:rsidR="00E353DD" w:rsidRDefault="00335143">
      <w:pPr>
        <w:spacing w:after="170" w:line="259" w:lineRule="auto"/>
        <w:ind w:left="10" w:right="273" w:hanging="10"/>
        <w:jc w:val="right"/>
      </w:pPr>
      <w:r>
        <w:rPr>
          <w:sz w:val="16"/>
        </w:rPr>
        <w:t>K 012</w:t>
      </w:r>
    </w:p>
    <w:p w:rsidR="00E353DD" w:rsidRDefault="00335143">
      <w:pPr>
        <w:numPr>
          <w:ilvl w:val="1"/>
          <w:numId w:val="9"/>
        </w:numPr>
        <w:ind w:right="57" w:hanging="822"/>
      </w:pPr>
      <w:r>
        <w:t>Po</w:t>
      </w:r>
      <w:r>
        <w:t>ruší-li některá ze smluvních stran jakoukoli svou povinnost vyplývající z tohoto článku této smlouvy nebo z právních předpisů upravujících ochranu osobních údajů, zavazuje se druhé smluvní straně nahradit veškerou majetkovou a nemajetkovou újmu, která jí v</w:t>
      </w:r>
      <w:r>
        <w:t xml:space="preserve"> důsledku tohoto porušení vznikne.</w:t>
      </w:r>
    </w:p>
    <w:p w:rsidR="00E353DD" w:rsidRDefault="00335143">
      <w:pPr>
        <w:numPr>
          <w:ilvl w:val="1"/>
          <w:numId w:val="9"/>
        </w:numPr>
        <w:spacing w:after="261"/>
        <w:ind w:right="57" w:hanging="822"/>
      </w:pPr>
      <w:r>
        <w:t xml:space="preserve">Prodávající bere na vědomí, že podrobnější Informace o zpracování osobních údajů a právech subjektů údajů společností UNILES, a.s. je trvale přístupná na </w:t>
      </w:r>
      <w:r>
        <w:rPr>
          <w:noProof/>
        </w:rPr>
        <w:drawing>
          <wp:inline distT="0" distB="0" distL="0" distR="0">
            <wp:extent cx="1321626" cy="121848"/>
            <wp:effectExtent l="0" t="0" r="0" b="0"/>
            <wp:docPr id="28183" name="Picture 28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3" name="Picture 281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1626" cy="12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DD" w:rsidRDefault="00335143">
      <w:pPr>
        <w:pStyle w:val="Nadpis1"/>
        <w:tabs>
          <w:tab w:val="center" w:pos="1850"/>
        </w:tabs>
        <w:spacing w:after="120"/>
        <w:ind w:left="0" w:firstLine="0"/>
      </w:pPr>
      <w:r>
        <w:t>11.</w:t>
      </w:r>
      <w:r>
        <w:tab/>
        <w:t>Závěrečná ustanovení</w:t>
      </w:r>
    </w:p>
    <w:p w:rsidR="00E353DD" w:rsidRDefault="00335143">
      <w:pPr>
        <w:ind w:left="912" w:right="-24" w:hanging="810"/>
      </w:pPr>
      <w:r>
        <w:t>1 1.1. Smluvní strany považují veškeré i</w:t>
      </w:r>
      <w:r>
        <w:t>nformace vzájemně si poskytnuté při jednáních předcházejících podepsání této smlouvy, veškeré informace obsažené v této smlouvě nebo získané v souvislosti s touto smlouvou za důvěrné. Tyto informace nesmějí být zpřístupněny žádné třetí osobě bez předchozíh</w:t>
      </w:r>
      <w:r>
        <w:t>o písemného souhlasu druhé smluvní strany, pokud takové zpřístupnění není vyžadované ze zákona nebo není vyžadováno příslušnými orgány jednajícími na základě právních předpisů a v souladu s nimi nebo taková informace již není veřejně známá v souladu se zák</w:t>
      </w:r>
      <w:r>
        <w:t xml:space="preserve">onem nebo právními předpisy. Smluvní strany </w:t>
      </w:r>
      <w:r>
        <w:rPr>
          <w:noProof/>
        </w:rPr>
        <w:drawing>
          <wp:inline distT="0" distB="0" distL="0" distR="0">
            <wp:extent cx="15235" cy="11423"/>
            <wp:effectExtent l="0" t="0" r="0" b="0"/>
            <wp:docPr id="15110" name="Picture 15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" name="Picture 151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35" cy="1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 tímto výslovně zavazují, že budou tyto důvěrné informace zachovávat a chránit s nejvyšší možnou odbornou péčí. Tento závazek platí i po skončení platnosti a účinnosti této smlouvy. Smluvní strany se zavazují </w:t>
      </w:r>
      <w:r>
        <w:t>vztáhnout povinnost mlčenlivosti/důvěrnosti informací i na své zaměstnance, poradce a/nebo strany či osoby pověřené k výkonu dílčích úkolů dle této smlouvy, a zajistit, aby i tyto osoby jednaly v souladu s uvedenými závazky mlčenlivosti/důvěrnosti informac</w:t>
      </w:r>
      <w:r>
        <w:t>í.</w:t>
      </w:r>
    </w:p>
    <w:p w:rsidR="00E353DD" w:rsidRDefault="00335143">
      <w:pPr>
        <w:ind w:left="918" w:right="57" w:hanging="822"/>
      </w:pPr>
      <w:r>
        <w:t>1 1.2. Tato smlouva se řídí zákonem č. 89/2012 Sb., občanský zákoník a dalšími příslušnými právními předpisy České republiky v platném a účinném znění.</w:t>
      </w:r>
    </w:p>
    <w:p w:rsidR="00E353DD" w:rsidRDefault="00335143">
      <w:pPr>
        <w:spacing w:after="61"/>
        <w:ind w:left="912" w:right="57" w:hanging="816"/>
      </w:pPr>
      <w:r>
        <w:t>1 1.3. Změní-li se po uzavření této smlouvy okolnosti do té míry, že se plnění podle této smlouvy sta</w:t>
      </w:r>
      <w:r>
        <w:t>ne pro některou ze smluvních stran obtížnější, nemění to nic na její povinnosti splnit každý dluh vyplývající z této smlouvy.</w:t>
      </w:r>
    </w:p>
    <w:p w:rsidR="00E353DD" w:rsidRDefault="00335143">
      <w:pPr>
        <w:ind w:left="94" w:right="5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601778</wp:posOffset>
            </wp:positionH>
            <wp:positionV relativeFrom="page">
              <wp:posOffset>411236</wp:posOffset>
            </wp:positionV>
            <wp:extent cx="11426" cy="7615"/>
            <wp:effectExtent l="0" t="0" r="0" b="0"/>
            <wp:wrapTopAndBottom/>
            <wp:docPr id="14980" name="Picture 14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" name="Picture 149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426" cy="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605586</wp:posOffset>
            </wp:positionH>
            <wp:positionV relativeFrom="page">
              <wp:posOffset>434082</wp:posOffset>
            </wp:positionV>
            <wp:extent cx="76174" cy="41885"/>
            <wp:effectExtent l="0" t="0" r="0" b="0"/>
            <wp:wrapSquare wrapText="bothSides"/>
            <wp:docPr id="14981" name="Picture 14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" name="Picture 1498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174" cy="4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 1.4. Prodávající tímto na sebe bere nebezpečí změny všech okolností vyplývajících pro něho z této smlouvy. 1 1.5. V případě, ž</w:t>
      </w:r>
      <w:r>
        <w:t xml:space="preserve">e je jakákoli povinnost dle této smlouvy neplatná nebo nevymahatelná nebo se neplatnou nebo nevymahatelnou stane, bude plně oddělitelná od ostatních povinností dle této smlouvy a žádným </w:t>
      </w:r>
      <w:r>
        <w:rPr>
          <w:noProof/>
        </w:rPr>
        <w:drawing>
          <wp:inline distT="0" distB="0" distL="0" distR="0">
            <wp:extent cx="3809" cy="3808"/>
            <wp:effectExtent l="0" t="0" r="0" b="0"/>
            <wp:docPr id="15008" name="Picture 15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" name="Picture 150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09" cy="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způsobem neovlivní platnost a vymahatelnost jakýchkoli dalších povinn</w:t>
      </w:r>
      <w:r>
        <w:t>ostí dle této smlouvy. Smluvní strany se zavazují nahradit jakoukoli neplatnou nebo nevymahatelnou povinnost povinností novou, platnou a vymahatelnou, jejíž předmět bude co nejblíže odpovídat předmětu původní povinnosti.</w:t>
      </w:r>
    </w:p>
    <w:p w:rsidR="00E353DD" w:rsidRDefault="00335143">
      <w:pPr>
        <w:ind w:left="912" w:right="57" w:hanging="822"/>
      </w:pPr>
      <w:r>
        <w:t>1 1.6. Tuto smlouvu lze měnit a dop</w:t>
      </w:r>
      <w:r>
        <w:t xml:space="preserve">lňovat pouze se souhlasem obou smluvních stran této smlouvy, a to písemnými dodatky aritmeticky číslovanými podle data jejich přijetí podepsanými oběma smluvními stranami této smlouvy. Písemná forma dle tohoto ustanovení není zachována při právním jednání </w:t>
      </w:r>
      <w:r>
        <w:t>učiněném elektronickými ani jinými technickými prostředky umožňujícími zachycení jeho obsahu a určení jednající smluvní strany.</w:t>
      </w:r>
    </w:p>
    <w:p w:rsidR="00E353DD" w:rsidRDefault="00335143">
      <w:pPr>
        <w:ind w:left="906" w:right="57" w:hanging="816"/>
      </w:pPr>
      <w:r>
        <w:t xml:space="preserve">1 1.7. Smluvní strany tímto prohlašují, že si při jednání o uzavření této smlouvy vzájemně sdělily všechny skutkové a právní okolnosti, o nichž ví nebo vědět musí, tak, že se každá ze smluvních stran mohla přesvědčit o možnosti uzavřít platně tuto smlouvu </w:t>
      </w:r>
      <w:r>
        <w:t>a byl každé ze smluvních stran zřejmý její zájem tuto smlouvu uzavřít.</w:t>
      </w:r>
    </w:p>
    <w:p w:rsidR="00E353DD" w:rsidRDefault="00335143">
      <w:pPr>
        <w:spacing w:after="63"/>
        <w:ind w:left="906" w:right="57" w:hanging="816"/>
      </w:pPr>
      <w:r>
        <w:t>1 1.8. Smluvní strany tímto prohlašují, že mají právní osobnost a tuto smlouvu uzavírají na základě svojí svobodné, pravé, vážné a určité vůle.</w:t>
      </w:r>
    </w:p>
    <w:p w:rsidR="00E353DD" w:rsidRDefault="00335143">
      <w:pPr>
        <w:spacing w:after="55"/>
        <w:ind w:left="906" w:right="57" w:hanging="816"/>
      </w:pPr>
      <w:r>
        <w:lastRenderedPageBreak/>
        <w:t>1 1.9. Smluvní strany si text této smlouv</w:t>
      </w:r>
      <w:r>
        <w:t>y přečetly, porozuměly mu, souhlasí s ním a považují ho za zcela určitý a srozumitelný. Na důkaz toho připojují své podpisy, kterými současně uznávají pravost a správnost této smlouvy.</w:t>
      </w:r>
    </w:p>
    <w:p w:rsidR="00E353DD" w:rsidRDefault="00335143">
      <w:pPr>
        <w:ind w:left="906" w:right="57" w:hanging="822"/>
      </w:pPr>
      <w:r>
        <w:t>I I.10.</w:t>
      </w:r>
      <w:r>
        <w:tab/>
        <w:t>Tato smlouva je vyhotovena ve d</w:t>
      </w:r>
      <w:r>
        <w:t>vou stejnopisech, z nichž každá smluvní strana obdrží po jenom vyhotovení.</w:t>
      </w:r>
    </w:p>
    <w:p w:rsidR="0089700E" w:rsidRDefault="0089700E">
      <w:pPr>
        <w:ind w:left="906" w:right="57" w:hanging="822"/>
      </w:pPr>
    </w:p>
    <w:p w:rsidR="0089700E" w:rsidRDefault="0089700E">
      <w:pPr>
        <w:ind w:left="906" w:right="57" w:hanging="822"/>
      </w:pPr>
    </w:p>
    <w:p w:rsidR="0089700E" w:rsidRDefault="0089700E">
      <w:pPr>
        <w:ind w:left="906" w:right="57" w:hanging="822"/>
      </w:pPr>
      <w:r>
        <w:t>V Rumburku dne 30.5.2022</w:t>
      </w:r>
      <w:r>
        <w:tab/>
      </w:r>
      <w:r>
        <w:tab/>
      </w:r>
      <w:r>
        <w:tab/>
      </w:r>
      <w:r>
        <w:tab/>
        <w:t>V Rumburku dne 30.5.2022</w:t>
      </w:r>
    </w:p>
    <w:p w:rsidR="0089700E" w:rsidRDefault="0089700E">
      <w:pPr>
        <w:ind w:left="906" w:right="57" w:hanging="822"/>
      </w:pPr>
    </w:p>
    <w:p w:rsidR="0089700E" w:rsidRDefault="0089700E">
      <w:pPr>
        <w:ind w:left="906" w:right="57" w:hanging="822"/>
      </w:pPr>
      <w:r>
        <w:t>Za prodávajícího:</w:t>
      </w:r>
      <w:r>
        <w:tab/>
      </w:r>
      <w:r>
        <w:tab/>
      </w:r>
      <w:r>
        <w:tab/>
      </w:r>
      <w:r>
        <w:tab/>
      </w:r>
      <w:r>
        <w:tab/>
        <w:t>Za kupujícího:</w:t>
      </w:r>
    </w:p>
    <w:p w:rsidR="0089700E" w:rsidRDefault="0089700E">
      <w:pPr>
        <w:ind w:left="906" w:right="57" w:hanging="822"/>
      </w:pPr>
    </w:p>
    <w:p w:rsidR="0089700E" w:rsidRDefault="0089700E">
      <w:pPr>
        <w:ind w:left="906" w:right="57" w:hanging="822"/>
      </w:pPr>
    </w:p>
    <w:p w:rsidR="0089700E" w:rsidRDefault="0089700E">
      <w:pPr>
        <w:ind w:left="906" w:right="57" w:hanging="822"/>
      </w:pPr>
    </w:p>
    <w:p w:rsidR="0089700E" w:rsidRDefault="0089700E">
      <w:pPr>
        <w:ind w:left="906" w:right="57" w:hanging="822"/>
      </w:pPr>
    </w:p>
    <w:p w:rsidR="0089700E" w:rsidRDefault="0089700E">
      <w:pPr>
        <w:ind w:left="906" w:right="57" w:hanging="822"/>
      </w:pPr>
      <w:r>
        <w:t>……………………………………..</w:t>
      </w:r>
      <w:r>
        <w:tab/>
      </w:r>
      <w:r>
        <w:tab/>
      </w:r>
      <w:r>
        <w:tab/>
        <w:t>………………………………………</w:t>
      </w:r>
    </w:p>
    <w:p w:rsidR="0089700E" w:rsidRDefault="0089700E">
      <w:pPr>
        <w:ind w:left="906" w:right="57" w:hanging="822"/>
      </w:pPr>
      <w:r>
        <w:t>Vladimír Pařil</w:t>
      </w:r>
      <w:r>
        <w:tab/>
      </w:r>
      <w:r>
        <w:tab/>
      </w:r>
      <w:r>
        <w:tab/>
      </w:r>
      <w:r>
        <w:tab/>
      </w:r>
      <w:r>
        <w:tab/>
      </w:r>
      <w:r>
        <w:tab/>
        <w:t>Ing. Miloš Pochobradský</w:t>
      </w:r>
    </w:p>
    <w:p w:rsidR="0089700E" w:rsidRDefault="0089700E">
      <w:pPr>
        <w:ind w:left="906" w:right="57" w:hanging="822"/>
      </w:pPr>
      <w:proofErr w:type="spellStart"/>
      <w:r>
        <w:t>Ved</w:t>
      </w:r>
      <w:proofErr w:type="spellEnd"/>
      <w:r>
        <w:t xml:space="preserve">. </w:t>
      </w:r>
      <w:proofErr w:type="spellStart"/>
      <w:r>
        <w:t>stř</w:t>
      </w:r>
      <w:proofErr w:type="spellEnd"/>
      <w:r>
        <w:t>. 3300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:rsidR="0089700E" w:rsidRDefault="0089700E">
      <w:pPr>
        <w:ind w:left="906" w:right="57" w:hanging="822"/>
      </w:pPr>
      <w:r>
        <w:t>UNILES, a.s.</w:t>
      </w:r>
      <w:bookmarkStart w:id="0" w:name="_GoBack"/>
      <w:bookmarkEnd w:id="0"/>
    </w:p>
    <w:p w:rsidR="0089700E" w:rsidRDefault="0089700E">
      <w:pPr>
        <w:ind w:left="906" w:right="57" w:hanging="822"/>
      </w:pPr>
    </w:p>
    <w:p w:rsidR="00E353DD" w:rsidRDefault="00E353DD">
      <w:pPr>
        <w:sectPr w:rsidR="00E353DD">
          <w:footerReference w:type="even" r:id="rId20"/>
          <w:footerReference w:type="default" r:id="rId21"/>
          <w:footerReference w:type="first" r:id="rId22"/>
          <w:pgSz w:w="11900" w:h="16820"/>
          <w:pgMar w:top="612" w:right="1350" w:bottom="980" w:left="1446" w:header="708" w:footer="804" w:gutter="0"/>
          <w:cols w:space="708"/>
        </w:sectPr>
      </w:pPr>
    </w:p>
    <w:p w:rsidR="00E353DD" w:rsidRDefault="00E353DD">
      <w:pPr>
        <w:spacing w:after="0" w:line="259" w:lineRule="auto"/>
        <w:ind w:left="840" w:right="-1350" w:firstLine="0"/>
        <w:jc w:val="left"/>
      </w:pPr>
    </w:p>
    <w:sectPr w:rsidR="00E353DD">
      <w:type w:val="continuous"/>
      <w:pgSz w:w="11900" w:h="16820"/>
      <w:pgMar w:top="612" w:right="3617" w:bottom="3544" w:left="60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5143">
      <w:pPr>
        <w:spacing w:after="0" w:line="240" w:lineRule="auto"/>
      </w:pPr>
      <w:r>
        <w:separator/>
      </w:r>
    </w:p>
  </w:endnote>
  <w:endnote w:type="continuationSeparator" w:id="0">
    <w:p w:rsidR="00000000" w:rsidRDefault="0033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3DD" w:rsidRDefault="00335143">
    <w:pPr>
      <w:spacing w:after="0" w:line="259" w:lineRule="auto"/>
      <w:ind w:left="0" w:righ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  <w:p w:rsidR="00E353DD" w:rsidRDefault="00335143">
    <w:pPr>
      <w:spacing w:after="0" w:line="259" w:lineRule="auto"/>
      <w:ind w:left="0" w:right="66" w:firstLine="0"/>
      <w:jc w:val="right"/>
    </w:pPr>
    <w:r>
      <w:rPr>
        <w:sz w:val="16"/>
      </w:rPr>
      <w:t>24. 2. 2021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3DD" w:rsidRDefault="00335143">
    <w:pPr>
      <w:spacing w:after="0" w:line="259" w:lineRule="auto"/>
      <w:ind w:left="0" w:righ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  <w:p w:rsidR="00E353DD" w:rsidRDefault="00335143">
    <w:pPr>
      <w:spacing w:after="0" w:line="259" w:lineRule="auto"/>
      <w:ind w:left="0" w:right="66" w:firstLine="0"/>
      <w:jc w:val="right"/>
    </w:pPr>
    <w:r>
      <w:rPr>
        <w:sz w:val="16"/>
      </w:rPr>
      <w:t>24. 2. 2021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3DD" w:rsidRDefault="00335143">
    <w:pPr>
      <w:spacing w:after="0" w:line="259" w:lineRule="auto"/>
      <w:ind w:left="0" w:righ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  <w:p w:rsidR="00E353DD" w:rsidRDefault="00335143">
    <w:pPr>
      <w:spacing w:after="0" w:line="259" w:lineRule="auto"/>
      <w:ind w:left="0" w:right="66" w:firstLine="0"/>
      <w:jc w:val="right"/>
    </w:pPr>
    <w:r>
      <w:rPr>
        <w:sz w:val="16"/>
      </w:rPr>
      <w:t>24. 2. 2021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35143">
      <w:pPr>
        <w:spacing w:after="0" w:line="240" w:lineRule="auto"/>
      </w:pPr>
      <w:r>
        <w:separator/>
      </w:r>
    </w:p>
  </w:footnote>
  <w:footnote w:type="continuationSeparator" w:id="0">
    <w:p w:rsidR="00000000" w:rsidRDefault="0033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3826"/>
    <w:multiLevelType w:val="multilevel"/>
    <w:tmpl w:val="AE2A1FB2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4530A"/>
    <w:multiLevelType w:val="multilevel"/>
    <w:tmpl w:val="D4C05D38"/>
    <w:lvl w:ilvl="0">
      <w:start w:val="5"/>
      <w:numFmt w:val="decimal"/>
      <w:lvlText w:val="%1.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2F78D3"/>
    <w:multiLevelType w:val="hybridMultilevel"/>
    <w:tmpl w:val="FC667914"/>
    <w:lvl w:ilvl="0" w:tplc="737A7C3A">
      <w:start w:val="9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E46C2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CB35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5A5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46CF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231A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007E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24FC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48B0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05D76"/>
    <w:multiLevelType w:val="multilevel"/>
    <w:tmpl w:val="99CCC4DC"/>
    <w:lvl w:ilvl="0">
      <w:start w:val="7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23F89"/>
    <w:multiLevelType w:val="multilevel"/>
    <w:tmpl w:val="7E3C6006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5A5BD1"/>
    <w:multiLevelType w:val="multilevel"/>
    <w:tmpl w:val="5D9804F4"/>
    <w:lvl w:ilvl="0">
      <w:start w:val="6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34FAB"/>
    <w:multiLevelType w:val="hybridMultilevel"/>
    <w:tmpl w:val="4F700AAE"/>
    <w:lvl w:ilvl="0" w:tplc="FE80186A">
      <w:start w:val="8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A248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ECA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C46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0CBA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20AF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8EED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483D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ACC4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AA3490"/>
    <w:multiLevelType w:val="multilevel"/>
    <w:tmpl w:val="7C6CC406"/>
    <w:lvl w:ilvl="0">
      <w:start w:val="2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9801EC"/>
    <w:multiLevelType w:val="multilevel"/>
    <w:tmpl w:val="E424FD32"/>
    <w:lvl w:ilvl="0">
      <w:start w:val="4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C81979"/>
    <w:multiLevelType w:val="hybridMultilevel"/>
    <w:tmpl w:val="BD24A37A"/>
    <w:lvl w:ilvl="0" w:tplc="0F082B1C">
      <w:start w:val="2"/>
      <w:numFmt w:val="lowerRoman"/>
      <w:lvlText w:val="(%1)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A0857C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FEFFAA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EA7518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85674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2731E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98DEE6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6BA06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049D72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v6GWK+baIj9WWhWCQMsoKo8OTuuVWumvBL+b4/LyLSCWi7Cn1cvJk8K4DPIIMZ/nodTFuqKzmcq1HIBCeilGg==" w:salt="C7GerK1mV6aGT3eS/xSx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DD"/>
    <w:rsid w:val="00335143"/>
    <w:rsid w:val="0089700E"/>
    <w:rsid w:val="00E3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565D"/>
  <w15:docId w15:val="{DB467824-077E-4113-8DA2-D6C9A20A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3" w:line="247" w:lineRule="auto"/>
      <w:ind w:left="28" w:hanging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9"/>
      <w:ind w:left="64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2225</Words>
  <Characters>13133</Characters>
  <Application>Microsoft Office Word</Application>
  <DocSecurity>8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3</cp:revision>
  <dcterms:created xsi:type="dcterms:W3CDTF">2022-06-01T11:36:00Z</dcterms:created>
  <dcterms:modified xsi:type="dcterms:W3CDTF">2022-06-01T11:37:00Z</dcterms:modified>
</cp:coreProperties>
</file>