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B3" w:rsidRDefault="00DC3DCE" w:rsidP="00A41685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smlouvy objed</w:t>
      </w:r>
      <w:r w:rsidR="00704EB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4EB3">
        <w:rPr>
          <w:rFonts w:ascii="Times New Roman" w:hAnsi="Times New Roman" w:cs="Times New Roman"/>
          <w:sz w:val="24"/>
          <w:szCs w:val="24"/>
        </w:rPr>
        <w:t xml:space="preserve">tele: </w:t>
      </w:r>
      <w:r w:rsidR="00840076">
        <w:rPr>
          <w:rFonts w:ascii="Times New Roman" w:hAnsi="Times New Roman" w:cs="Times New Roman"/>
          <w:sz w:val="24"/>
          <w:szCs w:val="24"/>
        </w:rPr>
        <w:t>OKT-PERS/SOD/001436/2022/</w:t>
      </w:r>
      <w:proofErr w:type="spellStart"/>
      <w:r w:rsidR="00840076">
        <w:rPr>
          <w:rFonts w:ascii="Times New Roman" w:hAnsi="Times New Roman" w:cs="Times New Roman"/>
          <w:sz w:val="24"/>
          <w:szCs w:val="24"/>
        </w:rPr>
        <w:t>Pos</w:t>
      </w:r>
      <w:proofErr w:type="spellEnd"/>
    </w:p>
    <w:p w:rsidR="00704EB3" w:rsidRDefault="00704EB3" w:rsidP="00A41685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smlouvy zhotovitele</w:t>
      </w:r>
      <w:r w:rsidR="00840076">
        <w:rPr>
          <w:rFonts w:ascii="Times New Roman" w:hAnsi="Times New Roman" w:cs="Times New Roman"/>
          <w:sz w:val="24"/>
          <w:szCs w:val="24"/>
        </w:rPr>
        <w:t>: ITH19/0505/VZT22</w:t>
      </w:r>
    </w:p>
    <w:p w:rsidR="00704EB3" w:rsidRDefault="00704EB3" w:rsidP="00704EB3">
      <w:pPr>
        <w:spacing w:before="120"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47ECD" w:rsidRDefault="00704EB3" w:rsidP="00704EB3">
      <w:pPr>
        <w:spacing w:before="120" w:after="12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EB3">
        <w:rPr>
          <w:rFonts w:ascii="Times New Roman" w:hAnsi="Times New Roman" w:cs="Times New Roman"/>
          <w:b/>
          <w:sz w:val="28"/>
          <w:szCs w:val="28"/>
        </w:rPr>
        <w:t>SMLOUVA O SERVISNÍ ČINNOSTI</w:t>
      </w:r>
    </w:p>
    <w:p w:rsidR="00704EB3" w:rsidRDefault="00704EB3" w:rsidP="00704EB3">
      <w:pPr>
        <w:spacing w:before="120" w:after="12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chladírenského VZT zařízení v budově Štursova 1, Olomouc</w:t>
      </w:r>
    </w:p>
    <w:p w:rsidR="00704EB3" w:rsidRPr="00704EB3" w:rsidRDefault="00704EB3" w:rsidP="00704EB3">
      <w:pPr>
        <w:spacing w:before="120" w:after="12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B3" w:rsidRPr="00704EB3" w:rsidRDefault="00704EB3" w:rsidP="00A41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EB3">
        <w:rPr>
          <w:rFonts w:ascii="Times New Roman" w:hAnsi="Times New Roman" w:cs="Times New Roman"/>
          <w:b/>
          <w:sz w:val="24"/>
          <w:szCs w:val="24"/>
        </w:rPr>
        <w:t>Statutární město Olomouc</w:t>
      </w:r>
      <w:bookmarkStart w:id="0" w:name="_GoBack"/>
      <w:bookmarkEnd w:id="0"/>
    </w:p>
    <w:p w:rsidR="00704EB3" w:rsidRPr="00704EB3" w:rsidRDefault="00704EB3" w:rsidP="00A41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EB3">
        <w:rPr>
          <w:rFonts w:ascii="Times New Roman" w:hAnsi="Times New Roman" w:cs="Times New Roman"/>
          <w:b/>
          <w:sz w:val="24"/>
          <w:szCs w:val="24"/>
        </w:rPr>
        <w:t>IČ</w:t>
      </w:r>
      <w:r w:rsidR="00757B43">
        <w:rPr>
          <w:rFonts w:ascii="Times New Roman" w:hAnsi="Times New Roman" w:cs="Times New Roman"/>
          <w:b/>
          <w:sz w:val="24"/>
          <w:szCs w:val="24"/>
        </w:rPr>
        <w:t>O</w:t>
      </w:r>
      <w:r w:rsidRPr="00704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4EB3">
        <w:rPr>
          <w:rFonts w:ascii="Times New Roman" w:hAnsi="Times New Roman" w:cs="Times New Roman"/>
          <w:b/>
          <w:sz w:val="24"/>
          <w:szCs w:val="24"/>
        </w:rPr>
        <w:t>00299308    DIČ</w:t>
      </w:r>
      <w:proofErr w:type="gramEnd"/>
      <w:r w:rsidRPr="00704EB3">
        <w:rPr>
          <w:rFonts w:ascii="Times New Roman" w:hAnsi="Times New Roman" w:cs="Times New Roman"/>
          <w:b/>
          <w:sz w:val="24"/>
          <w:szCs w:val="24"/>
        </w:rPr>
        <w:t xml:space="preserve">  CZ00299308</w:t>
      </w:r>
    </w:p>
    <w:p w:rsidR="00704EB3" w:rsidRPr="00704EB3" w:rsidRDefault="00757B43" w:rsidP="00A41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704EB3" w:rsidRPr="00704EB3">
        <w:rPr>
          <w:rFonts w:ascii="Times New Roman" w:hAnsi="Times New Roman" w:cs="Times New Roman"/>
          <w:b/>
          <w:sz w:val="24"/>
          <w:szCs w:val="24"/>
        </w:rPr>
        <w:t xml:space="preserve">e sídlem Horní náměstí </w:t>
      </w:r>
      <w:proofErr w:type="gramStart"/>
      <w:r w:rsidR="00704EB3" w:rsidRPr="00704EB3">
        <w:rPr>
          <w:rFonts w:ascii="Times New Roman" w:hAnsi="Times New Roman" w:cs="Times New Roman"/>
          <w:b/>
          <w:sz w:val="24"/>
          <w:szCs w:val="24"/>
        </w:rPr>
        <w:t>č.p.</w:t>
      </w:r>
      <w:proofErr w:type="gramEnd"/>
      <w:r w:rsidR="00704EB3" w:rsidRPr="00704EB3">
        <w:rPr>
          <w:rFonts w:ascii="Times New Roman" w:hAnsi="Times New Roman" w:cs="Times New Roman"/>
          <w:b/>
          <w:sz w:val="24"/>
          <w:szCs w:val="24"/>
        </w:rPr>
        <w:t xml:space="preserve"> 583, 779 11  Olomouc</w:t>
      </w:r>
    </w:p>
    <w:p w:rsidR="00704EB3" w:rsidRPr="00704EB3" w:rsidRDefault="00704EB3" w:rsidP="00A4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6C4">
        <w:rPr>
          <w:rFonts w:ascii="Times New Roman" w:hAnsi="Times New Roman" w:cs="Times New Roman"/>
          <w:b/>
          <w:sz w:val="24"/>
          <w:szCs w:val="24"/>
        </w:rPr>
        <w:t xml:space="preserve">ID DS: </w:t>
      </w:r>
      <w:proofErr w:type="spellStart"/>
      <w:r w:rsidRPr="007F75C3">
        <w:rPr>
          <w:rFonts w:ascii="Times New Roman" w:hAnsi="Times New Roman" w:cs="Times New Roman"/>
          <w:b/>
          <w:sz w:val="24"/>
          <w:szCs w:val="24"/>
        </w:rPr>
        <w:t>kazbrzri</w:t>
      </w:r>
      <w:proofErr w:type="spellEnd"/>
      <w:r w:rsidRPr="007F75C3">
        <w:rPr>
          <w:rFonts w:ascii="Times New Roman" w:hAnsi="Times New Roman" w:cs="Times New Roman"/>
          <w:b/>
          <w:sz w:val="24"/>
          <w:szCs w:val="24"/>
        </w:rPr>
        <w:t xml:space="preserve">    e-mail:</w:t>
      </w:r>
      <w:r w:rsidRPr="00704EB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F75C3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podatelna@olomouc.eu</w:t>
        </w:r>
      </w:hyperlink>
    </w:p>
    <w:p w:rsidR="00704EB3" w:rsidRDefault="00704EB3" w:rsidP="00A4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4A7EF7">
        <w:rPr>
          <w:rFonts w:ascii="Times New Roman" w:hAnsi="Times New Roman" w:cs="Times New Roman"/>
          <w:sz w:val="24"/>
          <w:szCs w:val="24"/>
        </w:rPr>
        <w:t>27-1801731369/0800</w:t>
      </w:r>
    </w:p>
    <w:p w:rsidR="00704EB3" w:rsidRDefault="00704EB3" w:rsidP="00A4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B3">
        <w:rPr>
          <w:rFonts w:ascii="Times New Roman" w:hAnsi="Times New Roman" w:cs="Times New Roman"/>
          <w:sz w:val="24"/>
          <w:szCs w:val="24"/>
        </w:rPr>
        <w:t xml:space="preserve">Zastoupené </w:t>
      </w:r>
    </w:p>
    <w:p w:rsidR="00704EB3" w:rsidRDefault="00704EB3" w:rsidP="00A4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věcech smluvních </w:t>
      </w:r>
      <w:r w:rsidRPr="00704EB3">
        <w:rPr>
          <w:rFonts w:ascii="Times New Roman" w:hAnsi="Times New Roman" w:cs="Times New Roman"/>
          <w:sz w:val="24"/>
          <w:szCs w:val="24"/>
        </w:rPr>
        <w:t>Ing. Sylvií Novákovou, vedoucí odboru kancelář tajemníka</w:t>
      </w:r>
    </w:p>
    <w:p w:rsidR="00704EB3" w:rsidRPr="00704EB3" w:rsidRDefault="00704EB3" w:rsidP="00A4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věcech technických Bc. Vladislavou Maškovou,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., vedoucí oddělení správa budov</w:t>
      </w:r>
      <w:r w:rsidR="00A41685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ekonomické</w:t>
      </w:r>
    </w:p>
    <w:p w:rsidR="00704EB3" w:rsidRDefault="00704EB3" w:rsidP="00A4168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jako „</w:t>
      </w:r>
      <w:r w:rsidRPr="00A41685">
        <w:rPr>
          <w:rFonts w:ascii="Times New Roman" w:hAnsi="Times New Roman" w:cs="Times New Roman"/>
          <w:b/>
          <w:i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704EB3" w:rsidRDefault="00704EB3" w:rsidP="00A4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B43" w:rsidRPr="003606C4" w:rsidRDefault="00757B43" w:rsidP="00A41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6C4">
        <w:rPr>
          <w:rFonts w:ascii="Times New Roman" w:hAnsi="Times New Roman" w:cs="Times New Roman"/>
          <w:b/>
          <w:sz w:val="24"/>
          <w:szCs w:val="24"/>
        </w:rPr>
        <w:t>a</w:t>
      </w:r>
    </w:p>
    <w:p w:rsidR="00757B43" w:rsidRDefault="00757B43" w:rsidP="00A4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B43" w:rsidRPr="00757B43" w:rsidRDefault="00757B43" w:rsidP="00A41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B43">
        <w:rPr>
          <w:rFonts w:ascii="Times New Roman" w:hAnsi="Times New Roman" w:cs="Times New Roman"/>
          <w:b/>
          <w:sz w:val="24"/>
          <w:szCs w:val="24"/>
        </w:rPr>
        <w:t>I-THERM, spol. s r. o.</w:t>
      </w:r>
    </w:p>
    <w:p w:rsidR="00757B43" w:rsidRPr="00757B43" w:rsidRDefault="00757B43" w:rsidP="00A416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57B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IČO </w:t>
      </w:r>
      <w:proofErr w:type="gramStart"/>
      <w:r w:rsidRPr="00757B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60323825  </w:t>
      </w:r>
      <w:r w:rsidR="003606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757B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DIČ</w:t>
      </w:r>
      <w:proofErr w:type="gramEnd"/>
      <w:r w:rsidRPr="00757B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324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60323825</w:t>
      </w:r>
    </w:p>
    <w:p w:rsidR="00757B43" w:rsidRPr="00757B43" w:rsidRDefault="00757B43" w:rsidP="00A41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7B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se sídlem Přerovská 678/45, </w:t>
      </w:r>
      <w:r w:rsidR="007F75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779 </w:t>
      </w:r>
      <w:r w:rsidRPr="00757B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 Olomouc</w:t>
      </w:r>
      <w:r w:rsidR="007F75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Holice</w:t>
      </w:r>
    </w:p>
    <w:p w:rsidR="00757B43" w:rsidRDefault="00757B43" w:rsidP="00A41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43">
        <w:rPr>
          <w:rFonts w:ascii="Times New Roman" w:hAnsi="Times New Roman" w:cs="Times New Roman"/>
          <w:sz w:val="24"/>
          <w:szCs w:val="24"/>
          <w:shd w:val="clear" w:color="auto" w:fill="FFFFFF"/>
        </w:rPr>
        <w:t>zapsaná v obchodním rejstříku</w:t>
      </w:r>
      <w:r w:rsidRPr="00757B43">
        <w:rPr>
          <w:rFonts w:ascii="Times New Roman" w:hAnsi="Times New Roman" w:cs="Times New Roman"/>
          <w:sz w:val="24"/>
          <w:szCs w:val="24"/>
        </w:rPr>
        <w:t xml:space="preserve"> vedeném Krajským soudem v Ostravě, </w:t>
      </w:r>
      <w:r w:rsidR="00A41685">
        <w:rPr>
          <w:rFonts w:ascii="Times New Roman" w:hAnsi="Times New Roman" w:cs="Times New Roman"/>
          <w:sz w:val="24"/>
          <w:szCs w:val="24"/>
        </w:rPr>
        <w:t>oddíl C, vložka </w:t>
      </w:r>
      <w:r w:rsidRPr="00757B43">
        <w:rPr>
          <w:rFonts w:ascii="Times New Roman" w:hAnsi="Times New Roman" w:cs="Times New Roman"/>
          <w:sz w:val="24"/>
          <w:szCs w:val="24"/>
        </w:rPr>
        <w:t>11799</w:t>
      </w:r>
    </w:p>
    <w:p w:rsidR="00757B43" w:rsidRPr="003606C4" w:rsidRDefault="00757B43" w:rsidP="00A41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6C4">
        <w:rPr>
          <w:rFonts w:ascii="Times New Roman" w:hAnsi="Times New Roman" w:cs="Times New Roman"/>
          <w:b/>
          <w:sz w:val="24"/>
          <w:szCs w:val="24"/>
        </w:rPr>
        <w:t>ID DS: 33ic37w</w:t>
      </w:r>
      <w:r w:rsidR="00871BEE">
        <w:rPr>
          <w:rFonts w:ascii="Times New Roman" w:hAnsi="Times New Roman" w:cs="Times New Roman"/>
          <w:b/>
          <w:sz w:val="24"/>
          <w:szCs w:val="24"/>
        </w:rPr>
        <w:t xml:space="preserve">   e-mail: </w:t>
      </w:r>
      <w:hyperlink r:id="rId9" w:history="1">
        <w:r w:rsidR="007F75C3" w:rsidRPr="007F75C3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pospisil@i-therm.cz</w:t>
        </w:r>
      </w:hyperlink>
      <w:r w:rsidR="007F75C3" w:rsidRPr="007F75C3">
        <w:rPr>
          <w:rFonts w:ascii="Times New Roman" w:hAnsi="Times New Roman" w:cs="Times New Roman"/>
          <w:b/>
          <w:sz w:val="24"/>
          <w:szCs w:val="24"/>
        </w:rPr>
        <w:t xml:space="preserve"> / riflerova@i-therm.cz</w:t>
      </w:r>
    </w:p>
    <w:p w:rsidR="00757B43" w:rsidRDefault="00757B43" w:rsidP="00A41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532437">
        <w:rPr>
          <w:rFonts w:ascii="Times New Roman" w:hAnsi="Times New Roman" w:cs="Times New Roman"/>
          <w:sz w:val="24"/>
          <w:szCs w:val="24"/>
        </w:rPr>
        <w:t>180073978/0300    ČSOB Olomouc</w:t>
      </w:r>
    </w:p>
    <w:p w:rsidR="00757B43" w:rsidRDefault="00757B43" w:rsidP="00A41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</w:p>
    <w:p w:rsidR="003606C4" w:rsidRDefault="003606C4" w:rsidP="00A41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věcech smluvních </w:t>
      </w:r>
      <w:r w:rsidR="007F75C3">
        <w:rPr>
          <w:rFonts w:ascii="Times New Roman" w:hAnsi="Times New Roman" w:cs="Times New Roman"/>
          <w:sz w:val="24"/>
          <w:szCs w:val="24"/>
        </w:rPr>
        <w:t>Dušanem Pospíšilem, jednatelem společnosti</w:t>
      </w:r>
    </w:p>
    <w:p w:rsidR="003606C4" w:rsidRPr="00757B43" w:rsidRDefault="003606C4" w:rsidP="00A41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 w:rsidR="007F75C3">
        <w:rPr>
          <w:rFonts w:ascii="Times New Roman" w:hAnsi="Times New Roman" w:cs="Times New Roman"/>
          <w:sz w:val="24"/>
          <w:szCs w:val="24"/>
        </w:rPr>
        <w:t xml:space="preserve"> věcech technických Janem Lakomým, vedoucím pracovníkem</w:t>
      </w:r>
    </w:p>
    <w:p w:rsidR="00A41685" w:rsidRDefault="00A41685" w:rsidP="00A4168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</w:t>
      </w:r>
      <w:r w:rsidRPr="00A41685">
        <w:rPr>
          <w:rFonts w:ascii="Times New Roman" w:hAnsi="Times New Roman" w:cs="Times New Roman"/>
          <w:b/>
          <w:i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A41685" w:rsidRDefault="00A41685" w:rsidP="00A4168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též jako „</w:t>
      </w:r>
      <w:r w:rsidRPr="00A41685">
        <w:rPr>
          <w:rFonts w:ascii="Times New Roman" w:hAnsi="Times New Roman" w:cs="Times New Roman"/>
          <w:b/>
          <w:i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A41685" w:rsidRDefault="00A41685" w:rsidP="00A4168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4EB3" w:rsidRDefault="00A41685" w:rsidP="00A4168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606C4">
        <w:rPr>
          <w:rFonts w:ascii="Times New Roman" w:hAnsi="Times New Roman" w:cs="Times New Roman"/>
          <w:sz w:val="24"/>
          <w:szCs w:val="24"/>
        </w:rPr>
        <w:t xml:space="preserve">zavírají podle ustanovení </w:t>
      </w:r>
      <w:r w:rsidR="00DC3DCE">
        <w:rPr>
          <w:rFonts w:ascii="Times New Roman" w:hAnsi="Times New Roman" w:cs="Times New Roman"/>
          <w:sz w:val="24"/>
          <w:szCs w:val="24"/>
        </w:rPr>
        <w:t xml:space="preserve">§ 2586-2651 zákona č. 89/2012 Sb., občanský zákoník, ve znění pozdějších předpisů </w:t>
      </w:r>
      <w:r>
        <w:rPr>
          <w:rFonts w:ascii="Times New Roman" w:hAnsi="Times New Roman" w:cs="Times New Roman"/>
          <w:sz w:val="24"/>
          <w:szCs w:val="24"/>
        </w:rPr>
        <w:t xml:space="preserve">a v souladu s čl. 52 Vnitřního předpisu k zadávání veřejných zakázek statutárního města Olomouce (VP 2/2021) </w:t>
      </w:r>
      <w:r w:rsidR="00933CAF">
        <w:rPr>
          <w:rFonts w:ascii="Times New Roman" w:hAnsi="Times New Roman" w:cs="Times New Roman"/>
          <w:sz w:val="24"/>
          <w:szCs w:val="24"/>
        </w:rPr>
        <w:t>tuto smlouvu:</w:t>
      </w:r>
    </w:p>
    <w:p w:rsidR="004E1DF7" w:rsidRDefault="004E1DF7" w:rsidP="00704EB3">
      <w:pPr>
        <w:spacing w:before="120"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F75C3" w:rsidRDefault="007F75C3" w:rsidP="00704EB3">
      <w:pPr>
        <w:spacing w:before="120"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F75C3" w:rsidRDefault="007F75C3" w:rsidP="00704EB3">
      <w:pPr>
        <w:spacing w:before="120"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F75C3" w:rsidRDefault="007F75C3" w:rsidP="00704EB3">
      <w:pPr>
        <w:spacing w:before="120"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F75C3" w:rsidRDefault="007F75C3" w:rsidP="00704EB3">
      <w:pPr>
        <w:spacing w:before="120"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F75C3" w:rsidRDefault="007F75C3" w:rsidP="00704EB3">
      <w:pPr>
        <w:spacing w:before="120"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F75C3" w:rsidRDefault="007F75C3" w:rsidP="00704EB3">
      <w:pPr>
        <w:spacing w:before="120"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F75C3" w:rsidRDefault="007F75C3" w:rsidP="00704EB3">
      <w:pPr>
        <w:spacing w:before="120"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33CAF" w:rsidRPr="00933CAF" w:rsidRDefault="00933CAF" w:rsidP="00933CAF">
      <w:pPr>
        <w:pStyle w:val="Odstavecseseznamem"/>
        <w:numPr>
          <w:ilvl w:val="0"/>
          <w:numId w:val="1"/>
        </w:numPr>
        <w:spacing w:before="120" w:after="12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DF7" w:rsidRDefault="00933CAF" w:rsidP="004E1DF7">
      <w:pPr>
        <w:pStyle w:val="Odstavecseseznamem"/>
        <w:spacing w:before="120" w:after="12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CAF">
        <w:rPr>
          <w:rFonts w:ascii="Times New Roman" w:hAnsi="Times New Roman" w:cs="Times New Roman"/>
          <w:b/>
          <w:sz w:val="24"/>
          <w:szCs w:val="24"/>
        </w:rPr>
        <w:t>Předmět smlouvy</w:t>
      </w:r>
      <w:r w:rsidR="004E1DF7">
        <w:rPr>
          <w:rFonts w:ascii="Times New Roman" w:hAnsi="Times New Roman" w:cs="Times New Roman"/>
          <w:b/>
          <w:sz w:val="24"/>
          <w:szCs w:val="24"/>
        </w:rPr>
        <w:t>,</w:t>
      </w:r>
      <w:r w:rsidRPr="00933CAF">
        <w:rPr>
          <w:rFonts w:ascii="Times New Roman" w:hAnsi="Times New Roman" w:cs="Times New Roman"/>
          <w:b/>
          <w:sz w:val="24"/>
          <w:szCs w:val="24"/>
        </w:rPr>
        <w:t xml:space="preserve"> termín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933CAF">
        <w:rPr>
          <w:rFonts w:ascii="Times New Roman" w:hAnsi="Times New Roman" w:cs="Times New Roman"/>
          <w:b/>
          <w:sz w:val="24"/>
          <w:szCs w:val="24"/>
        </w:rPr>
        <w:t xml:space="preserve"> plnění</w:t>
      </w:r>
      <w:r w:rsidR="004E1DF7">
        <w:rPr>
          <w:rFonts w:ascii="Times New Roman" w:hAnsi="Times New Roman" w:cs="Times New Roman"/>
          <w:b/>
          <w:sz w:val="24"/>
          <w:szCs w:val="24"/>
        </w:rPr>
        <w:t xml:space="preserve">, ceny </w:t>
      </w:r>
    </w:p>
    <w:p w:rsidR="004E1DF7" w:rsidRDefault="004E1DF7" w:rsidP="004E1DF7">
      <w:pPr>
        <w:pStyle w:val="Odstavecseseznamem"/>
        <w:spacing w:before="120" w:after="12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CAF" w:rsidRPr="004E1DF7" w:rsidRDefault="00933CAF" w:rsidP="00A41685">
      <w:pPr>
        <w:pStyle w:val="Odstavecseseznamem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1DF7">
        <w:rPr>
          <w:rFonts w:ascii="Times New Roman" w:hAnsi="Times New Roman" w:cs="Times New Roman"/>
          <w:sz w:val="24"/>
          <w:szCs w:val="24"/>
        </w:rPr>
        <w:t>Zhotovitel se zavazuje provádět servisní služby chladírenského VZT zařízení v</w:t>
      </w:r>
      <w:r w:rsidR="004E1DF7" w:rsidRPr="004E1DF7">
        <w:rPr>
          <w:rFonts w:ascii="Times New Roman" w:hAnsi="Times New Roman" w:cs="Times New Roman"/>
          <w:sz w:val="24"/>
          <w:szCs w:val="24"/>
        </w:rPr>
        <w:t xml:space="preserve"> budově </w:t>
      </w:r>
      <w:r w:rsidRPr="004E1DF7">
        <w:rPr>
          <w:rFonts w:ascii="Times New Roman" w:hAnsi="Times New Roman" w:cs="Times New Roman"/>
          <w:sz w:val="24"/>
          <w:szCs w:val="24"/>
        </w:rPr>
        <w:t xml:space="preserve">Magistrátu města Olomouce na adrese Štursova 1, Olomouc v rozsahu: </w:t>
      </w:r>
    </w:p>
    <w:tbl>
      <w:tblPr>
        <w:tblStyle w:val="Mkatabulky"/>
        <w:tblW w:w="9378" w:type="dxa"/>
        <w:tblInd w:w="392" w:type="dxa"/>
        <w:tblLook w:val="04A0" w:firstRow="1" w:lastRow="0" w:firstColumn="1" w:lastColumn="0" w:noHBand="0" w:noVBand="1"/>
      </w:tblPr>
      <w:tblGrid>
        <w:gridCol w:w="6521"/>
        <w:gridCol w:w="1557"/>
        <w:gridCol w:w="1300"/>
      </w:tblGrid>
      <w:tr w:rsidR="004E1DF7" w:rsidTr="004A2E36">
        <w:tc>
          <w:tcPr>
            <w:tcW w:w="6521" w:type="dxa"/>
          </w:tcPr>
          <w:p w:rsidR="004E1DF7" w:rsidRDefault="00607758" w:rsidP="00607758">
            <w:pPr>
              <w:pStyle w:val="Odstavecseseznamem"/>
              <w:spacing w:before="120" w:after="12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E1DF7">
              <w:rPr>
                <w:rFonts w:ascii="Times New Roman" w:hAnsi="Times New Roman" w:cs="Times New Roman"/>
                <w:b/>
                <w:sz w:val="24"/>
                <w:szCs w:val="24"/>
              </w:rPr>
              <w:t>lužba</w:t>
            </w:r>
          </w:p>
        </w:tc>
        <w:tc>
          <w:tcPr>
            <w:tcW w:w="1557" w:type="dxa"/>
          </w:tcPr>
          <w:p w:rsidR="004E1DF7" w:rsidRDefault="00607758" w:rsidP="004E1DF7">
            <w:pPr>
              <w:pStyle w:val="Odstavecseseznamem"/>
              <w:spacing w:before="120" w:after="120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E1DF7">
              <w:rPr>
                <w:rFonts w:ascii="Times New Roman" w:hAnsi="Times New Roman" w:cs="Times New Roman"/>
                <w:b/>
                <w:sz w:val="24"/>
                <w:szCs w:val="24"/>
              </w:rPr>
              <w:t>ermín</w:t>
            </w:r>
          </w:p>
        </w:tc>
        <w:tc>
          <w:tcPr>
            <w:tcW w:w="1300" w:type="dxa"/>
          </w:tcPr>
          <w:p w:rsidR="004E1DF7" w:rsidRDefault="00607758" w:rsidP="004E1DF7">
            <w:pPr>
              <w:pStyle w:val="Odstavecseseznamem"/>
              <w:spacing w:before="120" w:after="120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E1DF7">
              <w:rPr>
                <w:rFonts w:ascii="Times New Roman" w:hAnsi="Times New Roman" w:cs="Times New Roman"/>
                <w:b/>
                <w:sz w:val="24"/>
                <w:szCs w:val="24"/>
              </w:rPr>
              <w:t>ena</w:t>
            </w:r>
          </w:p>
        </w:tc>
      </w:tr>
      <w:tr w:rsidR="004E1DF7" w:rsidTr="004A2E36">
        <w:tc>
          <w:tcPr>
            <w:tcW w:w="6521" w:type="dxa"/>
          </w:tcPr>
          <w:p w:rsidR="004E1DF7" w:rsidRDefault="004E1DF7" w:rsidP="00607758">
            <w:pPr>
              <w:spacing w:before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1DF7">
              <w:rPr>
                <w:rFonts w:ascii="Times New Roman" w:hAnsi="Times New Roman" w:cs="Times New Roman"/>
                <w:sz w:val="24"/>
                <w:szCs w:val="24"/>
              </w:rPr>
              <w:t>Vypuštění systému</w:t>
            </w:r>
          </w:p>
          <w:p w:rsidR="004E1DF7" w:rsidRPr="004E1DF7" w:rsidRDefault="004E1DF7" w:rsidP="006077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1DF7">
              <w:rPr>
                <w:rFonts w:ascii="Times New Roman" w:hAnsi="Times New Roman" w:cs="Times New Roman"/>
                <w:sz w:val="24"/>
                <w:szCs w:val="24"/>
              </w:rPr>
              <w:t xml:space="preserve">(venkovní okruh, posezónní prohlídka, konzervace) </w:t>
            </w:r>
          </w:p>
        </w:tc>
        <w:tc>
          <w:tcPr>
            <w:tcW w:w="1557" w:type="dxa"/>
          </w:tcPr>
          <w:p w:rsidR="004E1DF7" w:rsidRDefault="004E1DF7" w:rsidP="004E1DF7">
            <w:pPr>
              <w:pStyle w:val="Odstavecseseznamem"/>
              <w:spacing w:before="120" w:after="120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15. 9.</w:t>
            </w:r>
          </w:p>
        </w:tc>
        <w:tc>
          <w:tcPr>
            <w:tcW w:w="1300" w:type="dxa"/>
          </w:tcPr>
          <w:p w:rsidR="004E1DF7" w:rsidRPr="004E1DF7" w:rsidRDefault="004E1DF7" w:rsidP="001B6379">
            <w:pPr>
              <w:pStyle w:val="Odstavecseseznamem"/>
              <w:spacing w:before="120"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1D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6379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Pr="004E1DF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4E1DF7" w:rsidTr="004A2E36">
        <w:tc>
          <w:tcPr>
            <w:tcW w:w="6521" w:type="dxa"/>
          </w:tcPr>
          <w:p w:rsidR="004E1DF7" w:rsidRDefault="004E1DF7" w:rsidP="00607758">
            <w:pPr>
              <w:pStyle w:val="Odstavecseseznamem"/>
              <w:spacing w:before="120"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Napuštění systému </w:t>
            </w:r>
          </w:p>
          <w:p w:rsidR="004E1DF7" w:rsidRDefault="004E1DF7" w:rsidP="00607758">
            <w:pPr>
              <w:pStyle w:val="Odstavecseseznamem"/>
              <w:spacing w:before="120" w:after="12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(venkovní okruh, předsezónní prohlídka, uvedení do provozu)</w:t>
            </w:r>
          </w:p>
        </w:tc>
        <w:tc>
          <w:tcPr>
            <w:tcW w:w="1557" w:type="dxa"/>
          </w:tcPr>
          <w:p w:rsidR="004E1DF7" w:rsidRDefault="004E1DF7" w:rsidP="004E1DF7">
            <w:pPr>
              <w:pStyle w:val="Odstavecseseznamem"/>
              <w:spacing w:before="120" w:after="120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15. 5.</w:t>
            </w:r>
          </w:p>
        </w:tc>
        <w:tc>
          <w:tcPr>
            <w:tcW w:w="1300" w:type="dxa"/>
          </w:tcPr>
          <w:p w:rsidR="004E1DF7" w:rsidRPr="004E1DF7" w:rsidRDefault="004E1DF7" w:rsidP="001B6379">
            <w:pPr>
              <w:pStyle w:val="Odstavecseseznamem"/>
              <w:spacing w:before="120"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1D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637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 w:rsidRPr="004E1DF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4E1DF7" w:rsidTr="004A2E36">
        <w:tc>
          <w:tcPr>
            <w:tcW w:w="6521" w:type="dxa"/>
          </w:tcPr>
          <w:p w:rsidR="004E1DF7" w:rsidRPr="004E1DF7" w:rsidRDefault="004E1DF7" w:rsidP="00607758">
            <w:pPr>
              <w:spacing w:before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1DF7">
              <w:rPr>
                <w:rFonts w:ascii="Times New Roman" w:hAnsi="Times New Roman" w:cs="Times New Roman"/>
                <w:sz w:val="24"/>
                <w:szCs w:val="24"/>
              </w:rPr>
              <w:t xml:space="preserve">Jednotka VZT v I. NP, kondenzační jednotka AERMEC na střeše </w:t>
            </w:r>
          </w:p>
        </w:tc>
        <w:tc>
          <w:tcPr>
            <w:tcW w:w="1557" w:type="dxa"/>
          </w:tcPr>
          <w:p w:rsidR="004E1DF7" w:rsidRDefault="004E1DF7" w:rsidP="004E1DF7">
            <w:pPr>
              <w:pStyle w:val="Odstavecseseznamem"/>
              <w:spacing w:before="120" w:after="120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15. 5.</w:t>
            </w:r>
          </w:p>
        </w:tc>
        <w:tc>
          <w:tcPr>
            <w:tcW w:w="1300" w:type="dxa"/>
          </w:tcPr>
          <w:p w:rsidR="004E1DF7" w:rsidRPr="004E1DF7" w:rsidRDefault="004E1DF7" w:rsidP="001B6379">
            <w:pPr>
              <w:pStyle w:val="Odstavecseseznamem"/>
              <w:spacing w:before="120"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1D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637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7F75C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4E1DF7" w:rsidTr="004A2E36">
        <w:tc>
          <w:tcPr>
            <w:tcW w:w="6521" w:type="dxa"/>
          </w:tcPr>
          <w:p w:rsidR="004E1DF7" w:rsidRDefault="007F75C3" w:rsidP="00607758">
            <w:pPr>
              <w:pStyle w:val="Odstavecseseznamem"/>
              <w:spacing w:before="120" w:after="12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Klimatizace </w:t>
            </w:r>
            <w:r w:rsidR="004E1DF7">
              <w:rPr>
                <w:rFonts w:ascii="Times New Roman" w:hAnsi="Times New Roman" w:cs="Times New Roman"/>
                <w:sz w:val="24"/>
                <w:szCs w:val="24"/>
              </w:rPr>
              <w:t xml:space="preserve">kanceláří v II. NP (20 ks), chladící jednotka na střeše LG </w:t>
            </w:r>
            <w:proofErr w:type="spellStart"/>
            <w:r w:rsidR="004E1DF7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="004E1DF7">
              <w:rPr>
                <w:rFonts w:ascii="Times New Roman" w:hAnsi="Times New Roman" w:cs="Times New Roman"/>
                <w:sz w:val="24"/>
                <w:szCs w:val="24"/>
              </w:rPr>
              <w:t xml:space="preserve"> V 2 ks</w:t>
            </w:r>
          </w:p>
        </w:tc>
        <w:tc>
          <w:tcPr>
            <w:tcW w:w="1557" w:type="dxa"/>
          </w:tcPr>
          <w:p w:rsidR="004E1DF7" w:rsidRDefault="004E1DF7" w:rsidP="004E1DF7">
            <w:pPr>
              <w:pStyle w:val="Odstavecseseznamem"/>
              <w:spacing w:before="120" w:after="120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5. – 17. 5.</w:t>
            </w:r>
          </w:p>
        </w:tc>
        <w:tc>
          <w:tcPr>
            <w:tcW w:w="1300" w:type="dxa"/>
          </w:tcPr>
          <w:p w:rsidR="004E1DF7" w:rsidRPr="004E1DF7" w:rsidRDefault="004E1DF7" w:rsidP="001B6379">
            <w:pPr>
              <w:pStyle w:val="Odstavecseseznamem"/>
              <w:spacing w:before="120"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1D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B637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4E1DF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1B6379" w:rsidRDefault="004E1DF7" w:rsidP="00227882">
      <w:pPr>
        <w:pStyle w:val="Odstavecseseznamem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6379">
        <w:rPr>
          <w:rFonts w:ascii="Times New Roman" w:hAnsi="Times New Roman" w:cs="Times New Roman"/>
          <w:sz w:val="24"/>
          <w:szCs w:val="24"/>
        </w:rPr>
        <w:t xml:space="preserve">Ke službám bude účtováno cestovné </w:t>
      </w:r>
      <w:r w:rsidR="001B6379">
        <w:rPr>
          <w:rFonts w:ascii="Times New Roman" w:hAnsi="Times New Roman" w:cs="Times New Roman"/>
          <w:sz w:val="24"/>
          <w:szCs w:val="24"/>
        </w:rPr>
        <w:t>ve výši 180 Kč.</w:t>
      </w:r>
    </w:p>
    <w:p w:rsidR="004E1DF7" w:rsidRPr="001B6379" w:rsidRDefault="004E1DF7" w:rsidP="00227882">
      <w:pPr>
        <w:pStyle w:val="Odstavecseseznamem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6379">
        <w:rPr>
          <w:rFonts w:ascii="Times New Roman" w:hAnsi="Times New Roman" w:cs="Times New Roman"/>
          <w:sz w:val="24"/>
          <w:szCs w:val="24"/>
        </w:rPr>
        <w:t>Ceny jsou uvedeny bez DPH.</w:t>
      </w:r>
    </w:p>
    <w:p w:rsidR="004E1DF7" w:rsidRDefault="004E1DF7" w:rsidP="00227882">
      <w:pPr>
        <w:pStyle w:val="Odstavecseseznamem"/>
        <w:numPr>
          <w:ilvl w:val="0"/>
          <w:numId w:val="3"/>
        </w:numPr>
        <w:spacing w:before="120" w:after="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cenách není zahrnuta případná výměna filtrů pro VZT</w:t>
      </w:r>
      <w:r w:rsidR="001B6379">
        <w:rPr>
          <w:rFonts w:ascii="Times New Roman" w:hAnsi="Times New Roman" w:cs="Times New Roman"/>
          <w:sz w:val="24"/>
          <w:szCs w:val="24"/>
        </w:rPr>
        <w:t xml:space="preserve"> v I. NP, které se mění dle míry znečištění.</w:t>
      </w:r>
    </w:p>
    <w:p w:rsidR="001B6379" w:rsidRDefault="001B6379" w:rsidP="00227882">
      <w:pPr>
        <w:pStyle w:val="Odstavecseseznamem"/>
        <w:numPr>
          <w:ilvl w:val="0"/>
          <w:numId w:val="3"/>
        </w:numPr>
        <w:spacing w:before="120" w:after="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379">
        <w:rPr>
          <w:rFonts w:ascii="Times New Roman" w:hAnsi="Times New Roman" w:cs="Times New Roman"/>
          <w:sz w:val="24"/>
          <w:szCs w:val="24"/>
        </w:rPr>
        <w:t xml:space="preserve">Zhotovitel má právo jednou ročně aktualizovat </w:t>
      </w:r>
      <w:r>
        <w:rPr>
          <w:rFonts w:ascii="Times New Roman" w:hAnsi="Times New Roman" w:cs="Times New Roman"/>
          <w:sz w:val="24"/>
          <w:szCs w:val="24"/>
        </w:rPr>
        <w:t>ceny</w:t>
      </w:r>
      <w:r w:rsidR="0014779A">
        <w:rPr>
          <w:rFonts w:ascii="Times New Roman" w:hAnsi="Times New Roman" w:cs="Times New Roman"/>
          <w:sz w:val="24"/>
          <w:szCs w:val="24"/>
        </w:rPr>
        <w:t xml:space="preserve"> uvedené v čl. I této smlouvy</w:t>
      </w:r>
      <w:r w:rsidRPr="001B6379">
        <w:rPr>
          <w:rFonts w:ascii="Times New Roman" w:hAnsi="Times New Roman" w:cs="Times New Roman"/>
          <w:sz w:val="24"/>
          <w:szCs w:val="24"/>
        </w:rPr>
        <w:t>, maximálně však do výše státem vyhlášené inflace za předchozí rok. Tuto aktualizaci je zhotovitel povinen písemně předem oznámit objednateli. Pro účely této změny není nutno uzavírat dodatek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CAF" w:rsidRPr="007F75C3" w:rsidRDefault="0014779A" w:rsidP="007F75C3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779A">
        <w:rPr>
          <w:rFonts w:ascii="Times New Roman" w:hAnsi="Times New Roman" w:cs="Times New Roman"/>
          <w:sz w:val="24"/>
          <w:szCs w:val="24"/>
        </w:rPr>
        <w:t>K provedení oprav</w:t>
      </w:r>
      <w:r>
        <w:rPr>
          <w:rFonts w:ascii="Times New Roman" w:hAnsi="Times New Roman" w:cs="Times New Roman"/>
          <w:sz w:val="24"/>
          <w:szCs w:val="24"/>
        </w:rPr>
        <w:t>, jejichž potřeba vzejde ze servisní činnosti dle č. I. této smlouvy</w:t>
      </w:r>
      <w:r w:rsidRPr="0014779A">
        <w:rPr>
          <w:rFonts w:ascii="Times New Roman" w:hAnsi="Times New Roman" w:cs="Times New Roman"/>
          <w:sz w:val="24"/>
          <w:szCs w:val="24"/>
        </w:rPr>
        <w:t xml:space="preserve">, musí být vyžádán předem souhlas objednatele </w:t>
      </w:r>
      <w:r>
        <w:rPr>
          <w:rFonts w:ascii="Times New Roman" w:hAnsi="Times New Roman" w:cs="Times New Roman"/>
          <w:sz w:val="24"/>
          <w:szCs w:val="24"/>
        </w:rPr>
        <w:t>a podána písemná cenová nabídka. J</w:t>
      </w:r>
      <w:r w:rsidRPr="0014779A">
        <w:rPr>
          <w:rFonts w:ascii="Times New Roman" w:hAnsi="Times New Roman" w:cs="Times New Roman"/>
          <w:sz w:val="24"/>
          <w:szCs w:val="24"/>
        </w:rPr>
        <w:t xml:space="preserve">ejich případné provedení bude řešeno formou samostatných objednávek a fakturováno samostatně s podrobným popisem provedených prací a vyčíslením nákladů na materiál a se splatností 14 dní. </w:t>
      </w:r>
    </w:p>
    <w:p w:rsidR="00933CAF" w:rsidRPr="00933CAF" w:rsidRDefault="00933CAF" w:rsidP="00227882">
      <w:pPr>
        <w:pStyle w:val="Odstavecseseznamem"/>
        <w:numPr>
          <w:ilvl w:val="0"/>
          <w:numId w:val="1"/>
        </w:numPr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CAF" w:rsidRPr="00933CAF" w:rsidRDefault="004E1DF7" w:rsidP="0022788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933CAF" w:rsidRPr="00933CAF">
        <w:rPr>
          <w:rFonts w:ascii="Times New Roman" w:hAnsi="Times New Roman" w:cs="Times New Roman"/>
          <w:b/>
          <w:sz w:val="24"/>
          <w:szCs w:val="24"/>
        </w:rPr>
        <w:t>latební podmínky</w:t>
      </w:r>
    </w:p>
    <w:p w:rsidR="00227882" w:rsidRDefault="00227882" w:rsidP="0022788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82">
        <w:rPr>
          <w:rFonts w:ascii="Times New Roman" w:hAnsi="Times New Roman" w:cs="Times New Roman"/>
          <w:sz w:val="24"/>
          <w:szCs w:val="24"/>
        </w:rPr>
        <w:t xml:space="preserve">Objednatel je povinen uhradit platbu do 30 kalendářních dnů od data potvrzeného předávacího protokolu. </w:t>
      </w:r>
    </w:p>
    <w:p w:rsidR="00227882" w:rsidRDefault="00227882" w:rsidP="0022788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882" w:rsidRPr="00227882" w:rsidRDefault="00227882" w:rsidP="00227882">
      <w:pPr>
        <w:pStyle w:val="Odstavecseseznamem"/>
        <w:numPr>
          <w:ilvl w:val="0"/>
          <w:numId w:val="1"/>
        </w:numPr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882" w:rsidRDefault="00227882" w:rsidP="00227882">
      <w:pPr>
        <w:pStyle w:val="Odstavecseseznamem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882">
        <w:rPr>
          <w:rFonts w:ascii="Times New Roman" w:hAnsi="Times New Roman" w:cs="Times New Roman"/>
          <w:b/>
          <w:sz w:val="24"/>
          <w:szCs w:val="24"/>
        </w:rPr>
        <w:t>Opravy zařízení</w:t>
      </w:r>
      <w:r w:rsidR="00F51E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4688">
        <w:rPr>
          <w:rFonts w:ascii="Times New Roman" w:hAnsi="Times New Roman" w:cs="Times New Roman"/>
          <w:b/>
          <w:sz w:val="24"/>
          <w:szCs w:val="24"/>
        </w:rPr>
        <w:t xml:space="preserve">lhůty, </w:t>
      </w:r>
      <w:r w:rsidR="00F51EC6">
        <w:rPr>
          <w:rFonts w:ascii="Times New Roman" w:hAnsi="Times New Roman" w:cs="Times New Roman"/>
          <w:b/>
          <w:sz w:val="24"/>
          <w:szCs w:val="24"/>
        </w:rPr>
        <w:t>ceny</w:t>
      </w:r>
    </w:p>
    <w:p w:rsidR="00227882" w:rsidRDefault="00227882" w:rsidP="00607758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Závady VZT zařízení budou hlášeny pověřeným zástupcem objednatele telefonicky zhotovitele takto: </w:t>
      </w:r>
    </w:p>
    <w:p w:rsidR="00227882" w:rsidRPr="00227882" w:rsidRDefault="00227882" w:rsidP="00227882">
      <w:pPr>
        <w:pStyle w:val="Odstavecseseznamem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6421" w:type="dxa"/>
        <w:jc w:val="center"/>
        <w:tblLook w:val="04A0" w:firstRow="1" w:lastRow="0" w:firstColumn="1" w:lastColumn="0" w:noHBand="0" w:noVBand="1"/>
      </w:tblPr>
      <w:tblGrid>
        <w:gridCol w:w="1027"/>
        <w:gridCol w:w="2932"/>
        <w:gridCol w:w="2462"/>
      </w:tblGrid>
      <w:tr w:rsidR="00F51EC6" w:rsidTr="00F51EC6">
        <w:trPr>
          <w:jc w:val="center"/>
        </w:trPr>
        <w:tc>
          <w:tcPr>
            <w:tcW w:w="1027" w:type="dxa"/>
          </w:tcPr>
          <w:p w:rsidR="00F51EC6" w:rsidRDefault="00F51EC6" w:rsidP="00227882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C6" w:rsidRDefault="00F51EC6" w:rsidP="00227882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C6" w:rsidRDefault="00F51EC6" w:rsidP="00227882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-</w:t>
            </w:r>
            <w:r w:rsidR="007F7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pá</w:t>
            </w:r>
          </w:p>
        </w:tc>
        <w:tc>
          <w:tcPr>
            <w:tcW w:w="2932" w:type="dxa"/>
          </w:tcPr>
          <w:p w:rsidR="00F51EC6" w:rsidRDefault="00F51EC6" w:rsidP="00F51EC6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C6" w:rsidRDefault="00F51EC6" w:rsidP="00F51EC6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C6" w:rsidRDefault="00F51EC6" w:rsidP="00F51EC6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15:30</w:t>
            </w:r>
          </w:p>
        </w:tc>
        <w:tc>
          <w:tcPr>
            <w:tcW w:w="2462" w:type="dxa"/>
          </w:tcPr>
          <w:p w:rsidR="00F51EC6" w:rsidRDefault="00F51EC6" w:rsidP="007F4688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585 513 639</w:t>
            </w:r>
          </w:p>
          <w:p w:rsidR="00F51EC6" w:rsidRDefault="00F51EC6" w:rsidP="007F4688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585 513 519</w:t>
            </w:r>
          </w:p>
          <w:p w:rsidR="00F51EC6" w:rsidRDefault="00F51EC6" w:rsidP="007F4688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777 744 702</w:t>
            </w:r>
          </w:p>
          <w:p w:rsidR="00F51EC6" w:rsidRDefault="00F51EC6" w:rsidP="007F4688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C6" w:rsidTr="00F51EC6">
        <w:trPr>
          <w:jc w:val="center"/>
        </w:trPr>
        <w:tc>
          <w:tcPr>
            <w:tcW w:w="1027" w:type="dxa"/>
          </w:tcPr>
          <w:p w:rsidR="00F51EC6" w:rsidRDefault="00F51EC6" w:rsidP="00F51EC6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F51EC6" w:rsidRDefault="00F51EC6" w:rsidP="00F51EC6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mimopracovní doba</w:t>
            </w:r>
          </w:p>
          <w:p w:rsidR="00F51EC6" w:rsidRDefault="007F75C3" w:rsidP="00F51EC6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včetně víkendu</w:t>
            </w:r>
          </w:p>
        </w:tc>
        <w:tc>
          <w:tcPr>
            <w:tcW w:w="2462" w:type="dxa"/>
          </w:tcPr>
          <w:p w:rsidR="00F51EC6" w:rsidRDefault="007F75C3" w:rsidP="007F75C3">
            <w:pPr>
              <w:pStyle w:val="Odstavecseseznamem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777 744 778</w:t>
            </w:r>
          </w:p>
        </w:tc>
      </w:tr>
    </w:tbl>
    <w:p w:rsidR="00227882" w:rsidRPr="00227882" w:rsidRDefault="00227882" w:rsidP="00227882">
      <w:pPr>
        <w:pStyle w:val="Odstavecseseznamem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688" w:rsidRDefault="00F51EC6" w:rsidP="00607758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Hlášení musí obsahovat</w:t>
      </w:r>
      <w:r w:rsidR="007F4688">
        <w:rPr>
          <w:rFonts w:ascii="Times New Roman" w:hAnsi="Times New Roman" w:cs="Times New Roman"/>
          <w:sz w:val="24"/>
          <w:szCs w:val="24"/>
        </w:rPr>
        <w:t>:</w:t>
      </w:r>
    </w:p>
    <w:p w:rsidR="007F4688" w:rsidRDefault="00F51EC6" w:rsidP="00607758">
      <w:pPr>
        <w:pStyle w:val="Odstavecseseznamem"/>
        <w:numPr>
          <w:ilvl w:val="0"/>
          <w:numId w:val="6"/>
        </w:numPr>
        <w:spacing w:before="120" w:after="12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stručnou specifikaci poruchy, </w:t>
      </w:r>
    </w:p>
    <w:p w:rsidR="007F4688" w:rsidRDefault="00F51EC6" w:rsidP="00607758">
      <w:pPr>
        <w:pStyle w:val="Odstavecseseznamem"/>
        <w:numPr>
          <w:ilvl w:val="0"/>
          <w:numId w:val="6"/>
        </w:numPr>
        <w:spacing w:before="120" w:after="12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pracovníka podávajícího hlášení a </w:t>
      </w:r>
    </w:p>
    <w:p w:rsidR="00933CAF" w:rsidRDefault="00F51EC6" w:rsidP="00607758">
      <w:pPr>
        <w:pStyle w:val="Odstavecseseznamem"/>
        <w:numPr>
          <w:ilvl w:val="0"/>
          <w:numId w:val="6"/>
        </w:numPr>
        <w:spacing w:before="120" w:after="120" w:line="240" w:lineRule="auto"/>
        <w:ind w:left="284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telefonní číslo, na kterém je možno provést ověření hlášení. </w:t>
      </w:r>
    </w:p>
    <w:p w:rsidR="00F51EC6" w:rsidRPr="007F4688" w:rsidRDefault="00F51EC6" w:rsidP="00607758">
      <w:pPr>
        <w:pStyle w:val="Odstavecseseznamem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4688">
        <w:rPr>
          <w:rFonts w:ascii="Times New Roman" w:hAnsi="Times New Roman" w:cs="Times New Roman"/>
          <w:sz w:val="24"/>
          <w:szCs w:val="24"/>
        </w:rPr>
        <w:t xml:space="preserve">Ověřením hlášení počíná běžet lhůta pro nástup pracovníků </w:t>
      </w:r>
      <w:r w:rsidR="0014779A">
        <w:rPr>
          <w:rFonts w:ascii="Times New Roman" w:hAnsi="Times New Roman" w:cs="Times New Roman"/>
          <w:sz w:val="24"/>
          <w:szCs w:val="24"/>
        </w:rPr>
        <w:t>zhotovitele</w:t>
      </w:r>
      <w:r w:rsidRPr="007F4688">
        <w:rPr>
          <w:rFonts w:ascii="Times New Roman" w:hAnsi="Times New Roman" w:cs="Times New Roman"/>
          <w:sz w:val="24"/>
          <w:szCs w:val="24"/>
        </w:rPr>
        <w:t xml:space="preserve"> na opravu. Je-li hlášení provedeno v rámci sjednané pracovní doby, pak pro nástup na opravu je sjednána lhůta do 12 hodin</w:t>
      </w:r>
      <w:r w:rsidR="007F4688" w:rsidRPr="007F4688">
        <w:rPr>
          <w:rFonts w:ascii="Times New Roman" w:hAnsi="Times New Roman" w:cs="Times New Roman"/>
          <w:sz w:val="24"/>
          <w:szCs w:val="24"/>
        </w:rPr>
        <w:t>. P</w:t>
      </w:r>
      <w:r w:rsidRPr="007F4688">
        <w:rPr>
          <w:rFonts w:ascii="Times New Roman" w:hAnsi="Times New Roman" w:cs="Times New Roman"/>
          <w:sz w:val="24"/>
          <w:szCs w:val="24"/>
        </w:rPr>
        <w:t>okud je hlášení provedeno mimo pracovní dobu. Je lhůta pro nástup na opravu sjednána do 24 hodin.</w:t>
      </w:r>
    </w:p>
    <w:p w:rsidR="007F4688" w:rsidRDefault="007F4688" w:rsidP="00607758">
      <w:pPr>
        <w:pStyle w:val="Odstavecseseznamem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oprav:</w:t>
      </w:r>
    </w:p>
    <w:p w:rsidR="007F4688" w:rsidRDefault="00F51EC6" w:rsidP="00607758">
      <w:pPr>
        <w:pStyle w:val="Odstavecseseznamem"/>
        <w:numPr>
          <w:ilvl w:val="0"/>
          <w:numId w:val="6"/>
        </w:numPr>
        <w:spacing w:after="0" w:line="240" w:lineRule="auto"/>
        <w:ind w:left="284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paušální částka 300 Kč</w:t>
      </w:r>
      <w:r w:rsidR="007F4688">
        <w:rPr>
          <w:rFonts w:ascii="Times New Roman" w:hAnsi="Times New Roman" w:cs="Times New Roman"/>
          <w:sz w:val="24"/>
          <w:szCs w:val="24"/>
        </w:rPr>
        <w:t>/ 1 hodinu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688">
        <w:rPr>
          <w:rFonts w:ascii="Times New Roman" w:hAnsi="Times New Roman" w:cs="Times New Roman"/>
          <w:sz w:val="24"/>
          <w:szCs w:val="24"/>
        </w:rPr>
        <w:t>(při započaté hodině bude částka poměrně krácena),</w:t>
      </w:r>
    </w:p>
    <w:p w:rsidR="007F4688" w:rsidRDefault="00F51EC6" w:rsidP="00607758">
      <w:pPr>
        <w:pStyle w:val="Odstavecseseznamem"/>
        <w:numPr>
          <w:ilvl w:val="0"/>
          <w:numId w:val="6"/>
        </w:numPr>
        <w:spacing w:after="0" w:line="240" w:lineRule="auto"/>
        <w:ind w:left="284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cestovné 180 Kč a </w:t>
      </w:r>
    </w:p>
    <w:p w:rsidR="00F51EC6" w:rsidRDefault="00F51EC6" w:rsidP="00607758">
      <w:pPr>
        <w:pStyle w:val="Odstavecseseznamem"/>
        <w:numPr>
          <w:ilvl w:val="0"/>
          <w:numId w:val="6"/>
        </w:numPr>
        <w:spacing w:after="0" w:line="240" w:lineRule="auto"/>
        <w:ind w:left="284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dodané náhradní díly. </w:t>
      </w:r>
    </w:p>
    <w:p w:rsidR="007F4688" w:rsidRDefault="007F4688" w:rsidP="007F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688" w:rsidRDefault="007F4688" w:rsidP="007F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688" w:rsidRDefault="007F4688" w:rsidP="007F4688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688" w:rsidRDefault="007F4688" w:rsidP="007F4688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88">
        <w:rPr>
          <w:rFonts w:ascii="Times New Roman" w:hAnsi="Times New Roman" w:cs="Times New Roman"/>
          <w:b/>
          <w:sz w:val="24"/>
          <w:szCs w:val="24"/>
        </w:rPr>
        <w:t>Povinnosti zhotovitele</w:t>
      </w:r>
    </w:p>
    <w:p w:rsidR="00AC3DA0" w:rsidRDefault="00AC3DA0" w:rsidP="007F4688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DA0" w:rsidRDefault="00AC3DA0" w:rsidP="00AC3DA0">
      <w:pPr>
        <w:pStyle w:val="Odstavecseseznamem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je povinen zejména: </w:t>
      </w:r>
    </w:p>
    <w:p w:rsidR="00AC3DA0" w:rsidRDefault="00AC3DA0" w:rsidP="007F2CAA">
      <w:pPr>
        <w:pStyle w:val="Odstavecseseznamem"/>
        <w:numPr>
          <w:ilvl w:val="0"/>
          <w:numId w:val="11"/>
        </w:numPr>
        <w:tabs>
          <w:tab w:val="left" w:pos="284"/>
        </w:tabs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provedení každého úkonu dle čl. I. </w:t>
      </w:r>
      <w:r w:rsidR="0014779A">
        <w:rPr>
          <w:rFonts w:ascii="Times New Roman" w:hAnsi="Times New Roman" w:cs="Times New Roman"/>
          <w:sz w:val="24"/>
          <w:szCs w:val="24"/>
        </w:rPr>
        <w:t xml:space="preserve">a čl. III. této smlouvy </w:t>
      </w:r>
      <w:r>
        <w:rPr>
          <w:rFonts w:ascii="Times New Roman" w:hAnsi="Times New Roman" w:cs="Times New Roman"/>
          <w:sz w:val="24"/>
          <w:szCs w:val="24"/>
        </w:rPr>
        <w:t>sepsat protokol o oznámených závadách a provedených činnostech při jejich odstranění, a to včetně materiálového plnění. Tento protokol pak slouží jako podklad k fakturaci skutečně provedených výkonů. Ověření zápisu provede přítomná osoba objednatele nebo jím pověřená osoba.</w:t>
      </w:r>
    </w:p>
    <w:p w:rsidR="00AC3DA0" w:rsidRDefault="00AC3DA0" w:rsidP="007F2CAA">
      <w:pPr>
        <w:pStyle w:val="Odstavecseseznamem"/>
        <w:numPr>
          <w:ilvl w:val="0"/>
          <w:numId w:val="11"/>
        </w:numPr>
        <w:tabs>
          <w:tab w:val="left" w:pos="284"/>
        </w:tabs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obecné předpisy BOZP a PO. Veškeré škody, které vzniknou prokazatelně prací zhotovitele nebo porušením předpisů BOZP a PO, jdou k tíži zhotovitele.</w:t>
      </w:r>
    </w:p>
    <w:p w:rsidR="00AC3DA0" w:rsidRDefault="00AC3DA0" w:rsidP="007F2CAA">
      <w:pPr>
        <w:pStyle w:val="Odstavecseseznamem"/>
        <w:numPr>
          <w:ilvl w:val="0"/>
          <w:numId w:val="11"/>
        </w:numPr>
        <w:tabs>
          <w:tab w:val="left" w:pos="284"/>
        </w:tabs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Dbát na kvalitu, všeobecnou a odbornou správnosti provádění servisních služeb a dodržování příslušných norem a předpisů. V opačném případě odpovídá za škody vzniklé protiprávním jednáním a nedodržením norem. </w:t>
      </w:r>
    </w:p>
    <w:p w:rsidR="00AC3DA0" w:rsidRPr="00AC3DA0" w:rsidRDefault="00AC3DA0" w:rsidP="007F2CAA">
      <w:pPr>
        <w:pStyle w:val="Odstavecseseznamem"/>
        <w:numPr>
          <w:ilvl w:val="0"/>
          <w:numId w:val="11"/>
        </w:numPr>
        <w:tabs>
          <w:tab w:val="left" w:pos="284"/>
        </w:tabs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Poučit řádně servisní pracovníky provádějící servisní služby.</w:t>
      </w:r>
    </w:p>
    <w:p w:rsidR="007F4688" w:rsidRPr="007F4688" w:rsidRDefault="007F4688" w:rsidP="007F4688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688" w:rsidRDefault="007F4688" w:rsidP="007F4688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688" w:rsidRDefault="007F4688" w:rsidP="007F4688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88">
        <w:rPr>
          <w:rFonts w:ascii="Times New Roman" w:hAnsi="Times New Roman" w:cs="Times New Roman"/>
          <w:b/>
          <w:sz w:val="24"/>
          <w:szCs w:val="24"/>
        </w:rPr>
        <w:t>Povinnosti objednatele</w:t>
      </w:r>
    </w:p>
    <w:p w:rsidR="007F4688" w:rsidRDefault="00AC3DA0" w:rsidP="00AC3DA0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povinen: </w:t>
      </w:r>
    </w:p>
    <w:p w:rsidR="00AC3DA0" w:rsidRDefault="00AC3DA0" w:rsidP="007F2CAA">
      <w:pPr>
        <w:pStyle w:val="Odstavecseseznamem"/>
        <w:numPr>
          <w:ilvl w:val="0"/>
          <w:numId w:val="13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Zabezpečit bezodkladně přístup k dotčeným technologickým zařízením tak, aby zhotovitel mohl provádět předmět plnění smlouvy; zpřístupnit pracovníkům zhotovitele prostory</w:t>
      </w:r>
    </w:p>
    <w:p w:rsidR="00AC3DA0" w:rsidRPr="00AC3DA0" w:rsidRDefault="00AC3DA0" w:rsidP="007F2CAA">
      <w:pPr>
        <w:pStyle w:val="Odstavecseseznamem"/>
        <w:numPr>
          <w:ilvl w:val="0"/>
          <w:numId w:val="13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Zajistit součinnost svých pracovníků provozu s pracovníky zhotovitele při zajištění oprav. </w:t>
      </w:r>
    </w:p>
    <w:p w:rsidR="007F4688" w:rsidRPr="007F4688" w:rsidRDefault="007F4688" w:rsidP="007F4688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688" w:rsidRDefault="007F4688" w:rsidP="00AC3DA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58" w:rsidRPr="00607758" w:rsidRDefault="00607758" w:rsidP="00607758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758">
        <w:rPr>
          <w:rFonts w:ascii="Times New Roman" w:hAnsi="Times New Roman" w:cs="Times New Roman"/>
          <w:b/>
          <w:sz w:val="24"/>
          <w:szCs w:val="24"/>
        </w:rPr>
        <w:t>Záruky</w:t>
      </w:r>
    </w:p>
    <w:p w:rsidR="007F4688" w:rsidRDefault="007F2CAA" w:rsidP="00AC3DA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vyměněné díly zhotovitel poskytuje záruku, kterou udává výrobce. </w:t>
      </w:r>
    </w:p>
    <w:p w:rsidR="007F2CAA" w:rsidRPr="00AC3DA0" w:rsidRDefault="007F2CAA" w:rsidP="00AC3DA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4688" w:rsidRPr="007F4688" w:rsidRDefault="007F4688" w:rsidP="007F4688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688" w:rsidRDefault="007F4688" w:rsidP="007F4688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688" w:rsidRDefault="007F4688" w:rsidP="007F4688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88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:rsidR="007F2CAA" w:rsidRDefault="007F2CAA" w:rsidP="007F2CAA">
      <w:pPr>
        <w:pStyle w:val="Odstavecseseznamem"/>
        <w:numPr>
          <w:ilvl w:val="0"/>
          <w:numId w:val="1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Smlouvu je možno ukončit písemnou dohodou nebo výpovědí. </w:t>
      </w:r>
    </w:p>
    <w:p w:rsidR="007F2CAA" w:rsidRPr="007F2CAA" w:rsidRDefault="007F2CAA" w:rsidP="007F2CAA">
      <w:pPr>
        <w:pStyle w:val="Odstavecseseznamem"/>
        <w:numPr>
          <w:ilvl w:val="0"/>
          <w:numId w:val="1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výpověď bez udání důvodu je dohodnuta výpovědní lhůta v trvání 2 měsíců, která počíná běžet </w:t>
      </w:r>
      <w:r w:rsidR="00DC3DCE">
        <w:rPr>
          <w:rFonts w:ascii="Times New Roman" w:hAnsi="Times New Roman" w:cs="Times New Roman"/>
          <w:sz w:val="24"/>
          <w:szCs w:val="24"/>
        </w:rPr>
        <w:t>posledního dne kalendářního měsíce, v němž byla doručena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688" w:rsidRPr="007F4688" w:rsidRDefault="007F4688" w:rsidP="007F4688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688" w:rsidRDefault="007F4688" w:rsidP="007F4688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688" w:rsidRDefault="007F4688" w:rsidP="007F4688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8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9C103E" w:rsidRPr="007F4688" w:rsidRDefault="009C103E" w:rsidP="007F4688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688" w:rsidRDefault="007F2CAA" w:rsidP="007F2CA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uzavírá na dobu neurčitou.</w:t>
      </w:r>
    </w:p>
    <w:p w:rsidR="00A41685" w:rsidRPr="00A41685" w:rsidRDefault="00A41685" w:rsidP="00A41685">
      <w:pPr>
        <w:pStyle w:val="Odstavecseseznamem"/>
        <w:numPr>
          <w:ilvl w:val="0"/>
          <w:numId w:val="1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685">
        <w:rPr>
          <w:rFonts w:ascii="Times New Roman" w:hAnsi="Times New Roman" w:cs="Times New Roman"/>
          <w:sz w:val="24"/>
          <w:szCs w:val="24"/>
        </w:rPr>
        <w:t xml:space="preserve">Tato smlouva nabývá platnosti podpisem poslední smluvní strany a </w:t>
      </w:r>
      <w:r w:rsidR="007F75C3">
        <w:rPr>
          <w:rFonts w:ascii="Times New Roman" w:hAnsi="Times New Roman" w:cs="Times New Roman"/>
          <w:sz w:val="24"/>
          <w:szCs w:val="24"/>
          <w:u w:val="single"/>
        </w:rPr>
        <w:t>účinnosti dnem</w:t>
      </w:r>
      <w:r w:rsidR="007F75C3">
        <w:rPr>
          <w:rFonts w:ascii="Times New Roman" w:hAnsi="Times New Roman" w:cs="Times New Roman"/>
          <w:sz w:val="24"/>
          <w:szCs w:val="24"/>
          <w:u w:val="single"/>
        </w:rPr>
        <w:br/>
      </w:r>
      <w:r w:rsidR="0014779A" w:rsidRPr="0014779A">
        <w:rPr>
          <w:rFonts w:ascii="Times New Roman" w:hAnsi="Times New Roman" w:cs="Times New Roman"/>
          <w:sz w:val="24"/>
          <w:szCs w:val="24"/>
          <w:u w:val="single"/>
        </w:rPr>
        <w:t xml:space="preserve">1. 6. 2022 za podmínky předchozího </w:t>
      </w:r>
      <w:r w:rsidRPr="0014779A">
        <w:rPr>
          <w:rFonts w:ascii="Times New Roman" w:hAnsi="Times New Roman" w:cs="Times New Roman"/>
          <w:sz w:val="24"/>
          <w:szCs w:val="24"/>
          <w:u w:val="single"/>
        </w:rPr>
        <w:t>uveřejnění prostřednictvím registru smluv</w:t>
      </w:r>
      <w:r w:rsidRPr="00A41685">
        <w:rPr>
          <w:rFonts w:ascii="Times New Roman" w:hAnsi="Times New Roman" w:cs="Times New Roman"/>
          <w:sz w:val="24"/>
          <w:szCs w:val="24"/>
        </w:rPr>
        <w:t xml:space="preserve"> dle p</w:t>
      </w:r>
      <w:r w:rsidR="00607758">
        <w:rPr>
          <w:rFonts w:ascii="Times New Roman" w:hAnsi="Times New Roman" w:cs="Times New Roman"/>
          <w:sz w:val="24"/>
          <w:szCs w:val="24"/>
        </w:rPr>
        <w:t>říslušných ustanovení zákona č. </w:t>
      </w:r>
      <w:r w:rsidRPr="00A41685">
        <w:rPr>
          <w:rFonts w:ascii="Times New Roman" w:hAnsi="Times New Roman" w:cs="Times New Roman"/>
          <w:sz w:val="24"/>
          <w:szCs w:val="24"/>
        </w:rPr>
        <w:t xml:space="preserve">340/2015 Sb., o zvláštních podmínkách účinnosti některých smluv, uveřejňování těchto smluv a o registru smluv (zákon o registru smluv), ve znění </w:t>
      </w:r>
      <w:r w:rsidR="0014779A">
        <w:rPr>
          <w:rFonts w:ascii="Times New Roman" w:hAnsi="Times New Roman" w:cs="Times New Roman"/>
          <w:sz w:val="24"/>
          <w:szCs w:val="24"/>
        </w:rPr>
        <w:t>pozdějších předpisů</w:t>
      </w:r>
      <w:r w:rsidR="009C103E">
        <w:rPr>
          <w:rFonts w:ascii="Times New Roman" w:hAnsi="Times New Roman" w:cs="Times New Roman"/>
          <w:sz w:val="24"/>
          <w:szCs w:val="24"/>
        </w:rPr>
        <w:t xml:space="preserve">, </w:t>
      </w:r>
      <w:r w:rsidR="0014779A" w:rsidRPr="0014779A">
        <w:rPr>
          <w:rFonts w:ascii="Times New Roman" w:hAnsi="Times New Roman" w:cs="Times New Roman"/>
          <w:sz w:val="24"/>
          <w:szCs w:val="24"/>
          <w:u w:val="single"/>
        </w:rPr>
        <w:t>což zajistí objednatel</w:t>
      </w:r>
      <w:r w:rsidR="009C10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4779A" w:rsidRDefault="007F2CAA" w:rsidP="00A41685">
      <w:pPr>
        <w:pStyle w:val="Odstavecseseznamem"/>
        <w:numPr>
          <w:ilvl w:val="0"/>
          <w:numId w:val="1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779A">
        <w:rPr>
          <w:rFonts w:ascii="Times New Roman" w:hAnsi="Times New Roman" w:cs="Times New Roman"/>
          <w:sz w:val="24"/>
          <w:szCs w:val="24"/>
        </w:rPr>
        <w:t>Účinno</w:t>
      </w:r>
      <w:r w:rsidR="00A41685" w:rsidRPr="0014779A">
        <w:rPr>
          <w:rFonts w:ascii="Times New Roman" w:hAnsi="Times New Roman" w:cs="Times New Roman"/>
          <w:sz w:val="24"/>
          <w:szCs w:val="24"/>
        </w:rPr>
        <w:t>s</w:t>
      </w:r>
      <w:r w:rsidRPr="0014779A">
        <w:rPr>
          <w:rFonts w:ascii="Times New Roman" w:hAnsi="Times New Roman" w:cs="Times New Roman"/>
          <w:sz w:val="24"/>
          <w:szCs w:val="24"/>
        </w:rPr>
        <w:t xml:space="preserve">tí smlouvy se </w:t>
      </w:r>
      <w:r w:rsidR="00607758" w:rsidRPr="0014779A">
        <w:rPr>
          <w:rFonts w:ascii="Times New Roman" w:hAnsi="Times New Roman" w:cs="Times New Roman"/>
          <w:sz w:val="24"/>
          <w:szCs w:val="24"/>
        </w:rPr>
        <w:t xml:space="preserve">rovněž </w:t>
      </w:r>
      <w:r w:rsidRPr="0014779A">
        <w:rPr>
          <w:rFonts w:ascii="Times New Roman" w:hAnsi="Times New Roman" w:cs="Times New Roman"/>
          <w:sz w:val="24"/>
          <w:szCs w:val="24"/>
        </w:rPr>
        <w:t>ukončuje platnost dosavadní Smlouvy o servisní činno</w:t>
      </w:r>
      <w:r w:rsidR="00A41685" w:rsidRPr="0014779A">
        <w:rPr>
          <w:rFonts w:ascii="Times New Roman" w:hAnsi="Times New Roman" w:cs="Times New Roman"/>
          <w:sz w:val="24"/>
          <w:szCs w:val="24"/>
        </w:rPr>
        <w:t>s</w:t>
      </w:r>
      <w:r w:rsidRPr="0014779A">
        <w:rPr>
          <w:rFonts w:ascii="Times New Roman" w:hAnsi="Times New Roman" w:cs="Times New Roman"/>
          <w:sz w:val="24"/>
          <w:szCs w:val="24"/>
        </w:rPr>
        <w:t>ti u</w:t>
      </w:r>
      <w:r w:rsidR="0014779A">
        <w:rPr>
          <w:rFonts w:ascii="Times New Roman" w:hAnsi="Times New Roman" w:cs="Times New Roman"/>
          <w:sz w:val="24"/>
          <w:szCs w:val="24"/>
        </w:rPr>
        <w:t>zavřené mezi smluvními stranami.</w:t>
      </w:r>
    </w:p>
    <w:p w:rsidR="00A41685" w:rsidRPr="0014779A" w:rsidRDefault="00A41685" w:rsidP="00A41685">
      <w:pPr>
        <w:pStyle w:val="Odstavecseseznamem"/>
        <w:numPr>
          <w:ilvl w:val="0"/>
          <w:numId w:val="1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779A">
        <w:rPr>
          <w:rFonts w:ascii="Times New Roman" w:hAnsi="Times New Roman" w:cs="Times New Roman"/>
          <w:sz w:val="24"/>
          <w:szCs w:val="24"/>
        </w:rPr>
        <w:t>Změny smlouvy lze provádět pouze písemnými vzestupně číslovanými dodatky</w:t>
      </w:r>
      <w:r w:rsidR="00607758" w:rsidRPr="0014779A">
        <w:rPr>
          <w:rFonts w:ascii="Times New Roman" w:hAnsi="Times New Roman" w:cs="Times New Roman"/>
          <w:sz w:val="24"/>
          <w:szCs w:val="24"/>
        </w:rPr>
        <w:t xml:space="preserve"> podepsanými oběma smluvními stranami.</w:t>
      </w:r>
    </w:p>
    <w:p w:rsidR="00A41685" w:rsidRPr="00A41685" w:rsidRDefault="00A41685" w:rsidP="00A41685">
      <w:pPr>
        <w:pStyle w:val="Odstavecseseznamem"/>
        <w:numPr>
          <w:ilvl w:val="0"/>
          <w:numId w:val="1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685">
        <w:rPr>
          <w:rFonts w:ascii="Times New Roman" w:hAnsi="Times New Roman" w:cs="Times New Roman"/>
          <w:sz w:val="24"/>
          <w:szCs w:val="24"/>
        </w:rPr>
        <w:t>Smluvní strany prohlašují, že skutečnosti, uvedené v této smlouvě, nepovažují za obchodní tajemství ve smyslu § 504 zákona č. 89/2012 Sb., občanský zákoník, ve znění pozdějších předpisů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758" w:rsidRDefault="00A41685" w:rsidP="00A41685">
      <w:pPr>
        <w:pStyle w:val="Odstavecseseznamem"/>
        <w:numPr>
          <w:ilvl w:val="0"/>
          <w:numId w:val="1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685">
        <w:rPr>
          <w:rFonts w:ascii="Times New Roman" w:hAnsi="Times New Roman" w:cs="Times New Roman"/>
          <w:sz w:val="24"/>
          <w:szCs w:val="24"/>
        </w:rPr>
        <w:t>Smluvní strany berou na vědomí, že obsah této smlouvy včetně všech dodatků může být poskytnut žadateli v režimu zákona č. 106/1999 Sb., o svobodném přístupu k informacím, ve znění pozdějších předpisů, a že tato smlouva včetně všech dodatků bude statutárním městem Olomouc uveřejněna v registru smluv dle zákona č. 340/2015 Sb., o zvláštních podmínkách účinnosti některých smluv, uveřejňování těchto smluv a o registru smluv (zákon o registru smluv), ve znění pozdějších předpisů.</w:t>
      </w:r>
    </w:p>
    <w:p w:rsidR="00607758" w:rsidRDefault="00607758" w:rsidP="00607758"/>
    <w:p w:rsidR="00607758" w:rsidRPr="00607758" w:rsidRDefault="00607758" w:rsidP="00607758">
      <w:pPr>
        <w:tabs>
          <w:tab w:val="left" w:pos="3048"/>
        </w:tabs>
      </w:pPr>
      <w:r>
        <w:tab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07758" w:rsidRPr="00146043" w:rsidTr="00146043">
        <w:trPr>
          <w:jc w:val="center"/>
        </w:trPr>
        <w:tc>
          <w:tcPr>
            <w:tcW w:w="3070" w:type="dxa"/>
          </w:tcPr>
          <w:p w:rsidR="00607758" w:rsidRPr="00146043" w:rsidRDefault="00607758" w:rsidP="00607758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V Olomouci dne</w:t>
            </w:r>
            <w:r w:rsidR="004A2E36">
              <w:rPr>
                <w:rFonts w:ascii="Times New Roman" w:hAnsi="Times New Roman" w:cs="Times New Roman"/>
                <w:sz w:val="24"/>
                <w:szCs w:val="24"/>
              </w:rPr>
              <w:t xml:space="preserve"> 19. 5. 2022</w:t>
            </w:r>
          </w:p>
        </w:tc>
        <w:tc>
          <w:tcPr>
            <w:tcW w:w="3071" w:type="dxa"/>
          </w:tcPr>
          <w:p w:rsidR="00607758" w:rsidRPr="00146043" w:rsidRDefault="00607758" w:rsidP="00607758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07758" w:rsidRPr="00146043" w:rsidRDefault="00607758" w:rsidP="00607758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 xml:space="preserve">V Olomouci dne </w:t>
            </w:r>
            <w:proofErr w:type="gramStart"/>
            <w:r w:rsidR="007F75C3">
              <w:rPr>
                <w:rFonts w:ascii="Times New Roman" w:hAnsi="Times New Roman" w:cs="Times New Roman"/>
                <w:sz w:val="24"/>
                <w:szCs w:val="24"/>
              </w:rPr>
              <w:t>19.5.2022</w:t>
            </w:r>
            <w:proofErr w:type="gramEnd"/>
          </w:p>
        </w:tc>
      </w:tr>
      <w:tr w:rsidR="00607758" w:rsidRPr="00146043" w:rsidTr="00146043">
        <w:trPr>
          <w:jc w:val="center"/>
        </w:trPr>
        <w:tc>
          <w:tcPr>
            <w:tcW w:w="3070" w:type="dxa"/>
          </w:tcPr>
          <w:p w:rsidR="00607758" w:rsidRDefault="00607758" w:rsidP="00607758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3" w:rsidRDefault="00146043" w:rsidP="00607758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3" w:rsidRDefault="00146043" w:rsidP="00607758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3" w:rsidRDefault="00146043" w:rsidP="00607758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3" w:rsidRDefault="00146043" w:rsidP="00607758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3" w:rsidRPr="00146043" w:rsidRDefault="00146043" w:rsidP="00607758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07758" w:rsidRPr="00146043" w:rsidRDefault="00607758" w:rsidP="00607758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07758" w:rsidRPr="00146043" w:rsidRDefault="00607758" w:rsidP="00607758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58" w:rsidRPr="00146043" w:rsidTr="00146043">
        <w:trPr>
          <w:jc w:val="center"/>
        </w:trPr>
        <w:tc>
          <w:tcPr>
            <w:tcW w:w="3070" w:type="dxa"/>
          </w:tcPr>
          <w:p w:rsidR="00607758" w:rsidRPr="00146043" w:rsidRDefault="00607758" w:rsidP="00607758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Ing. Sylvie Nováková</w:t>
            </w:r>
          </w:p>
          <w:p w:rsidR="00607758" w:rsidRPr="00146043" w:rsidRDefault="00607758" w:rsidP="00607758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statutární město Olomouc</w:t>
            </w:r>
          </w:p>
        </w:tc>
        <w:tc>
          <w:tcPr>
            <w:tcW w:w="3071" w:type="dxa"/>
          </w:tcPr>
          <w:p w:rsidR="00607758" w:rsidRPr="00146043" w:rsidRDefault="00607758" w:rsidP="00607758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07758" w:rsidRPr="00146043" w:rsidRDefault="007F75C3" w:rsidP="00146043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Dušan Pospíšil</w:t>
            </w:r>
          </w:p>
          <w:p w:rsidR="00146043" w:rsidRPr="00146043" w:rsidRDefault="00146043" w:rsidP="001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I-THERM, spol. s r. o.</w:t>
            </w:r>
          </w:p>
        </w:tc>
      </w:tr>
    </w:tbl>
    <w:p w:rsidR="00A41685" w:rsidRPr="00607758" w:rsidRDefault="00A41685" w:rsidP="00607758">
      <w:pPr>
        <w:tabs>
          <w:tab w:val="left" w:pos="3048"/>
        </w:tabs>
      </w:pPr>
    </w:p>
    <w:sectPr w:rsidR="00A41685" w:rsidRPr="00607758" w:rsidSect="004E1DF7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AB7" w:rsidRDefault="00782AB7" w:rsidP="007F4688">
      <w:pPr>
        <w:spacing w:after="0" w:line="240" w:lineRule="auto"/>
      </w:pPr>
      <w:r>
        <w:separator/>
      </w:r>
    </w:p>
  </w:endnote>
  <w:endnote w:type="continuationSeparator" w:id="0">
    <w:p w:rsidR="00782AB7" w:rsidRDefault="00782AB7" w:rsidP="007F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044875"/>
      <w:docPartObj>
        <w:docPartGallery w:val="Page Numbers (Bottom of Page)"/>
        <w:docPartUnique/>
      </w:docPartObj>
    </w:sdtPr>
    <w:sdtEndPr/>
    <w:sdtContent>
      <w:p w:rsidR="007F4688" w:rsidRDefault="007F46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076">
          <w:rPr>
            <w:noProof/>
          </w:rPr>
          <w:t>4</w:t>
        </w:r>
        <w:r>
          <w:fldChar w:fldCharType="end"/>
        </w:r>
      </w:p>
    </w:sdtContent>
  </w:sdt>
  <w:p w:rsidR="007F4688" w:rsidRDefault="007F46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AB7" w:rsidRDefault="00782AB7" w:rsidP="007F4688">
      <w:pPr>
        <w:spacing w:after="0" w:line="240" w:lineRule="auto"/>
      </w:pPr>
      <w:r>
        <w:separator/>
      </w:r>
    </w:p>
  </w:footnote>
  <w:footnote w:type="continuationSeparator" w:id="0">
    <w:p w:rsidR="00782AB7" w:rsidRDefault="00782AB7" w:rsidP="007F4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0645"/>
    <w:multiLevelType w:val="hybridMultilevel"/>
    <w:tmpl w:val="525056FA"/>
    <w:lvl w:ilvl="0" w:tplc="C24A2B3E">
      <w:start w:val="77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3807"/>
    <w:multiLevelType w:val="hybridMultilevel"/>
    <w:tmpl w:val="2AF8C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51604"/>
    <w:multiLevelType w:val="hybridMultilevel"/>
    <w:tmpl w:val="5D88C4E0"/>
    <w:lvl w:ilvl="0" w:tplc="C2EC6CA4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20241"/>
    <w:multiLevelType w:val="hybridMultilevel"/>
    <w:tmpl w:val="8332BA78"/>
    <w:lvl w:ilvl="0" w:tplc="8BFA761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517707AB"/>
    <w:multiLevelType w:val="hybridMultilevel"/>
    <w:tmpl w:val="FA4CF754"/>
    <w:lvl w:ilvl="0" w:tplc="DF569B36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52B10D77"/>
    <w:multiLevelType w:val="hybridMultilevel"/>
    <w:tmpl w:val="38A0E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41E71"/>
    <w:multiLevelType w:val="hybridMultilevel"/>
    <w:tmpl w:val="5A586F86"/>
    <w:lvl w:ilvl="0" w:tplc="7336417A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57E80"/>
    <w:multiLevelType w:val="hybridMultilevel"/>
    <w:tmpl w:val="6C02E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7153F"/>
    <w:multiLevelType w:val="hybridMultilevel"/>
    <w:tmpl w:val="AB12774C"/>
    <w:lvl w:ilvl="0" w:tplc="B742F6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0BF40EE"/>
    <w:multiLevelType w:val="hybridMultilevel"/>
    <w:tmpl w:val="539E3A16"/>
    <w:lvl w:ilvl="0" w:tplc="C24A2B3E">
      <w:start w:val="77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B51567"/>
    <w:multiLevelType w:val="hybridMultilevel"/>
    <w:tmpl w:val="38A0E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432D4"/>
    <w:multiLevelType w:val="hybridMultilevel"/>
    <w:tmpl w:val="38BCD8CC"/>
    <w:lvl w:ilvl="0" w:tplc="28E41C8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17A0E"/>
    <w:multiLevelType w:val="hybridMultilevel"/>
    <w:tmpl w:val="FA8C87E6"/>
    <w:lvl w:ilvl="0" w:tplc="D95425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5A4AF0">
      <w:start w:val="2"/>
      <w:numFmt w:val="upperRoman"/>
      <w:lvlText w:val="(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6F7F66"/>
    <w:multiLevelType w:val="hybridMultilevel"/>
    <w:tmpl w:val="A1060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05C42"/>
    <w:multiLevelType w:val="hybridMultilevel"/>
    <w:tmpl w:val="38322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06D70"/>
    <w:multiLevelType w:val="hybridMultilevel"/>
    <w:tmpl w:val="51FC9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0"/>
  </w:num>
  <w:num w:numId="5">
    <w:abstractNumId w:val="15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CD"/>
    <w:rsid w:val="00146043"/>
    <w:rsid w:val="0014779A"/>
    <w:rsid w:val="001B6379"/>
    <w:rsid w:val="00227882"/>
    <w:rsid w:val="003606C4"/>
    <w:rsid w:val="004A2E36"/>
    <w:rsid w:val="004A7EF7"/>
    <w:rsid w:val="004D0C37"/>
    <w:rsid w:val="004E1DF7"/>
    <w:rsid w:val="00532437"/>
    <w:rsid w:val="005612BF"/>
    <w:rsid w:val="00607758"/>
    <w:rsid w:val="00704EB3"/>
    <w:rsid w:val="00757B43"/>
    <w:rsid w:val="00782AB7"/>
    <w:rsid w:val="007A6514"/>
    <w:rsid w:val="007F2CAA"/>
    <w:rsid w:val="007F4688"/>
    <w:rsid w:val="007F75C3"/>
    <w:rsid w:val="00840076"/>
    <w:rsid w:val="00847ECD"/>
    <w:rsid w:val="00871BEE"/>
    <w:rsid w:val="00896F50"/>
    <w:rsid w:val="00921950"/>
    <w:rsid w:val="00933CAF"/>
    <w:rsid w:val="009C103E"/>
    <w:rsid w:val="00A41685"/>
    <w:rsid w:val="00AC3DA0"/>
    <w:rsid w:val="00CD09CD"/>
    <w:rsid w:val="00DC3DCE"/>
    <w:rsid w:val="00F5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57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4EB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57B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underline">
    <w:name w:val="nounderline"/>
    <w:basedOn w:val="Standardnpsmoodstavce"/>
    <w:rsid w:val="00757B43"/>
  </w:style>
  <w:style w:type="character" w:customStyle="1" w:styleId="nowrap">
    <w:name w:val="nowrap"/>
    <w:basedOn w:val="Standardnpsmoodstavce"/>
    <w:rsid w:val="00757B43"/>
  </w:style>
  <w:style w:type="paragraph" w:styleId="Odstavecseseznamem">
    <w:name w:val="List Paragraph"/>
    <w:basedOn w:val="Normln"/>
    <w:uiPriority w:val="34"/>
    <w:qFormat/>
    <w:rsid w:val="00933CAF"/>
    <w:pPr>
      <w:ind w:left="720"/>
      <w:contextualSpacing/>
    </w:pPr>
  </w:style>
  <w:style w:type="table" w:styleId="Mkatabulky">
    <w:name w:val="Table Grid"/>
    <w:basedOn w:val="Normlntabulka"/>
    <w:uiPriority w:val="59"/>
    <w:rsid w:val="004E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F4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6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6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6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6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6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F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4688"/>
  </w:style>
  <w:style w:type="paragraph" w:styleId="Zpat">
    <w:name w:val="footer"/>
    <w:basedOn w:val="Normln"/>
    <w:link w:val="ZpatChar"/>
    <w:uiPriority w:val="99"/>
    <w:unhideWhenUsed/>
    <w:rsid w:val="007F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4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57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4EB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57B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underline">
    <w:name w:val="nounderline"/>
    <w:basedOn w:val="Standardnpsmoodstavce"/>
    <w:rsid w:val="00757B43"/>
  </w:style>
  <w:style w:type="character" w:customStyle="1" w:styleId="nowrap">
    <w:name w:val="nowrap"/>
    <w:basedOn w:val="Standardnpsmoodstavce"/>
    <w:rsid w:val="00757B43"/>
  </w:style>
  <w:style w:type="paragraph" w:styleId="Odstavecseseznamem">
    <w:name w:val="List Paragraph"/>
    <w:basedOn w:val="Normln"/>
    <w:uiPriority w:val="34"/>
    <w:qFormat/>
    <w:rsid w:val="00933CAF"/>
    <w:pPr>
      <w:ind w:left="720"/>
      <w:contextualSpacing/>
    </w:pPr>
  </w:style>
  <w:style w:type="table" w:styleId="Mkatabulky">
    <w:name w:val="Table Grid"/>
    <w:basedOn w:val="Normlntabulka"/>
    <w:uiPriority w:val="59"/>
    <w:rsid w:val="004E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F4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6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6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6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6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6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F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4688"/>
  </w:style>
  <w:style w:type="paragraph" w:styleId="Zpat">
    <w:name w:val="footer"/>
    <w:basedOn w:val="Normln"/>
    <w:link w:val="ZpatChar"/>
    <w:uiPriority w:val="99"/>
    <w:unhideWhenUsed/>
    <w:rsid w:val="007F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lomouc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pisil@i-ther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Alice</dc:creator>
  <cp:lastModifiedBy>Pospíšilová Alice</cp:lastModifiedBy>
  <cp:revision>3</cp:revision>
  <cp:lastPrinted>2022-05-19T09:29:00Z</cp:lastPrinted>
  <dcterms:created xsi:type="dcterms:W3CDTF">2022-05-19T09:32:00Z</dcterms:created>
  <dcterms:modified xsi:type="dcterms:W3CDTF">2022-06-01T08:47:00Z</dcterms:modified>
</cp:coreProperties>
</file>