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E92" w:rsidRPr="00A93804" w:rsidRDefault="00CD1E92" w:rsidP="00FD1CEC">
      <w:pPr>
        <w:pStyle w:val="ANormln"/>
        <w:tabs>
          <w:tab w:val="center" w:pos="4535"/>
          <w:tab w:val="left" w:pos="8385"/>
        </w:tabs>
        <w:ind w:firstLine="0"/>
        <w:jc w:val="center"/>
        <w:rPr>
          <w:b/>
          <w:bCs/>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alt="107px-Erb_Teplic_2.png" style="position:absolute;left:0;text-align:left;margin-left:362.6pt;margin-top:-54.4pt;width:33pt;height:37.5pt;z-index:251658240;visibility:visible">
            <v:imagedata r:id="rId7" o:title=""/>
          </v:shape>
        </w:pict>
      </w:r>
      <w:r>
        <w:rPr>
          <w:noProof/>
        </w:rPr>
        <w:pict>
          <v:shape id="Obrázek 0" o:spid="_x0000_s1027" type="#_x0000_t75" alt="IROP_CZ_RO_B_C RGB.jpg" style="position:absolute;left:0;text-align:left;margin-left:62.1pt;margin-top:-57.4pt;width:241.5pt;height:39.5pt;z-index:251657216;visibility:visible">
            <v:imagedata r:id="rId8" o:title=""/>
          </v:shape>
        </w:pict>
      </w:r>
      <w:r w:rsidRPr="00A93804">
        <w:rPr>
          <w:b/>
          <w:bCs/>
          <w:sz w:val="24"/>
          <w:szCs w:val="24"/>
        </w:rPr>
        <w:t>Smlouva</w:t>
      </w:r>
      <w:r>
        <w:rPr>
          <w:b/>
          <w:bCs/>
          <w:sz w:val="24"/>
          <w:szCs w:val="24"/>
        </w:rPr>
        <w:t xml:space="preserve"> o </w:t>
      </w:r>
      <w:r w:rsidRPr="00A93804">
        <w:rPr>
          <w:b/>
          <w:bCs/>
          <w:sz w:val="24"/>
          <w:szCs w:val="24"/>
        </w:rPr>
        <w:t>dílo</w:t>
      </w:r>
      <w:r w:rsidRPr="00A93804">
        <w:rPr>
          <w:sz w:val="24"/>
          <w:szCs w:val="24"/>
        </w:rPr>
        <w:t xml:space="preserve"> </w:t>
      </w:r>
    </w:p>
    <w:p w:rsidR="00CD1E92" w:rsidRPr="001D79CD" w:rsidRDefault="00CD1E92" w:rsidP="001F0E68">
      <w:pPr>
        <w:pStyle w:val="ANormln"/>
        <w:tabs>
          <w:tab w:val="left" w:pos="420"/>
          <w:tab w:val="center" w:pos="4535"/>
          <w:tab w:val="left" w:pos="8385"/>
        </w:tabs>
        <w:ind w:firstLine="0"/>
        <w:jc w:val="left"/>
      </w:pPr>
      <w:r w:rsidRPr="00A93804">
        <w:rPr>
          <w:b/>
          <w:bCs/>
          <w:sz w:val="24"/>
          <w:szCs w:val="24"/>
        </w:rPr>
        <w:tab/>
      </w:r>
      <w:r w:rsidRPr="00A93804">
        <w:rPr>
          <w:b/>
          <w:bCs/>
          <w:sz w:val="24"/>
          <w:szCs w:val="24"/>
        </w:rPr>
        <w:tab/>
        <w:t xml:space="preserve">č.: </w:t>
      </w:r>
      <w:fldSimple w:instr=" DOCPROPERTY  ID  \* MERGEFORMAT ">
        <w:r w:rsidRPr="00FC0AAB">
          <w:rPr>
            <w:b/>
            <w:bCs/>
            <w:sz w:val="24"/>
            <w:szCs w:val="24"/>
          </w:rPr>
          <w:t>170412</w:t>
        </w:r>
      </w:fldSimple>
      <w:r w:rsidRPr="001D79CD">
        <w:tab/>
      </w:r>
    </w:p>
    <w:p w:rsidR="00CD1E92" w:rsidRPr="001D79CD" w:rsidRDefault="00CD1E92" w:rsidP="00FD1CEC">
      <w:pPr>
        <w:pStyle w:val="SmlNadpis1"/>
        <w:numPr>
          <w:ilvl w:val="0"/>
          <w:numId w:val="6"/>
        </w:numPr>
        <w:tabs>
          <w:tab w:val="num" w:pos="567"/>
        </w:tabs>
        <w:ind w:left="0" w:firstLine="0"/>
      </w:pPr>
      <w:r w:rsidRPr="001D79CD">
        <w:t>Smluvní strany</w:t>
      </w:r>
    </w:p>
    <w:tbl>
      <w:tblPr>
        <w:tblW w:w="9180" w:type="dxa"/>
        <w:tblInd w:w="-68" w:type="dxa"/>
        <w:tblLayout w:type="fixed"/>
        <w:tblCellMar>
          <w:left w:w="70" w:type="dxa"/>
          <w:right w:w="70" w:type="dxa"/>
        </w:tblCellMar>
        <w:tblLook w:val="0000"/>
      </w:tblPr>
      <w:tblGrid>
        <w:gridCol w:w="567"/>
        <w:gridCol w:w="2410"/>
        <w:gridCol w:w="4678"/>
        <w:gridCol w:w="1525"/>
      </w:tblGrid>
      <w:tr w:rsidR="00CD1E92" w:rsidRPr="00A93804">
        <w:trPr>
          <w:cantSplit/>
          <w:trHeight w:val="389"/>
        </w:trPr>
        <w:tc>
          <w:tcPr>
            <w:tcW w:w="567" w:type="dxa"/>
            <w:vAlign w:val="center"/>
          </w:tcPr>
          <w:p w:rsidR="00CD1E92" w:rsidRPr="00A93804" w:rsidRDefault="00CD1E92" w:rsidP="009D1639">
            <w:pPr>
              <w:pStyle w:val="ANormln"/>
              <w:spacing w:before="0"/>
              <w:ind w:firstLine="0"/>
              <w:jc w:val="left"/>
              <w:rPr>
                <w:color w:val="000000"/>
                <w:sz w:val="20"/>
                <w:szCs w:val="20"/>
              </w:rPr>
            </w:pPr>
            <w:r w:rsidRPr="00A93804">
              <w:rPr>
                <w:color w:val="000000"/>
                <w:sz w:val="20"/>
                <w:szCs w:val="20"/>
              </w:rPr>
              <w:t>1.1</w:t>
            </w:r>
          </w:p>
        </w:tc>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Organizace:</w:t>
            </w:r>
          </w:p>
        </w:tc>
        <w:tc>
          <w:tcPr>
            <w:tcW w:w="6203" w:type="dxa"/>
            <w:gridSpan w:val="2"/>
            <w:vAlign w:val="center"/>
          </w:tcPr>
          <w:p w:rsidR="00CD1E92" w:rsidRPr="00A93804" w:rsidRDefault="00CD1E92" w:rsidP="001B7D53">
            <w:pPr>
              <w:pStyle w:val="ANormln"/>
              <w:spacing w:before="60" w:after="60"/>
              <w:ind w:firstLine="0"/>
              <w:jc w:val="left"/>
              <w:rPr>
                <w:b/>
                <w:bCs/>
                <w:color w:val="000000"/>
                <w:sz w:val="20"/>
                <w:szCs w:val="20"/>
              </w:rPr>
            </w:pPr>
            <w:fldSimple w:instr=" DOCPROPERTY  Urceno  \* MERGEFORMAT ">
              <w:r w:rsidRPr="00FC0AAB">
                <w:rPr>
                  <w:b/>
                  <w:bCs/>
                  <w:sz w:val="20"/>
                  <w:szCs w:val="20"/>
                </w:rPr>
                <w:t>Statutární město</w:t>
              </w:r>
              <w:r>
                <w:t xml:space="preserve"> Teplice</w:t>
              </w:r>
            </w:fldSimple>
          </w:p>
        </w:tc>
      </w:tr>
      <w:tr w:rsidR="00CD1E92" w:rsidRPr="00A93804">
        <w:trPr>
          <w:gridBefore w:val="1"/>
          <w:wBefore w:w="567" w:type="dxa"/>
        </w:trPr>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Sídlo:</w:t>
            </w:r>
          </w:p>
        </w:tc>
        <w:tc>
          <w:tcPr>
            <w:tcW w:w="6203" w:type="dxa"/>
            <w:gridSpan w:val="2"/>
            <w:vAlign w:val="center"/>
          </w:tcPr>
          <w:p w:rsidR="00CD1E92" w:rsidRPr="00A93804" w:rsidRDefault="00CD1E92" w:rsidP="006C7647">
            <w:pPr>
              <w:pStyle w:val="ANormln"/>
              <w:spacing w:before="60" w:after="60"/>
              <w:ind w:firstLine="0"/>
              <w:rPr>
                <w:color w:val="000000"/>
                <w:sz w:val="20"/>
                <w:szCs w:val="20"/>
              </w:rPr>
            </w:pPr>
            <w:r w:rsidRPr="00FC0AAB">
              <w:rPr>
                <w:color w:val="000000"/>
                <w:sz w:val="20"/>
                <w:szCs w:val="20"/>
              </w:rPr>
              <w:t>náměstí Svobody 2/2; 415 95 Teplice</w:t>
            </w:r>
          </w:p>
        </w:tc>
      </w:tr>
      <w:tr w:rsidR="00CD1E92" w:rsidRPr="00A93804">
        <w:trPr>
          <w:gridBefore w:val="1"/>
          <w:wBefore w:w="567" w:type="dxa"/>
          <w:cantSplit/>
        </w:trPr>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Zastoupená:</w:t>
            </w:r>
          </w:p>
        </w:tc>
        <w:tc>
          <w:tcPr>
            <w:tcW w:w="4678" w:type="dxa"/>
            <w:vAlign w:val="center"/>
          </w:tcPr>
          <w:p w:rsidR="00CD1E92" w:rsidRPr="00A93804" w:rsidRDefault="00CD1E92" w:rsidP="001D79CD">
            <w:pPr>
              <w:pStyle w:val="ANormln"/>
              <w:spacing w:before="60" w:after="60"/>
              <w:ind w:firstLine="0"/>
              <w:jc w:val="left"/>
              <w:rPr>
                <w:color w:val="000000"/>
                <w:sz w:val="20"/>
                <w:szCs w:val="20"/>
              </w:rPr>
            </w:pPr>
            <w:r w:rsidRPr="004D7371">
              <w:rPr>
                <w:color w:val="000000"/>
                <w:sz w:val="20"/>
                <w:szCs w:val="20"/>
              </w:rPr>
              <w:t>Ing. Richard Frontz</w:t>
            </w:r>
            <w:r>
              <w:rPr>
                <w:color w:val="000000"/>
                <w:sz w:val="20"/>
                <w:szCs w:val="20"/>
              </w:rPr>
              <w:t xml:space="preserve">, </w:t>
            </w:r>
            <w:r w:rsidRPr="004D7371">
              <w:rPr>
                <w:color w:val="000000"/>
                <w:sz w:val="20"/>
                <w:szCs w:val="20"/>
              </w:rPr>
              <w:t>vedoucí oddělení informatiky a výpočetní techniky</w:t>
            </w:r>
          </w:p>
        </w:tc>
        <w:tc>
          <w:tcPr>
            <w:tcW w:w="1525" w:type="dxa"/>
            <w:vAlign w:val="center"/>
          </w:tcPr>
          <w:p w:rsidR="00CD1E92" w:rsidRPr="00A93804" w:rsidRDefault="00CD1E92" w:rsidP="001B7D53">
            <w:pPr>
              <w:pStyle w:val="ANormln"/>
              <w:spacing w:before="60" w:after="60"/>
              <w:ind w:firstLine="0"/>
              <w:jc w:val="left"/>
              <w:rPr>
                <w:color w:val="000000"/>
                <w:sz w:val="20"/>
                <w:szCs w:val="20"/>
              </w:rPr>
            </w:pPr>
          </w:p>
        </w:tc>
      </w:tr>
      <w:tr w:rsidR="00CD1E92" w:rsidRPr="00A93804">
        <w:trPr>
          <w:gridBefore w:val="1"/>
          <w:wBefore w:w="567" w:type="dxa"/>
        </w:trPr>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IČ:</w:t>
            </w:r>
          </w:p>
        </w:tc>
        <w:tc>
          <w:tcPr>
            <w:tcW w:w="6203" w:type="dxa"/>
            <w:gridSpan w:val="2"/>
            <w:vAlign w:val="center"/>
          </w:tcPr>
          <w:p w:rsidR="00CD1E92" w:rsidRPr="00A93804" w:rsidRDefault="00CD1E92" w:rsidP="001B7D53">
            <w:pPr>
              <w:pStyle w:val="ANormln"/>
              <w:spacing w:before="60" w:after="60"/>
              <w:ind w:firstLine="0"/>
              <w:jc w:val="left"/>
              <w:rPr>
                <w:color w:val="000000"/>
                <w:sz w:val="20"/>
                <w:szCs w:val="20"/>
              </w:rPr>
            </w:pPr>
            <w:r w:rsidRPr="00FC0AAB">
              <w:rPr>
                <w:color w:val="000000"/>
                <w:sz w:val="20"/>
                <w:szCs w:val="20"/>
              </w:rPr>
              <w:t>00266621</w:t>
            </w:r>
          </w:p>
        </w:tc>
      </w:tr>
      <w:tr w:rsidR="00CD1E92" w:rsidRPr="00A93804">
        <w:trPr>
          <w:gridBefore w:val="1"/>
          <w:wBefore w:w="567" w:type="dxa"/>
        </w:trPr>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DIČ:</w:t>
            </w:r>
          </w:p>
        </w:tc>
        <w:tc>
          <w:tcPr>
            <w:tcW w:w="6203" w:type="dxa"/>
            <w:gridSpan w:val="2"/>
            <w:vAlign w:val="center"/>
          </w:tcPr>
          <w:p w:rsidR="00CD1E92" w:rsidRPr="00A93804" w:rsidRDefault="00CD1E92" w:rsidP="001B7D53">
            <w:pPr>
              <w:pStyle w:val="ANormln"/>
              <w:spacing w:before="60" w:after="60"/>
              <w:ind w:firstLine="0"/>
              <w:jc w:val="left"/>
              <w:rPr>
                <w:color w:val="000000"/>
                <w:sz w:val="20"/>
                <w:szCs w:val="20"/>
              </w:rPr>
            </w:pPr>
            <w:r w:rsidRPr="004239C0">
              <w:rPr>
                <w:color w:val="000000"/>
                <w:sz w:val="20"/>
                <w:szCs w:val="20"/>
              </w:rPr>
              <w:t>CZ</w:t>
            </w:r>
            <w:r w:rsidRPr="00FC0AAB">
              <w:rPr>
                <w:color w:val="000000"/>
                <w:sz w:val="20"/>
                <w:szCs w:val="20"/>
              </w:rPr>
              <w:t>00266621</w:t>
            </w:r>
          </w:p>
        </w:tc>
      </w:tr>
      <w:tr w:rsidR="00CD1E92" w:rsidRPr="00A93804">
        <w:trPr>
          <w:gridBefore w:val="1"/>
          <w:wBefore w:w="567" w:type="dxa"/>
        </w:trPr>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Bankovní spojení:</w:t>
            </w:r>
          </w:p>
        </w:tc>
        <w:tc>
          <w:tcPr>
            <w:tcW w:w="6203" w:type="dxa"/>
            <w:gridSpan w:val="2"/>
            <w:vAlign w:val="center"/>
          </w:tcPr>
          <w:p w:rsidR="00CD1E92" w:rsidRPr="00A93804" w:rsidRDefault="00CD1E92" w:rsidP="001B7D53">
            <w:pPr>
              <w:pStyle w:val="ANormln"/>
              <w:spacing w:before="60" w:after="60"/>
              <w:ind w:firstLine="0"/>
              <w:jc w:val="left"/>
              <w:rPr>
                <w:color w:val="000000"/>
                <w:sz w:val="20"/>
                <w:szCs w:val="20"/>
              </w:rPr>
            </w:pPr>
            <w:r w:rsidRPr="00CE46FE">
              <w:rPr>
                <w:color w:val="000000"/>
                <w:sz w:val="20"/>
                <w:szCs w:val="20"/>
              </w:rPr>
              <w:t>Komerční banka, a.s.</w:t>
            </w:r>
          </w:p>
        </w:tc>
      </w:tr>
      <w:tr w:rsidR="00CD1E92" w:rsidRPr="00A93804">
        <w:trPr>
          <w:gridBefore w:val="1"/>
          <w:wBefore w:w="567" w:type="dxa"/>
        </w:trPr>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Číslo účtu:</w:t>
            </w:r>
          </w:p>
        </w:tc>
        <w:tc>
          <w:tcPr>
            <w:tcW w:w="6203" w:type="dxa"/>
            <w:gridSpan w:val="2"/>
            <w:vAlign w:val="center"/>
          </w:tcPr>
          <w:p w:rsidR="00CD1E92" w:rsidRPr="00A93804" w:rsidRDefault="00CD1E92" w:rsidP="004B7041">
            <w:pPr>
              <w:pStyle w:val="ANormln"/>
              <w:spacing w:before="60" w:after="60"/>
              <w:ind w:firstLine="0"/>
              <w:jc w:val="left"/>
              <w:rPr>
                <w:color w:val="000000"/>
                <w:sz w:val="20"/>
                <w:szCs w:val="20"/>
              </w:rPr>
            </w:pPr>
            <w:r w:rsidRPr="00FC0AAB">
              <w:rPr>
                <w:color w:val="000000"/>
                <w:sz w:val="20"/>
                <w:szCs w:val="20"/>
              </w:rPr>
              <w:t>19-226501/ 0100</w:t>
            </w:r>
          </w:p>
        </w:tc>
      </w:tr>
      <w:tr w:rsidR="00CD1E92" w:rsidRPr="00A93804">
        <w:trPr>
          <w:gridBefore w:val="1"/>
          <w:wBefore w:w="567" w:type="dxa"/>
        </w:trPr>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(dále jen „</w:t>
            </w:r>
            <w:r w:rsidRPr="00A93804">
              <w:rPr>
                <w:b/>
                <w:bCs/>
                <w:color w:val="000000"/>
                <w:sz w:val="20"/>
                <w:szCs w:val="20"/>
              </w:rPr>
              <w:t>Objednatel</w:t>
            </w:r>
            <w:r w:rsidRPr="00A93804">
              <w:rPr>
                <w:color w:val="000000"/>
                <w:sz w:val="20"/>
                <w:szCs w:val="20"/>
              </w:rPr>
              <w:t>“)</w:t>
            </w:r>
          </w:p>
        </w:tc>
        <w:tc>
          <w:tcPr>
            <w:tcW w:w="6203" w:type="dxa"/>
            <w:gridSpan w:val="2"/>
            <w:vAlign w:val="center"/>
          </w:tcPr>
          <w:p w:rsidR="00CD1E92" w:rsidRPr="00A93804" w:rsidRDefault="00CD1E92" w:rsidP="001B7D53">
            <w:pPr>
              <w:pStyle w:val="ANormln"/>
              <w:spacing w:before="60" w:after="60"/>
              <w:ind w:firstLine="0"/>
              <w:jc w:val="left"/>
              <w:rPr>
                <w:color w:val="000000"/>
                <w:sz w:val="20"/>
                <w:szCs w:val="20"/>
              </w:rPr>
            </w:pPr>
          </w:p>
        </w:tc>
      </w:tr>
    </w:tbl>
    <w:p w:rsidR="00CD1E92" w:rsidRPr="001D79CD" w:rsidRDefault="00CD1E92" w:rsidP="00FD1CEC">
      <w:pPr>
        <w:rPr>
          <w:rFonts w:ascii="Arial" w:hAnsi="Arial" w:cs="Arial"/>
          <w:sz w:val="16"/>
          <w:szCs w:val="16"/>
        </w:rPr>
      </w:pPr>
    </w:p>
    <w:p w:rsidR="00CD1E92" w:rsidRDefault="00CD1E92" w:rsidP="00FD1CEC">
      <w:pPr>
        <w:pStyle w:val="ANormln"/>
        <w:jc w:val="left"/>
        <w:rPr>
          <w:sz w:val="20"/>
          <w:szCs w:val="20"/>
        </w:rPr>
      </w:pPr>
      <w:r w:rsidRPr="001D79CD">
        <w:rPr>
          <w:sz w:val="20"/>
          <w:szCs w:val="20"/>
        </w:rPr>
        <w:t>na straně jedné a</w:t>
      </w:r>
    </w:p>
    <w:p w:rsidR="00CD1E92" w:rsidRPr="001D79CD" w:rsidRDefault="00CD1E92" w:rsidP="00FD1CEC">
      <w:pPr>
        <w:pStyle w:val="ANormln"/>
        <w:jc w:val="left"/>
        <w:rPr>
          <w:sz w:val="20"/>
          <w:szCs w:val="20"/>
        </w:rPr>
      </w:pPr>
    </w:p>
    <w:tbl>
      <w:tblPr>
        <w:tblW w:w="9180" w:type="dxa"/>
        <w:tblInd w:w="-68" w:type="dxa"/>
        <w:tblLayout w:type="fixed"/>
        <w:tblCellMar>
          <w:left w:w="70" w:type="dxa"/>
          <w:right w:w="70" w:type="dxa"/>
        </w:tblCellMar>
        <w:tblLook w:val="0000"/>
      </w:tblPr>
      <w:tblGrid>
        <w:gridCol w:w="567"/>
        <w:gridCol w:w="2410"/>
        <w:gridCol w:w="4678"/>
        <w:gridCol w:w="1525"/>
      </w:tblGrid>
      <w:tr w:rsidR="00CD1E92" w:rsidRPr="00A93804">
        <w:trPr>
          <w:cantSplit/>
        </w:trPr>
        <w:tc>
          <w:tcPr>
            <w:tcW w:w="567" w:type="dxa"/>
            <w:vAlign w:val="center"/>
          </w:tcPr>
          <w:p w:rsidR="00CD1E92" w:rsidRPr="00A93804" w:rsidRDefault="00CD1E92" w:rsidP="009D1639">
            <w:pPr>
              <w:pStyle w:val="ANormln"/>
              <w:spacing w:before="0"/>
              <w:ind w:firstLine="0"/>
              <w:jc w:val="left"/>
              <w:rPr>
                <w:color w:val="000000"/>
                <w:sz w:val="20"/>
                <w:szCs w:val="20"/>
              </w:rPr>
            </w:pPr>
            <w:r w:rsidRPr="00A93804">
              <w:rPr>
                <w:color w:val="000000"/>
                <w:sz w:val="20"/>
                <w:szCs w:val="20"/>
              </w:rPr>
              <w:t>1.2.</w:t>
            </w:r>
          </w:p>
        </w:tc>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Obchodní firma:</w:t>
            </w:r>
          </w:p>
        </w:tc>
        <w:tc>
          <w:tcPr>
            <w:tcW w:w="6203" w:type="dxa"/>
            <w:gridSpan w:val="2"/>
            <w:vAlign w:val="center"/>
          </w:tcPr>
          <w:p w:rsidR="00CD1E92" w:rsidRPr="00A93804" w:rsidRDefault="00CD1E92" w:rsidP="001B7D53">
            <w:pPr>
              <w:pStyle w:val="ANormln"/>
              <w:spacing w:before="60" w:after="60"/>
              <w:ind w:firstLine="0"/>
              <w:jc w:val="left"/>
              <w:rPr>
                <w:b/>
                <w:bCs/>
                <w:color w:val="000000"/>
                <w:sz w:val="20"/>
                <w:szCs w:val="20"/>
              </w:rPr>
            </w:pPr>
            <w:r w:rsidRPr="00A93804">
              <w:rPr>
                <w:b/>
                <w:bCs/>
                <w:color w:val="000000"/>
                <w:sz w:val="20"/>
                <w:szCs w:val="20"/>
              </w:rPr>
              <w:t>AJL, s.r.o.</w:t>
            </w:r>
          </w:p>
        </w:tc>
      </w:tr>
      <w:tr w:rsidR="00CD1E92" w:rsidRPr="00A93804">
        <w:trPr>
          <w:gridBefore w:val="1"/>
          <w:wBefore w:w="567" w:type="dxa"/>
        </w:trPr>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Sídlo:</w:t>
            </w:r>
          </w:p>
        </w:tc>
        <w:tc>
          <w:tcPr>
            <w:tcW w:w="6203" w:type="dxa"/>
            <w:gridSpan w:val="2"/>
            <w:vAlign w:val="center"/>
          </w:tcPr>
          <w:p w:rsidR="00CD1E92" w:rsidRPr="00A93804" w:rsidRDefault="00CD1E92" w:rsidP="006C7647">
            <w:pPr>
              <w:pStyle w:val="ANormln"/>
              <w:spacing w:before="60" w:after="60"/>
              <w:ind w:firstLine="0"/>
              <w:jc w:val="left"/>
              <w:rPr>
                <w:color w:val="000000"/>
                <w:sz w:val="20"/>
                <w:szCs w:val="20"/>
              </w:rPr>
            </w:pPr>
            <w:r w:rsidRPr="00A93804">
              <w:rPr>
                <w:color w:val="000000"/>
                <w:sz w:val="20"/>
                <w:szCs w:val="20"/>
              </w:rPr>
              <w:t>Markova 1965/6, 594</w:t>
            </w:r>
            <w:r>
              <w:rPr>
                <w:color w:val="000000"/>
                <w:sz w:val="20"/>
                <w:szCs w:val="20"/>
              </w:rPr>
              <w:t xml:space="preserve"> </w:t>
            </w:r>
            <w:r w:rsidRPr="00A93804">
              <w:rPr>
                <w:color w:val="000000"/>
                <w:sz w:val="20"/>
                <w:szCs w:val="20"/>
              </w:rPr>
              <w:t>01</w:t>
            </w:r>
            <w:r>
              <w:rPr>
                <w:color w:val="000000"/>
                <w:sz w:val="20"/>
                <w:szCs w:val="20"/>
              </w:rPr>
              <w:t xml:space="preserve"> </w:t>
            </w:r>
            <w:r w:rsidRPr="00A93804">
              <w:rPr>
                <w:color w:val="000000"/>
                <w:sz w:val="20"/>
                <w:szCs w:val="20"/>
              </w:rPr>
              <w:t>Velké Meziříčí</w:t>
            </w:r>
          </w:p>
        </w:tc>
      </w:tr>
      <w:tr w:rsidR="00CD1E92" w:rsidRPr="00A93804">
        <w:trPr>
          <w:gridBefore w:val="1"/>
          <w:wBefore w:w="567" w:type="dxa"/>
          <w:cantSplit/>
        </w:trPr>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Zastoupená:</w:t>
            </w:r>
          </w:p>
        </w:tc>
        <w:tc>
          <w:tcPr>
            <w:tcW w:w="4678" w:type="dxa"/>
            <w:vAlign w:val="center"/>
          </w:tcPr>
          <w:p w:rsidR="00CD1E92" w:rsidRPr="00A93804" w:rsidRDefault="00CD1E92">
            <w:pPr>
              <w:pStyle w:val="ANormln"/>
              <w:spacing w:before="60" w:after="60"/>
              <w:ind w:firstLine="0"/>
              <w:jc w:val="left"/>
              <w:rPr>
                <w:color w:val="000000"/>
                <w:sz w:val="20"/>
                <w:szCs w:val="20"/>
              </w:rPr>
            </w:pPr>
            <w:r w:rsidRPr="00A93804">
              <w:rPr>
                <w:color w:val="000000"/>
                <w:sz w:val="20"/>
                <w:szCs w:val="20"/>
              </w:rPr>
              <w:t xml:space="preserve">Ing. Jiří Žák, jednatel </w:t>
            </w:r>
          </w:p>
        </w:tc>
        <w:tc>
          <w:tcPr>
            <w:tcW w:w="1525" w:type="dxa"/>
            <w:vAlign w:val="center"/>
          </w:tcPr>
          <w:p w:rsidR="00CD1E92" w:rsidRPr="00A93804" w:rsidRDefault="00CD1E92" w:rsidP="001B7D53">
            <w:pPr>
              <w:pStyle w:val="ANormln"/>
              <w:spacing w:before="60" w:after="60"/>
              <w:ind w:firstLine="0"/>
              <w:jc w:val="left"/>
              <w:rPr>
                <w:color w:val="000000"/>
                <w:sz w:val="20"/>
                <w:szCs w:val="20"/>
              </w:rPr>
            </w:pPr>
          </w:p>
        </w:tc>
      </w:tr>
      <w:tr w:rsidR="00CD1E92" w:rsidRPr="00A93804">
        <w:trPr>
          <w:gridBefore w:val="1"/>
          <w:wBefore w:w="567" w:type="dxa"/>
        </w:trPr>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IČ:</w:t>
            </w:r>
          </w:p>
        </w:tc>
        <w:tc>
          <w:tcPr>
            <w:tcW w:w="6203" w:type="dxa"/>
            <w:gridSpan w:val="2"/>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269 33 179</w:t>
            </w:r>
          </w:p>
        </w:tc>
      </w:tr>
      <w:tr w:rsidR="00CD1E92" w:rsidRPr="00A93804">
        <w:trPr>
          <w:gridBefore w:val="1"/>
          <w:wBefore w:w="567" w:type="dxa"/>
        </w:trPr>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DIČ:</w:t>
            </w:r>
          </w:p>
        </w:tc>
        <w:tc>
          <w:tcPr>
            <w:tcW w:w="6203" w:type="dxa"/>
            <w:gridSpan w:val="2"/>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CZ26933179</w:t>
            </w:r>
          </w:p>
        </w:tc>
      </w:tr>
      <w:tr w:rsidR="00CD1E92" w:rsidRPr="00A93804">
        <w:trPr>
          <w:gridBefore w:val="1"/>
          <w:wBefore w:w="567" w:type="dxa"/>
        </w:trPr>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Zápis</w:t>
            </w:r>
            <w:r>
              <w:rPr>
                <w:color w:val="000000"/>
                <w:sz w:val="20"/>
                <w:szCs w:val="20"/>
              </w:rPr>
              <w:t xml:space="preserve"> v </w:t>
            </w:r>
            <w:r w:rsidRPr="00A93804">
              <w:rPr>
                <w:color w:val="000000"/>
                <w:sz w:val="20"/>
                <w:szCs w:val="20"/>
              </w:rPr>
              <w:t>obchodním</w:t>
            </w:r>
          </w:p>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rejstříku:</w:t>
            </w:r>
          </w:p>
        </w:tc>
        <w:tc>
          <w:tcPr>
            <w:tcW w:w="6203" w:type="dxa"/>
            <w:gridSpan w:val="2"/>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Krajský soud</w:t>
            </w:r>
            <w:r>
              <w:rPr>
                <w:color w:val="000000"/>
                <w:sz w:val="20"/>
                <w:szCs w:val="20"/>
              </w:rPr>
              <w:t xml:space="preserve"> v </w:t>
            </w:r>
            <w:r w:rsidRPr="00A93804">
              <w:rPr>
                <w:color w:val="000000"/>
                <w:sz w:val="20"/>
                <w:szCs w:val="20"/>
              </w:rPr>
              <w:t>Brně,</w:t>
            </w:r>
          </w:p>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oddíl C, vložka 46452</w:t>
            </w:r>
          </w:p>
        </w:tc>
      </w:tr>
      <w:tr w:rsidR="00CD1E92" w:rsidRPr="00A93804">
        <w:trPr>
          <w:gridBefore w:val="1"/>
          <w:wBefore w:w="567" w:type="dxa"/>
        </w:trPr>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Bankovní spojení:</w:t>
            </w:r>
          </w:p>
        </w:tc>
        <w:tc>
          <w:tcPr>
            <w:tcW w:w="6203" w:type="dxa"/>
            <w:gridSpan w:val="2"/>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Komerční banka, a.s.</w:t>
            </w:r>
          </w:p>
        </w:tc>
      </w:tr>
      <w:tr w:rsidR="00CD1E92" w:rsidRPr="00A93804">
        <w:trPr>
          <w:gridBefore w:val="1"/>
          <w:wBefore w:w="567" w:type="dxa"/>
        </w:trPr>
        <w:tc>
          <w:tcPr>
            <w:tcW w:w="2410" w:type="dxa"/>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Číslo účtu:</w:t>
            </w:r>
          </w:p>
        </w:tc>
        <w:tc>
          <w:tcPr>
            <w:tcW w:w="6203" w:type="dxa"/>
            <w:gridSpan w:val="2"/>
            <w:vAlign w:val="center"/>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78-7946490217/0100</w:t>
            </w:r>
          </w:p>
        </w:tc>
      </w:tr>
      <w:tr w:rsidR="00CD1E92" w:rsidRPr="00A93804">
        <w:trPr>
          <w:gridBefore w:val="1"/>
          <w:wBefore w:w="567" w:type="dxa"/>
        </w:trPr>
        <w:tc>
          <w:tcPr>
            <w:tcW w:w="2410" w:type="dxa"/>
          </w:tcPr>
          <w:p w:rsidR="00CD1E92" w:rsidRPr="00A93804" w:rsidRDefault="00CD1E92" w:rsidP="001B7D53">
            <w:pPr>
              <w:pStyle w:val="ANormln"/>
              <w:spacing w:before="60" w:after="60"/>
              <w:ind w:firstLine="0"/>
              <w:jc w:val="left"/>
              <w:rPr>
                <w:color w:val="000000"/>
                <w:sz w:val="20"/>
                <w:szCs w:val="20"/>
              </w:rPr>
            </w:pPr>
            <w:r w:rsidRPr="00A93804">
              <w:rPr>
                <w:color w:val="000000"/>
                <w:sz w:val="20"/>
                <w:szCs w:val="20"/>
              </w:rPr>
              <w:t>(dále jen „</w:t>
            </w:r>
            <w:r w:rsidRPr="00A93804">
              <w:rPr>
                <w:b/>
                <w:bCs/>
                <w:color w:val="000000"/>
                <w:sz w:val="20"/>
                <w:szCs w:val="20"/>
              </w:rPr>
              <w:t>Zhotovitel</w:t>
            </w:r>
            <w:r w:rsidRPr="00A93804">
              <w:rPr>
                <w:color w:val="000000"/>
                <w:sz w:val="20"/>
                <w:szCs w:val="20"/>
              </w:rPr>
              <w:t>“)</w:t>
            </w:r>
          </w:p>
        </w:tc>
        <w:tc>
          <w:tcPr>
            <w:tcW w:w="6203" w:type="dxa"/>
            <w:gridSpan w:val="2"/>
          </w:tcPr>
          <w:p w:rsidR="00CD1E92" w:rsidRPr="00A93804" w:rsidRDefault="00CD1E92" w:rsidP="001B7D53">
            <w:pPr>
              <w:pStyle w:val="ANormln"/>
              <w:spacing w:before="60" w:after="60"/>
              <w:ind w:firstLine="0"/>
              <w:jc w:val="left"/>
              <w:rPr>
                <w:color w:val="000000"/>
                <w:sz w:val="20"/>
                <w:szCs w:val="20"/>
              </w:rPr>
            </w:pPr>
          </w:p>
        </w:tc>
      </w:tr>
    </w:tbl>
    <w:p w:rsidR="00CD1E92" w:rsidRPr="001D79CD" w:rsidRDefault="00CD1E92" w:rsidP="00FD1CEC">
      <w:pPr>
        <w:pStyle w:val="ANormln"/>
        <w:jc w:val="left"/>
        <w:rPr>
          <w:sz w:val="20"/>
          <w:szCs w:val="20"/>
        </w:rPr>
      </w:pPr>
      <w:r w:rsidRPr="001D79CD">
        <w:rPr>
          <w:sz w:val="20"/>
          <w:szCs w:val="20"/>
        </w:rPr>
        <w:t>na straně druhé</w:t>
      </w:r>
    </w:p>
    <w:p w:rsidR="00CD1E92" w:rsidRPr="001D79CD" w:rsidRDefault="00CD1E92" w:rsidP="00FD1CEC">
      <w:pPr>
        <w:pStyle w:val="ANormln"/>
        <w:ind w:firstLine="0"/>
      </w:pPr>
    </w:p>
    <w:p w:rsidR="00CD1E92" w:rsidRPr="001D79CD" w:rsidRDefault="00CD1E92" w:rsidP="00FD1CEC">
      <w:pPr>
        <w:pStyle w:val="ANormln"/>
        <w:ind w:firstLine="0"/>
      </w:pPr>
    </w:p>
    <w:p w:rsidR="00CD1E92" w:rsidRPr="00A93804" w:rsidRDefault="00CD1E92" w:rsidP="00FD1CEC">
      <w:pPr>
        <w:pStyle w:val="ANormln"/>
        <w:ind w:firstLine="0"/>
        <w:rPr>
          <w:sz w:val="20"/>
          <w:szCs w:val="20"/>
        </w:rPr>
      </w:pPr>
      <w:r w:rsidRPr="00A93804">
        <w:rPr>
          <w:sz w:val="20"/>
          <w:szCs w:val="20"/>
        </w:rPr>
        <w:t>uzavírají podle § 2586</w:t>
      </w:r>
      <w:r>
        <w:rPr>
          <w:sz w:val="20"/>
          <w:szCs w:val="20"/>
        </w:rPr>
        <w:t xml:space="preserve"> a </w:t>
      </w:r>
      <w:r w:rsidRPr="00A93804">
        <w:rPr>
          <w:sz w:val="20"/>
          <w:szCs w:val="20"/>
        </w:rPr>
        <w:t>násl.</w:t>
      </w:r>
      <w:r w:rsidRPr="00A93804">
        <w:rPr>
          <w:b/>
          <w:bCs/>
          <w:sz w:val="20"/>
          <w:szCs w:val="20"/>
        </w:rPr>
        <w:t xml:space="preserve"> </w:t>
      </w:r>
      <w:r w:rsidRPr="00A93804">
        <w:rPr>
          <w:sz w:val="20"/>
          <w:szCs w:val="20"/>
        </w:rPr>
        <w:t>zákona č. 89/2012 Sb., občanský zákoník</w:t>
      </w:r>
      <w:r>
        <w:rPr>
          <w:sz w:val="20"/>
          <w:szCs w:val="20"/>
        </w:rPr>
        <w:t>, ve znění pozdějších předpisů</w:t>
      </w:r>
      <w:r w:rsidRPr="00A93804">
        <w:rPr>
          <w:sz w:val="20"/>
          <w:szCs w:val="20"/>
        </w:rPr>
        <w:t xml:space="preserve"> (dále jen „OZ") tuto smlouvu</w:t>
      </w:r>
      <w:r>
        <w:rPr>
          <w:sz w:val="20"/>
          <w:szCs w:val="20"/>
        </w:rPr>
        <w:t xml:space="preserve"> o </w:t>
      </w:r>
      <w:r w:rsidRPr="00A93804">
        <w:rPr>
          <w:sz w:val="20"/>
          <w:szCs w:val="20"/>
        </w:rPr>
        <w:t>dílo (dále jen „smlouva“).</w:t>
      </w:r>
    </w:p>
    <w:p w:rsidR="00CD1E92" w:rsidRPr="00A93804" w:rsidRDefault="00CD1E92" w:rsidP="00FD1CEC">
      <w:pPr>
        <w:jc w:val="both"/>
        <w:rPr>
          <w:rFonts w:ascii="Arial" w:hAnsi="Arial" w:cs="Arial"/>
          <w:sz w:val="20"/>
          <w:szCs w:val="20"/>
        </w:rPr>
      </w:pPr>
    </w:p>
    <w:p w:rsidR="00CD1E92" w:rsidRPr="00A93804" w:rsidRDefault="00CD1E92">
      <w:pPr>
        <w:rPr>
          <w:rFonts w:ascii="Arial" w:hAnsi="Arial" w:cs="Arial"/>
          <w:sz w:val="20"/>
          <w:szCs w:val="20"/>
        </w:rPr>
      </w:pPr>
    </w:p>
    <w:p w:rsidR="00CD1E92" w:rsidRPr="00A93804" w:rsidRDefault="00CD1E92">
      <w:pPr>
        <w:rPr>
          <w:rFonts w:ascii="Arial" w:hAnsi="Arial" w:cs="Arial"/>
          <w:sz w:val="20"/>
          <w:szCs w:val="20"/>
        </w:rPr>
      </w:pPr>
    </w:p>
    <w:p w:rsidR="00CD1E92" w:rsidRPr="00A93804" w:rsidRDefault="00CD1E92">
      <w:pPr>
        <w:rPr>
          <w:rFonts w:ascii="Arial" w:hAnsi="Arial" w:cs="Arial"/>
          <w:sz w:val="20"/>
          <w:szCs w:val="20"/>
        </w:rPr>
      </w:pPr>
    </w:p>
    <w:p w:rsidR="00CD1E92" w:rsidRPr="00A93804" w:rsidRDefault="00CD1E92">
      <w:pPr>
        <w:rPr>
          <w:rFonts w:ascii="Arial" w:hAnsi="Arial" w:cs="Arial"/>
          <w:sz w:val="20"/>
          <w:szCs w:val="20"/>
        </w:rPr>
      </w:pPr>
    </w:p>
    <w:p w:rsidR="00CD1E92" w:rsidRPr="00A93804" w:rsidRDefault="00CD1E92">
      <w:pPr>
        <w:rPr>
          <w:rFonts w:ascii="Arial" w:hAnsi="Arial" w:cs="Arial"/>
          <w:sz w:val="20"/>
          <w:szCs w:val="20"/>
        </w:rPr>
      </w:pPr>
    </w:p>
    <w:p w:rsidR="00CD1E92" w:rsidRPr="00A93804" w:rsidRDefault="00CD1E92">
      <w:pPr>
        <w:rPr>
          <w:rFonts w:ascii="Arial" w:hAnsi="Arial" w:cs="Arial"/>
          <w:sz w:val="20"/>
          <w:szCs w:val="20"/>
        </w:rPr>
      </w:pPr>
    </w:p>
    <w:p w:rsidR="00CD1E92" w:rsidRPr="001D79CD" w:rsidRDefault="00CD1E92" w:rsidP="001D79CD">
      <w:pPr>
        <w:pStyle w:val="Footer"/>
        <w:jc w:val="center"/>
        <w:rPr>
          <w:rFonts w:ascii="Arial" w:hAnsi="Arial" w:cs="Arial"/>
          <w:sz w:val="20"/>
          <w:szCs w:val="20"/>
        </w:rPr>
      </w:pPr>
      <w:r w:rsidRPr="001D79CD">
        <w:rPr>
          <w:rFonts w:ascii="Arial" w:hAnsi="Arial" w:cs="Arial"/>
          <w:sz w:val="20"/>
          <w:szCs w:val="20"/>
        </w:rPr>
        <w:t>Tento projekt je spolufinancován</w:t>
      </w:r>
      <w:r>
        <w:rPr>
          <w:rFonts w:ascii="Arial" w:hAnsi="Arial" w:cs="Arial"/>
          <w:sz w:val="20"/>
          <w:szCs w:val="20"/>
        </w:rPr>
        <w:t xml:space="preserve"> z </w:t>
      </w:r>
      <w:r w:rsidRPr="001D79CD">
        <w:rPr>
          <w:rFonts w:ascii="Arial" w:hAnsi="Arial" w:cs="Arial"/>
          <w:sz w:val="20"/>
          <w:szCs w:val="20"/>
        </w:rPr>
        <w:t>prostředků Evropské unie, Evropského fondu pro regionální rozvoj</w:t>
      </w:r>
      <w:r>
        <w:rPr>
          <w:rFonts w:ascii="Arial" w:hAnsi="Arial" w:cs="Arial"/>
          <w:sz w:val="20"/>
          <w:szCs w:val="20"/>
        </w:rPr>
        <w:t>.</w:t>
      </w:r>
    </w:p>
    <w:p w:rsidR="00CD1E92" w:rsidRPr="00A93804" w:rsidRDefault="00CD1E92">
      <w:pPr>
        <w:rPr>
          <w:rFonts w:ascii="Arial" w:hAnsi="Arial" w:cs="Arial"/>
          <w:sz w:val="20"/>
          <w:szCs w:val="20"/>
        </w:rPr>
      </w:pPr>
      <w:r w:rsidRPr="00A93804">
        <w:rPr>
          <w:rFonts w:ascii="Arial" w:hAnsi="Arial" w:cs="Arial"/>
          <w:sz w:val="20"/>
          <w:szCs w:val="20"/>
        </w:rPr>
        <w:br w:type="page"/>
      </w:r>
    </w:p>
    <w:p w:rsidR="00CD1E92" w:rsidRPr="00A93804" w:rsidRDefault="00CD1E92" w:rsidP="00A93804">
      <w:pPr>
        <w:pStyle w:val="SmlNadpis1"/>
        <w:numPr>
          <w:ilvl w:val="0"/>
          <w:numId w:val="6"/>
        </w:numPr>
        <w:ind w:left="0" w:firstLine="0"/>
      </w:pPr>
      <w:bookmarkStart w:id="0" w:name="_Ref274680318"/>
      <w:r w:rsidRPr="00A93804">
        <w:t>Předmět smlouvy</w:t>
      </w:r>
      <w:bookmarkEnd w:id="0"/>
    </w:p>
    <w:p w:rsidR="00CD1E92" w:rsidRPr="001D79CD" w:rsidRDefault="00CD1E92" w:rsidP="009D1639">
      <w:pPr>
        <w:pStyle w:val="SmlNadpis2"/>
        <w:numPr>
          <w:ilvl w:val="1"/>
          <w:numId w:val="6"/>
        </w:numPr>
        <w:ind w:left="709" w:hanging="709"/>
      </w:pPr>
      <w:r w:rsidRPr="001D79CD">
        <w:t xml:space="preserve">Zhotovitel se zavazuje provést dílo – dodávku dokumentu </w:t>
      </w:r>
      <w:r>
        <w:t>„S</w:t>
      </w:r>
      <w:r w:rsidRPr="001D79CD">
        <w:t>tudie proveditelnosti</w:t>
      </w:r>
      <w:r>
        <w:t>“</w:t>
      </w:r>
      <w:r w:rsidRPr="001D79CD">
        <w:t xml:space="preserve"> </w:t>
      </w:r>
      <w:r>
        <w:t>pro projekt „S</w:t>
      </w:r>
      <w:r w:rsidRPr="00BD32B8">
        <w:t>pecifické informační</w:t>
      </w:r>
      <w:r>
        <w:t xml:space="preserve"> a </w:t>
      </w:r>
      <w:r w:rsidRPr="00BD32B8">
        <w:t>komunikační systémy</w:t>
      </w:r>
      <w:r>
        <w:t xml:space="preserve"> Statutárního města Teplice</w:t>
      </w:r>
      <w:r w:rsidRPr="001D79CD">
        <w:t>" (dále jen dílo).</w:t>
      </w:r>
    </w:p>
    <w:p w:rsidR="00CD1E92" w:rsidRPr="001D79CD" w:rsidRDefault="00CD1E92" w:rsidP="009D1639">
      <w:pPr>
        <w:pStyle w:val="SmlNadpis2"/>
        <w:numPr>
          <w:ilvl w:val="1"/>
          <w:numId w:val="6"/>
        </w:numPr>
        <w:ind w:left="709" w:hanging="709"/>
      </w:pPr>
      <w:r w:rsidRPr="007B7040">
        <w:t>Dílo m</w:t>
      </w:r>
      <w:r>
        <w:t xml:space="preserve">usí být vypracováno zejména dle </w:t>
      </w:r>
      <w:r w:rsidRPr="007B7040">
        <w:t>„Osnovy studie proveditelnosti“ v souladu s „Výzvou“ a  „Specifickými  pravidly pro žadatele a příjemce“ a s dalšími platnými dokumenty uveřejněnými ve  výzvě  IROP č. 28. Zhotovitel při zpracování rovněž zohlední „hodnotící kritéria“, vztažená k výzvě  IROP č. 28.</w:t>
      </w:r>
    </w:p>
    <w:p w:rsidR="00CD1E92" w:rsidRPr="001D79CD" w:rsidRDefault="00CD1E92" w:rsidP="009D1639">
      <w:pPr>
        <w:pStyle w:val="SmlNadpis2"/>
        <w:numPr>
          <w:ilvl w:val="1"/>
          <w:numId w:val="6"/>
        </w:numPr>
        <w:ind w:left="709" w:hanging="709"/>
      </w:pPr>
      <w:r w:rsidRPr="007B7040">
        <w:t>Dílo bu</w:t>
      </w:r>
      <w:r>
        <w:t xml:space="preserve">de předáno v listinné podobě ve </w:t>
      </w:r>
      <w:r w:rsidRPr="007B7040">
        <w:t>dvou vyhotoveních a v elektronické formě na CD. Pokud bude některá příloha díla příliš rozsáhlá, bude předána jen na CD</w:t>
      </w:r>
      <w:r>
        <w:t>.</w:t>
      </w:r>
    </w:p>
    <w:p w:rsidR="00CD1E92" w:rsidRPr="001D79CD" w:rsidRDefault="00CD1E92" w:rsidP="00FD1CEC">
      <w:pPr>
        <w:pStyle w:val="SmlNadpis1"/>
        <w:numPr>
          <w:ilvl w:val="0"/>
          <w:numId w:val="6"/>
        </w:numPr>
        <w:tabs>
          <w:tab w:val="num" w:pos="567"/>
        </w:tabs>
        <w:ind w:left="0" w:firstLine="0"/>
      </w:pPr>
      <w:r w:rsidRPr="001D79CD">
        <w:t>Plnění předmětu smlouvy</w:t>
      </w:r>
    </w:p>
    <w:p w:rsidR="00CD1E92" w:rsidRPr="001D79CD" w:rsidRDefault="00CD1E92" w:rsidP="009D1639">
      <w:pPr>
        <w:pStyle w:val="SmlNadpis2"/>
        <w:numPr>
          <w:ilvl w:val="1"/>
          <w:numId w:val="6"/>
        </w:numPr>
        <w:ind w:left="709" w:hanging="709"/>
      </w:pPr>
      <w:bookmarkStart w:id="1" w:name="_Ref267249399"/>
      <w:r w:rsidRPr="001D79CD">
        <w:t xml:space="preserve">Termín zahájení plnění dle této smlouvy je den následující po dni po podpisu </w:t>
      </w:r>
      <w:r>
        <w:t xml:space="preserve">této </w:t>
      </w:r>
      <w:r w:rsidRPr="001D79CD">
        <w:t>smlouvy oběma smluvními stranami.</w:t>
      </w:r>
    </w:p>
    <w:p w:rsidR="00CD1E92" w:rsidRPr="00DD5F55" w:rsidRDefault="00CD1E92" w:rsidP="009D1639">
      <w:pPr>
        <w:pStyle w:val="SmlNadpis2"/>
        <w:numPr>
          <w:ilvl w:val="1"/>
          <w:numId w:val="6"/>
        </w:numPr>
        <w:ind w:left="709" w:hanging="709"/>
      </w:pPr>
      <w:bookmarkStart w:id="2" w:name="_Ref480294623"/>
      <w:bookmarkEnd w:id="1"/>
      <w:r w:rsidRPr="00DD5F55">
        <w:t xml:space="preserve">Termín ukončení plnění díla je: do </w:t>
      </w:r>
      <w:r>
        <w:rPr>
          <w:b/>
          <w:bCs/>
        </w:rPr>
        <w:t>60</w:t>
      </w:r>
      <w:r w:rsidRPr="00DD5F55">
        <w:rPr>
          <w:b/>
          <w:bCs/>
        </w:rPr>
        <w:t xml:space="preserve"> </w:t>
      </w:r>
      <w:r w:rsidRPr="00CE46FE">
        <w:rPr>
          <w:b/>
          <w:bCs/>
        </w:rPr>
        <w:t>pracovních dnů</w:t>
      </w:r>
      <w:r>
        <w:t xml:space="preserve"> od podpisu této smlouvy.</w:t>
      </w:r>
      <w:bookmarkEnd w:id="2"/>
    </w:p>
    <w:p w:rsidR="00CD1E92" w:rsidRPr="001D79CD" w:rsidRDefault="00CD1E92" w:rsidP="009D1639">
      <w:pPr>
        <w:pStyle w:val="SmlNadpis2"/>
        <w:numPr>
          <w:ilvl w:val="1"/>
          <w:numId w:val="6"/>
        </w:numPr>
        <w:ind w:left="709" w:hanging="709"/>
      </w:pPr>
      <w:r w:rsidRPr="001D79CD">
        <w:t>Termín</w:t>
      </w:r>
      <w:r>
        <w:t xml:space="preserve"> k </w:t>
      </w:r>
      <w:r w:rsidRPr="001D79CD">
        <w:t>plnění se pro Zhotovitele přiměřeně prodlužují</w:t>
      </w:r>
      <w:r>
        <w:t xml:space="preserve"> u </w:t>
      </w:r>
      <w:r w:rsidRPr="001D79CD">
        <w:t>závad, způsobených vyšší mocí</w:t>
      </w:r>
      <w:r>
        <w:t xml:space="preserve"> a </w:t>
      </w:r>
      <w:r w:rsidRPr="001D79CD">
        <w:t>jinými překážkami, za které Zhotovitel neodpovídá, pokud tyto překážky, jako např. závady při vlastních dodávkách, stávky, výluky, přerušení provozu, nezajištění součinnosti Objednatele, nebo nezajištění součinnosti třetích stran Objednatele apod. mají podstatný vliv na plnění Zhotovitele.</w:t>
      </w:r>
      <w:r>
        <w:t xml:space="preserve"> O </w:t>
      </w:r>
      <w:r w:rsidRPr="001D79CD">
        <w:t>prodloužení lhůt plnění musí být mezi Zhotovitelem</w:t>
      </w:r>
      <w:r>
        <w:t xml:space="preserve"> a </w:t>
      </w:r>
      <w:r w:rsidRPr="001D79CD">
        <w:t>Objednatelem sepsán písemný záznam.</w:t>
      </w:r>
    </w:p>
    <w:p w:rsidR="00CD1E92" w:rsidRPr="001D79CD" w:rsidRDefault="00CD1E92" w:rsidP="009D1639">
      <w:pPr>
        <w:pStyle w:val="SmlNadpis2"/>
        <w:numPr>
          <w:ilvl w:val="1"/>
          <w:numId w:val="6"/>
        </w:numPr>
        <w:ind w:left="709" w:hanging="709"/>
      </w:pPr>
      <w:r w:rsidRPr="001D79CD">
        <w:t>Místem plnění předmětu Smlouvy je sídlo Zhotovitele, hotové dílo bude ve formě uvedené</w:t>
      </w:r>
      <w:r>
        <w:t xml:space="preserve"> v </w:t>
      </w:r>
      <w:r w:rsidRPr="001D79CD">
        <w:t xml:space="preserve">čl. </w:t>
      </w:r>
      <w:fldSimple w:instr=" REF _Ref381978878 \r \h  \* MERGEFORMAT ">
        <w:r>
          <w:rPr>
            <w:b/>
            <w:bCs/>
          </w:rPr>
          <w:t>Chyba! Nenalezen zdroj odkazů.</w:t>
        </w:r>
      </w:fldSimple>
      <w:r w:rsidRPr="001D79CD">
        <w:t xml:space="preserve"> této smlouvy předáno</w:t>
      </w:r>
      <w:r>
        <w:t xml:space="preserve"> v </w:t>
      </w:r>
      <w:r w:rsidRPr="001D79CD">
        <w:t>sídle Objednatele.</w:t>
      </w:r>
    </w:p>
    <w:p w:rsidR="00CD1E92" w:rsidRPr="001D79CD" w:rsidRDefault="00CD1E92" w:rsidP="009D1639">
      <w:pPr>
        <w:pStyle w:val="SmlNadpis2"/>
        <w:numPr>
          <w:ilvl w:val="1"/>
          <w:numId w:val="6"/>
        </w:numPr>
        <w:ind w:left="709" w:hanging="709"/>
      </w:pPr>
      <w:r w:rsidRPr="001D79CD">
        <w:t>Dnem předání díla přechází na Objednatele vlastnické právo</w:t>
      </w:r>
      <w:r>
        <w:t xml:space="preserve"> k </w:t>
      </w:r>
      <w:r w:rsidRPr="001D79CD">
        <w:t>dílu</w:t>
      </w:r>
      <w:r>
        <w:t xml:space="preserve"> a </w:t>
      </w:r>
      <w:r w:rsidRPr="001D79CD">
        <w:t>právo dílo užít.</w:t>
      </w:r>
    </w:p>
    <w:p w:rsidR="00CD1E92" w:rsidRPr="001D79CD" w:rsidRDefault="00CD1E92" w:rsidP="00FD1CEC">
      <w:pPr>
        <w:pStyle w:val="SmlNadpis1"/>
        <w:numPr>
          <w:ilvl w:val="0"/>
          <w:numId w:val="6"/>
        </w:numPr>
        <w:tabs>
          <w:tab w:val="num" w:pos="567"/>
        </w:tabs>
        <w:ind w:left="0" w:firstLine="0"/>
      </w:pPr>
      <w:bookmarkStart w:id="3" w:name="_Ref380505400"/>
      <w:r w:rsidRPr="001D79CD">
        <w:t>Cena</w:t>
      </w:r>
      <w:r>
        <w:t xml:space="preserve"> a </w:t>
      </w:r>
      <w:r w:rsidRPr="001D79CD">
        <w:t>platební podmínky</w:t>
      </w:r>
      <w:bookmarkEnd w:id="3"/>
    </w:p>
    <w:p w:rsidR="00CD1E92" w:rsidRPr="001D79CD" w:rsidRDefault="00CD1E92" w:rsidP="009D1639">
      <w:pPr>
        <w:pStyle w:val="SmlNadpis2"/>
        <w:numPr>
          <w:ilvl w:val="1"/>
          <w:numId w:val="6"/>
        </w:numPr>
        <w:ind w:left="709" w:hanging="709"/>
      </w:pPr>
      <w:r w:rsidRPr="001D79CD">
        <w:t xml:space="preserve">Cena za </w:t>
      </w:r>
      <w:r>
        <w:t xml:space="preserve">dílo </w:t>
      </w:r>
      <w:r w:rsidRPr="001D79CD">
        <w:t>je</w:t>
      </w:r>
      <w:r>
        <w:t xml:space="preserve"> </w:t>
      </w:r>
      <w:r w:rsidRPr="00CE46FE">
        <w:rPr>
          <w:b/>
          <w:bCs/>
        </w:rPr>
        <w:t>9</w:t>
      </w:r>
      <w:r>
        <w:rPr>
          <w:b/>
          <w:bCs/>
        </w:rPr>
        <w:t>5.</w:t>
      </w:r>
      <w:r w:rsidRPr="00CE46FE">
        <w:rPr>
          <w:b/>
          <w:bCs/>
        </w:rPr>
        <w:t>000</w:t>
      </w:r>
      <w:r w:rsidRPr="001D79CD">
        <w:t>,- Kč bez DPH</w:t>
      </w:r>
      <w:r w:rsidRPr="001D79CD">
        <w:rPr>
          <w:b/>
          <w:bCs/>
        </w:rPr>
        <w:t xml:space="preserve"> </w:t>
      </w:r>
      <w:r w:rsidRPr="001D79CD">
        <w:t xml:space="preserve">(slovy: </w:t>
      </w:r>
      <w:r>
        <w:t>devadesátpět</w:t>
      </w:r>
      <w:r w:rsidRPr="001D79CD">
        <w:t xml:space="preserve">tisíc Kč). </w:t>
      </w:r>
    </w:p>
    <w:p w:rsidR="00CD1E92" w:rsidRPr="001D79CD" w:rsidRDefault="00CD1E92" w:rsidP="009D1639">
      <w:pPr>
        <w:pStyle w:val="SmlNadpis2"/>
        <w:numPr>
          <w:ilvl w:val="1"/>
          <w:numId w:val="6"/>
        </w:numPr>
        <w:ind w:left="709" w:hanging="709"/>
      </w:pPr>
      <w:r w:rsidRPr="001D79CD">
        <w:t>Sazba DPH je 21%. DPH činí</w:t>
      </w:r>
      <w:r>
        <w:t xml:space="preserve"> </w:t>
      </w:r>
      <w:r w:rsidRPr="00CE46FE">
        <w:t xml:space="preserve"> </w:t>
      </w:r>
      <w:r w:rsidRPr="005B480E">
        <w:t xml:space="preserve"> 19</w:t>
      </w:r>
      <w:r>
        <w:t>.</w:t>
      </w:r>
      <w:r w:rsidRPr="005B480E">
        <w:t>950</w:t>
      </w:r>
      <w:r w:rsidRPr="001D79CD">
        <w:t>,- Kč.</w:t>
      </w:r>
    </w:p>
    <w:p w:rsidR="00CD1E92" w:rsidRPr="001D79CD" w:rsidRDefault="00CD1E92" w:rsidP="009D1639">
      <w:pPr>
        <w:pStyle w:val="SmlNadpis2"/>
        <w:numPr>
          <w:ilvl w:val="1"/>
          <w:numId w:val="6"/>
        </w:numPr>
        <w:ind w:left="709" w:hanging="709"/>
      </w:pPr>
      <w:r w:rsidRPr="001D79CD">
        <w:t>Cena</w:t>
      </w:r>
      <w:r>
        <w:t xml:space="preserve"> s </w:t>
      </w:r>
      <w:r w:rsidRPr="001D79CD">
        <w:t>DPH je</w:t>
      </w:r>
      <w:r>
        <w:t xml:space="preserve"> </w:t>
      </w:r>
      <w:r w:rsidRPr="00CE46FE">
        <w:t xml:space="preserve"> </w:t>
      </w:r>
      <w:r w:rsidRPr="005B480E">
        <w:t xml:space="preserve"> 114</w:t>
      </w:r>
      <w:r>
        <w:t>.</w:t>
      </w:r>
      <w:r w:rsidRPr="005B480E">
        <w:t>950</w:t>
      </w:r>
      <w:r w:rsidRPr="001D79CD">
        <w:t>,- Kč.</w:t>
      </w:r>
    </w:p>
    <w:p w:rsidR="00CD1E92" w:rsidRPr="001D79CD" w:rsidRDefault="00CD1E92" w:rsidP="009D1639">
      <w:pPr>
        <w:pStyle w:val="SmlNadpis2"/>
        <w:numPr>
          <w:ilvl w:val="1"/>
          <w:numId w:val="6"/>
        </w:numPr>
        <w:ind w:left="709" w:hanging="709"/>
      </w:pPr>
      <w:r w:rsidRPr="001D79CD">
        <w:t>Sjednaná cena je nejvýše přípustná</w:t>
      </w:r>
      <w:r>
        <w:t xml:space="preserve"> a </w:t>
      </w:r>
      <w:r w:rsidRPr="001D79CD">
        <w:t>zahrnuje veškeré náklady Zhotovitele.</w:t>
      </w:r>
    </w:p>
    <w:p w:rsidR="00CD1E92" w:rsidRPr="001D79CD" w:rsidRDefault="00CD1E92" w:rsidP="009D1639">
      <w:pPr>
        <w:pStyle w:val="SmlNadpis2"/>
        <w:numPr>
          <w:ilvl w:val="1"/>
          <w:numId w:val="6"/>
        </w:numPr>
        <w:ind w:left="709" w:hanging="709"/>
      </w:pPr>
      <w:r w:rsidRPr="001D79CD">
        <w:t>Cena bude fakturována po dokončení</w:t>
      </w:r>
      <w:r>
        <w:t xml:space="preserve"> a </w:t>
      </w:r>
      <w:r w:rsidRPr="001D79CD">
        <w:t>předání díla na základě odsouhlaseného předávacího protokolu odpovědnou osobou Objednatele uvedenou</w:t>
      </w:r>
      <w:r>
        <w:t xml:space="preserve"> v </w:t>
      </w:r>
      <w:r w:rsidRPr="001D79CD">
        <w:t xml:space="preserve">čl. </w:t>
      </w:r>
      <w:fldSimple w:instr=" REF _Ref380509491 \r \h  \* MERGEFORMAT ">
        <w:r>
          <w:t>5.1</w:t>
        </w:r>
      </w:fldSimple>
      <w:r w:rsidRPr="001D79CD">
        <w:t>.</w:t>
      </w:r>
    </w:p>
    <w:p w:rsidR="00CD1E92" w:rsidRPr="001D79CD" w:rsidRDefault="00CD1E92" w:rsidP="009D1639">
      <w:pPr>
        <w:pStyle w:val="SmlNadpis2"/>
        <w:numPr>
          <w:ilvl w:val="1"/>
          <w:numId w:val="6"/>
        </w:numPr>
        <w:ind w:left="709" w:hanging="709"/>
      </w:pPr>
      <w:r w:rsidRPr="001D79CD">
        <w:t>Úhrada sjednané ceny za dílo bude provedena Objednatelem bezhotovostně na základě daňového dokladu (dále jen „faktura“). Fakturu je Zhotovitel povinen vystavit</w:t>
      </w:r>
      <w:r>
        <w:t xml:space="preserve"> a </w:t>
      </w:r>
      <w:r w:rsidRPr="001D79CD">
        <w:t>zaslat Objednateli do 14 dnů po splnění předmětu smlouvy</w:t>
      </w:r>
      <w:r>
        <w:t xml:space="preserve"> a </w:t>
      </w:r>
      <w:r w:rsidRPr="001D79CD">
        <w:t>jeho převzetí Objednatelem. Zhotovitel doloží</w:t>
      </w:r>
      <w:r>
        <w:t xml:space="preserve"> k </w:t>
      </w:r>
      <w:r w:rsidRPr="001D79CD">
        <w:t>faktuře předávací protokol.</w:t>
      </w:r>
    </w:p>
    <w:p w:rsidR="00CD1E92" w:rsidRPr="001D79CD" w:rsidRDefault="00CD1E92" w:rsidP="009D1639">
      <w:pPr>
        <w:pStyle w:val="SmlNadpis2"/>
        <w:numPr>
          <w:ilvl w:val="1"/>
          <w:numId w:val="6"/>
        </w:numPr>
        <w:ind w:left="709" w:hanging="709"/>
      </w:pPr>
      <w:r w:rsidRPr="001D79CD">
        <w:t>Objednatel je oprávněn před uplynutím lhůty splatnosti vrátit fakturu - daňový</w:t>
      </w:r>
      <w:r>
        <w:t xml:space="preserve"> </w:t>
      </w:r>
      <w:r w:rsidRPr="001D79CD">
        <w:t>doklad Zhotoviteli, pokud neobsahuje náležitosti dle zákona č. 235/2004 Sb.,</w:t>
      </w:r>
      <w:r>
        <w:t xml:space="preserve"> o </w:t>
      </w:r>
      <w:r w:rsidRPr="001D79CD">
        <w:t>dani</w:t>
      </w:r>
      <w:r>
        <w:t xml:space="preserve"> z </w:t>
      </w:r>
      <w:r w:rsidRPr="001D79CD">
        <w:t>přidané hodnoty, ve znění pozdějších předpisů, nebo obsahuje nesprávné údaje týkající se fakturované částky. Vrácením faktury přestává běžet lhůta její splatnosti. Opravená faktura bude opatřena novou lhůtou splatnosti dle výše uvedeného způsobu fakturace. Fakturovaná částka je uhrazena dnem připsání dané částky na účet.</w:t>
      </w:r>
    </w:p>
    <w:p w:rsidR="00CD1E92" w:rsidRPr="001D79CD" w:rsidRDefault="00CD1E92" w:rsidP="009D1639">
      <w:pPr>
        <w:pStyle w:val="SmlNadpis2"/>
        <w:numPr>
          <w:ilvl w:val="1"/>
          <w:numId w:val="6"/>
        </w:numPr>
        <w:ind w:left="709" w:hanging="709"/>
      </w:pPr>
      <w:r w:rsidRPr="001D79CD">
        <w:t>Pokud nebude výslovně dohodnuto jinak, je faktura splatná do 21 dní od jejího doručení,</w:t>
      </w:r>
      <w:r>
        <w:t xml:space="preserve"> a </w:t>
      </w:r>
      <w:r w:rsidRPr="001D79CD">
        <w:t>cena</w:t>
      </w:r>
      <w:r>
        <w:t xml:space="preserve"> v </w:t>
      </w:r>
      <w:r w:rsidRPr="001D79CD">
        <w:t>ní uvedená bude hrazena převodem ve prospěch účtu Zhotovitele.</w:t>
      </w:r>
    </w:p>
    <w:p w:rsidR="00CD1E92" w:rsidRPr="001D79CD" w:rsidRDefault="00CD1E92" w:rsidP="00FD1CEC">
      <w:pPr>
        <w:pStyle w:val="SmlNadpis1"/>
        <w:numPr>
          <w:ilvl w:val="0"/>
          <w:numId w:val="6"/>
        </w:numPr>
        <w:tabs>
          <w:tab w:val="num" w:pos="567"/>
        </w:tabs>
        <w:ind w:left="0" w:firstLine="0"/>
      </w:pPr>
      <w:bookmarkStart w:id="4" w:name="_Ref79857245"/>
      <w:r w:rsidRPr="001D79CD">
        <w:t>Odpovědné osoby</w:t>
      </w:r>
      <w:bookmarkEnd w:id="4"/>
    </w:p>
    <w:p w:rsidR="00CD1E92" w:rsidRPr="001D79CD" w:rsidRDefault="00CD1E92" w:rsidP="009D1639">
      <w:pPr>
        <w:pStyle w:val="SmlNadpis2"/>
        <w:numPr>
          <w:ilvl w:val="1"/>
          <w:numId w:val="6"/>
        </w:numPr>
        <w:ind w:left="709" w:hanging="709"/>
      </w:pPr>
      <w:bookmarkStart w:id="5" w:name="_Ref380509491"/>
      <w:r w:rsidRPr="001D79CD">
        <w:t>Objednatel</w:t>
      </w:r>
      <w:r>
        <w:t xml:space="preserve"> a </w:t>
      </w:r>
      <w:r w:rsidRPr="001D79CD">
        <w:t>Zhotovitel se dohodli, že:</w:t>
      </w:r>
      <w:bookmarkEnd w:id="5"/>
    </w:p>
    <w:p w:rsidR="00CD1E92" w:rsidRPr="001D79CD" w:rsidRDefault="00CD1E92" w:rsidP="00A93804">
      <w:pPr>
        <w:pStyle w:val="StylSeznamsodrkamiTun"/>
        <w:numPr>
          <w:ilvl w:val="0"/>
          <w:numId w:val="5"/>
        </w:numPr>
        <w:tabs>
          <w:tab w:val="clear" w:pos="360"/>
        </w:tabs>
        <w:ind w:left="1134" w:hanging="426"/>
      </w:pPr>
      <w:r w:rsidRPr="00A93804">
        <w:rPr>
          <w:b w:val="0"/>
          <w:bCs w:val="0"/>
        </w:rPr>
        <w:t>odpovědná osoba Objednatele</w:t>
      </w:r>
      <w:r w:rsidRPr="00EF4881">
        <w:rPr>
          <w:b w:val="0"/>
          <w:bCs w:val="0"/>
        </w:rPr>
        <w:t xml:space="preserve"> je</w:t>
      </w:r>
      <w:r w:rsidRPr="001D79CD">
        <w:t xml:space="preserve"> </w:t>
      </w:r>
      <w:r w:rsidRPr="005B480E">
        <w:t>Ing. Richard Frontz</w:t>
      </w:r>
    </w:p>
    <w:p w:rsidR="00CD1E92" w:rsidRPr="001D79CD" w:rsidRDefault="00CD1E92" w:rsidP="00A93804">
      <w:pPr>
        <w:pStyle w:val="StylSeznamsodrkamiTun"/>
        <w:numPr>
          <w:ilvl w:val="0"/>
          <w:numId w:val="0"/>
        </w:numPr>
        <w:ind w:left="1134"/>
      </w:pPr>
      <w:r w:rsidRPr="00A93804">
        <w:rPr>
          <w:b w:val="0"/>
          <w:bCs w:val="0"/>
        </w:rPr>
        <w:t>Tel.:</w:t>
      </w:r>
      <w:r w:rsidRPr="001D79CD">
        <w:t xml:space="preserve"> </w:t>
      </w:r>
      <w:r w:rsidRPr="005B480E">
        <w:t>417 510 707</w:t>
      </w:r>
      <w:r w:rsidRPr="001D79CD">
        <w:t xml:space="preserve">; </w:t>
      </w:r>
      <w:r w:rsidRPr="00A93804">
        <w:rPr>
          <w:b w:val="0"/>
          <w:bCs w:val="0"/>
        </w:rPr>
        <w:t>e-mail:</w:t>
      </w:r>
      <w:r w:rsidRPr="001D79CD">
        <w:t xml:space="preserve"> </w:t>
      </w:r>
      <w:r w:rsidRPr="005B480E">
        <w:t>frontz@teplice.cz</w:t>
      </w:r>
    </w:p>
    <w:p w:rsidR="00CD1E92" w:rsidRPr="001D79CD" w:rsidRDefault="00CD1E92" w:rsidP="00A93804">
      <w:pPr>
        <w:pStyle w:val="StylSeznamsodrkamiTun"/>
        <w:numPr>
          <w:ilvl w:val="0"/>
          <w:numId w:val="5"/>
        </w:numPr>
        <w:tabs>
          <w:tab w:val="clear" w:pos="360"/>
        </w:tabs>
        <w:ind w:left="1134" w:hanging="426"/>
      </w:pPr>
      <w:r w:rsidRPr="00A93804">
        <w:rPr>
          <w:b w:val="0"/>
          <w:bCs w:val="0"/>
        </w:rPr>
        <w:t xml:space="preserve">odpovědná osoba </w:t>
      </w:r>
      <w:r w:rsidRPr="00EF4881">
        <w:rPr>
          <w:b w:val="0"/>
          <w:bCs w:val="0"/>
        </w:rPr>
        <w:t>Zhotovitele je</w:t>
      </w:r>
      <w:r w:rsidRPr="001D79CD">
        <w:t xml:space="preserve"> Ing. Jiří Žák</w:t>
      </w:r>
    </w:p>
    <w:p w:rsidR="00CD1E92" w:rsidRPr="00A93804" w:rsidRDefault="00CD1E92" w:rsidP="009D1639">
      <w:pPr>
        <w:pStyle w:val="ANormln"/>
        <w:ind w:left="1134" w:hanging="425"/>
        <w:rPr>
          <w:sz w:val="20"/>
          <w:szCs w:val="20"/>
        </w:rPr>
      </w:pPr>
      <w:r>
        <w:rPr>
          <w:sz w:val="20"/>
          <w:szCs w:val="20"/>
        </w:rPr>
        <w:tab/>
      </w:r>
      <w:r w:rsidRPr="00A93804">
        <w:rPr>
          <w:sz w:val="20"/>
          <w:szCs w:val="20"/>
        </w:rPr>
        <w:t>Tel.:</w:t>
      </w:r>
      <w:r w:rsidRPr="00A93804">
        <w:rPr>
          <w:b/>
          <w:bCs/>
          <w:sz w:val="20"/>
          <w:szCs w:val="20"/>
        </w:rPr>
        <w:t xml:space="preserve"> 604 273 438; </w:t>
      </w:r>
      <w:r w:rsidRPr="00A93804">
        <w:rPr>
          <w:sz w:val="20"/>
          <w:szCs w:val="20"/>
        </w:rPr>
        <w:t>e-mail:</w:t>
      </w:r>
      <w:r w:rsidRPr="00A93804">
        <w:rPr>
          <w:b/>
          <w:bCs/>
          <w:sz w:val="20"/>
          <w:szCs w:val="20"/>
        </w:rPr>
        <w:t xml:space="preserve"> </w:t>
      </w:r>
      <w:hyperlink r:id="rId9" w:history="1">
        <w:r w:rsidRPr="00A93804">
          <w:rPr>
            <w:rStyle w:val="Hyperlink"/>
            <w:b/>
            <w:bCs/>
            <w:color w:val="auto"/>
            <w:sz w:val="20"/>
            <w:szCs w:val="20"/>
            <w:u w:val="none"/>
          </w:rPr>
          <w:t>zak@ajl.cz</w:t>
        </w:r>
      </w:hyperlink>
    </w:p>
    <w:p w:rsidR="00CD1E92" w:rsidRPr="001D79CD" w:rsidRDefault="00CD1E92" w:rsidP="00FD1CEC">
      <w:pPr>
        <w:pStyle w:val="SmlNadpis1"/>
        <w:numPr>
          <w:ilvl w:val="0"/>
          <w:numId w:val="6"/>
        </w:numPr>
        <w:tabs>
          <w:tab w:val="num" w:pos="567"/>
        </w:tabs>
        <w:ind w:left="0" w:firstLine="0"/>
      </w:pPr>
      <w:r w:rsidRPr="001D79CD">
        <w:t>Práva</w:t>
      </w:r>
      <w:r>
        <w:t xml:space="preserve"> a </w:t>
      </w:r>
      <w:r w:rsidRPr="001D79CD">
        <w:t>povinnosti objednatele</w:t>
      </w:r>
    </w:p>
    <w:p w:rsidR="00CD1E92" w:rsidRPr="001D79CD" w:rsidRDefault="00CD1E92" w:rsidP="009D1639">
      <w:pPr>
        <w:pStyle w:val="SmlNadpis2"/>
        <w:numPr>
          <w:ilvl w:val="1"/>
          <w:numId w:val="6"/>
        </w:numPr>
        <w:ind w:left="709" w:hanging="709"/>
      </w:pPr>
      <w:bookmarkStart w:id="6" w:name="_Ref274685619"/>
      <w:r w:rsidRPr="001D79CD">
        <w:t xml:space="preserve">Objednatel se zavazuje uhradit za plnění poskytnuté Zhotovitelem cenu dle čl. </w:t>
      </w:r>
      <w:fldSimple w:instr=" REF _Ref380505400 \r \h  \* MERGEFORMAT ">
        <w:r>
          <w:t>4</w:t>
        </w:r>
      </w:fldSimple>
      <w:r w:rsidRPr="001D79CD">
        <w:t>.</w:t>
      </w:r>
    </w:p>
    <w:p w:rsidR="00CD1E92" w:rsidRPr="001D79CD" w:rsidRDefault="00CD1E92" w:rsidP="009D1639">
      <w:pPr>
        <w:pStyle w:val="SmlNadpis2"/>
        <w:numPr>
          <w:ilvl w:val="1"/>
          <w:numId w:val="6"/>
        </w:numPr>
        <w:ind w:left="709" w:hanging="709"/>
      </w:pPr>
      <w:r w:rsidRPr="001D79CD">
        <w:t>Objednatel se zavazuje poskytovat Zhotoviteli úplné, pravdivé</w:t>
      </w:r>
      <w:r>
        <w:t xml:space="preserve"> a </w:t>
      </w:r>
      <w:r w:rsidRPr="001D79CD">
        <w:t>včasné informace potřebné</w:t>
      </w:r>
      <w:r>
        <w:t xml:space="preserve"> k </w:t>
      </w:r>
      <w:r w:rsidRPr="001D79CD">
        <w:t>řádnému plnění závazků Zhotovitele.</w:t>
      </w:r>
    </w:p>
    <w:p w:rsidR="00CD1E92" w:rsidRPr="001D79CD" w:rsidRDefault="00CD1E92" w:rsidP="009D1639">
      <w:pPr>
        <w:pStyle w:val="SmlNadpis2"/>
        <w:numPr>
          <w:ilvl w:val="1"/>
          <w:numId w:val="6"/>
        </w:numPr>
        <w:ind w:left="709" w:hanging="709"/>
      </w:pPr>
      <w:r w:rsidRPr="001D79CD">
        <w:t>Objednatel se zavazuje poskytnout Zhotoviteli potřebnou součinnost.</w:t>
      </w:r>
    </w:p>
    <w:p w:rsidR="00CD1E92" w:rsidRPr="001D79CD" w:rsidRDefault="00CD1E92" w:rsidP="009D1639">
      <w:pPr>
        <w:pStyle w:val="SmlNadpis2"/>
        <w:numPr>
          <w:ilvl w:val="1"/>
          <w:numId w:val="6"/>
        </w:numPr>
        <w:ind w:left="709" w:hanging="709"/>
      </w:pPr>
      <w:r w:rsidRPr="001D79CD">
        <w:t>Objednatel se zavazuje informovat bez zbytečného odkladu Zhotovitele</w:t>
      </w:r>
      <w:r>
        <w:t xml:space="preserve"> o </w:t>
      </w:r>
      <w:r w:rsidRPr="001D79CD">
        <w:t>veškerých skutečnostech, které jsou významné pro plnění závazků smluvních stran.</w:t>
      </w:r>
    </w:p>
    <w:p w:rsidR="00CD1E92" w:rsidRPr="001D79CD" w:rsidRDefault="00CD1E92" w:rsidP="009D1639">
      <w:pPr>
        <w:pStyle w:val="SmlNadpis2"/>
        <w:numPr>
          <w:ilvl w:val="1"/>
          <w:numId w:val="6"/>
        </w:numPr>
        <w:ind w:left="709" w:hanging="709"/>
      </w:pPr>
      <w:r w:rsidRPr="001D79CD">
        <w:t>Objednatel se zavazuje dokončené bezvadné dílo</w:t>
      </w:r>
      <w:r>
        <w:t xml:space="preserve"> s </w:t>
      </w:r>
      <w:r w:rsidRPr="001D79CD">
        <w:t>výjimkou vad uvedených</w:t>
      </w:r>
      <w:r>
        <w:t xml:space="preserve"> v </w:t>
      </w:r>
      <w:r w:rsidRPr="001D79CD">
        <w:t xml:space="preserve">čl. </w:t>
      </w:r>
      <w:fldSimple w:instr=" REF _Ref380506032 \r \h  \* MERGEFORMAT ">
        <w:r>
          <w:t>8.2</w:t>
        </w:r>
      </w:fldSimple>
      <w:r w:rsidRPr="001D79CD">
        <w:t xml:space="preserve"> této smlouvy převzít</w:t>
      </w:r>
      <w:r>
        <w:t xml:space="preserve"> a </w:t>
      </w:r>
      <w:r w:rsidRPr="001D79CD">
        <w:t>potvrdit předávací protokol Zhotoviteli bez zbytečného odkladu, nejpozději do 5 pracovních dnů od předání plnění.</w:t>
      </w:r>
    </w:p>
    <w:bookmarkEnd w:id="6"/>
    <w:p w:rsidR="00CD1E92" w:rsidRPr="001D79CD" w:rsidRDefault="00CD1E92" w:rsidP="00FD1CEC">
      <w:pPr>
        <w:pStyle w:val="SmlNadpis1"/>
        <w:numPr>
          <w:ilvl w:val="0"/>
          <w:numId w:val="6"/>
        </w:numPr>
        <w:tabs>
          <w:tab w:val="num" w:pos="567"/>
        </w:tabs>
        <w:ind w:left="0" w:firstLine="0"/>
      </w:pPr>
      <w:r w:rsidRPr="001D79CD">
        <w:t>Práva</w:t>
      </w:r>
      <w:r>
        <w:t xml:space="preserve"> a </w:t>
      </w:r>
      <w:r w:rsidRPr="001D79CD">
        <w:t>povinnosti zhotovitele</w:t>
      </w:r>
    </w:p>
    <w:p w:rsidR="00CD1E92" w:rsidRPr="001D79CD" w:rsidRDefault="00CD1E92" w:rsidP="009D1639">
      <w:pPr>
        <w:pStyle w:val="SmlNadpis2"/>
        <w:numPr>
          <w:ilvl w:val="1"/>
          <w:numId w:val="6"/>
        </w:numPr>
        <w:ind w:left="709" w:hanging="709"/>
      </w:pPr>
      <w:r w:rsidRPr="001D79CD">
        <w:t>Zhotovitel se zavazuje, že poskytne své plnění dle předmětu této smlouvy Objednateli</w:t>
      </w:r>
      <w:r>
        <w:t xml:space="preserve"> v </w:t>
      </w:r>
      <w:r w:rsidRPr="001D79CD">
        <w:t>termínech podle této smlouvy.</w:t>
      </w:r>
    </w:p>
    <w:p w:rsidR="00CD1E92" w:rsidRPr="001D79CD" w:rsidRDefault="00CD1E92" w:rsidP="009D1639">
      <w:pPr>
        <w:pStyle w:val="SmlNadpis2"/>
        <w:numPr>
          <w:ilvl w:val="1"/>
          <w:numId w:val="6"/>
        </w:numPr>
        <w:ind w:left="709" w:hanging="709"/>
      </w:pPr>
      <w:r w:rsidRPr="001D79CD">
        <w:t>Zhotovitel se zavazuje, že při plnění předmětu této smlouvy bude respektovat organizační pravidla</w:t>
      </w:r>
      <w:r>
        <w:t xml:space="preserve"> a </w:t>
      </w:r>
      <w:r w:rsidRPr="001D79CD">
        <w:t>bezpečnostní zásady Objednatele, se kterými ho Objednatel před započetím plnění dle této smlouvy seznámí.</w:t>
      </w:r>
    </w:p>
    <w:p w:rsidR="00CD1E92" w:rsidRPr="001D79CD" w:rsidRDefault="00CD1E92" w:rsidP="009D1639">
      <w:pPr>
        <w:pStyle w:val="SmlNadpis2"/>
        <w:numPr>
          <w:ilvl w:val="1"/>
          <w:numId w:val="6"/>
        </w:numPr>
        <w:ind w:left="709" w:hanging="709"/>
      </w:pPr>
      <w:r w:rsidRPr="001D79CD">
        <w:t>Zhotovitel souhlasí</w:t>
      </w:r>
      <w:r>
        <w:t xml:space="preserve"> s </w:t>
      </w:r>
      <w:r w:rsidRPr="001D79CD">
        <w:t>tím, že pokud</w:t>
      </w:r>
      <w:r>
        <w:t xml:space="preserve"> v </w:t>
      </w:r>
      <w:r w:rsidRPr="001D79CD">
        <w:t>případě výzvy Ministerstva pro místní rozvoj České republiky</w:t>
      </w:r>
      <w:r>
        <w:t xml:space="preserve"> v </w:t>
      </w:r>
      <w:r w:rsidRPr="001D79CD">
        <w:t xml:space="preserve">rámci Integrovaného </w:t>
      </w:r>
      <w:r>
        <w:t xml:space="preserve">regionálního </w:t>
      </w:r>
      <w:r w:rsidRPr="001D79CD">
        <w:t>operačního programu dojde ke změně rozsahu, bude tato změna zohledněna</w:t>
      </w:r>
      <w:r>
        <w:t xml:space="preserve"> v </w:t>
      </w:r>
      <w:r w:rsidRPr="001D79CD">
        <w:t>dodatku</w:t>
      </w:r>
      <w:r>
        <w:t xml:space="preserve"> k </w:t>
      </w:r>
      <w:r w:rsidRPr="001D79CD">
        <w:t>této smlouvě</w:t>
      </w:r>
      <w:r>
        <w:t xml:space="preserve"> o </w:t>
      </w:r>
      <w:r w:rsidRPr="001D79CD">
        <w:t>dílo, včetně změny rozsahu</w:t>
      </w:r>
      <w:r>
        <w:t xml:space="preserve"> a </w:t>
      </w:r>
      <w:r w:rsidRPr="001D79CD">
        <w:t>ceny díla.</w:t>
      </w:r>
    </w:p>
    <w:p w:rsidR="00CD1E92" w:rsidRPr="001D79CD" w:rsidRDefault="00CD1E92" w:rsidP="009D1639">
      <w:pPr>
        <w:pStyle w:val="SmlNadpis2"/>
        <w:numPr>
          <w:ilvl w:val="1"/>
          <w:numId w:val="6"/>
        </w:numPr>
        <w:ind w:left="709" w:hanging="709"/>
      </w:pPr>
      <w:r w:rsidRPr="001D79CD">
        <w:t>Zhotovitel bere na vědomí, že je podle ustanovení § 2 písm. e) zákona č. 320/2001 Sb.,</w:t>
      </w:r>
      <w:r>
        <w:t xml:space="preserve"> o </w:t>
      </w:r>
      <w:r w:rsidRPr="001D79CD">
        <w:t>finanční kontrole ve veřejné správě</w:t>
      </w:r>
      <w:r>
        <w:t xml:space="preserve"> a o </w:t>
      </w:r>
      <w:r w:rsidRPr="001D79CD">
        <w:t>změně některých zákonů, ve znění pozdějších předpisů, osobou povinou spolupůsobit při výkonu finanční kontroly.</w:t>
      </w:r>
    </w:p>
    <w:p w:rsidR="00CD1E92" w:rsidRDefault="00CD1E92" w:rsidP="009D1639">
      <w:pPr>
        <w:pStyle w:val="SmlNadpis2"/>
        <w:numPr>
          <w:ilvl w:val="1"/>
          <w:numId w:val="6"/>
        </w:numPr>
        <w:ind w:left="709" w:hanging="709"/>
      </w:pPr>
      <w:r w:rsidRPr="001D79CD">
        <w:t xml:space="preserve">Zhotovitel </w:t>
      </w:r>
      <w:r>
        <w:t xml:space="preserve">je povinen uchovávat veškerou dokumentaci související s realizací projektu včetně účetních dokladů minimálně do konce roku 2028. Pokud je v českých právních předpisech stanovena lhůta delší, </w:t>
      </w:r>
      <w:r w:rsidRPr="00A24FA8">
        <w:t>musí být použita pro úschovu delší lhůta</w:t>
      </w:r>
      <w:r>
        <w:t>.</w:t>
      </w:r>
    </w:p>
    <w:p w:rsidR="00CD1E92" w:rsidRPr="001D79CD" w:rsidRDefault="00CD1E92" w:rsidP="009D1639">
      <w:pPr>
        <w:pStyle w:val="SmlNadpis2"/>
        <w:numPr>
          <w:ilvl w:val="1"/>
          <w:numId w:val="6"/>
        </w:numPr>
        <w:ind w:left="709" w:hanging="709"/>
      </w:pPr>
      <w:r w:rsidRPr="001D79CD">
        <w:t>Zhotovitel se zavazuje, že veškeré účetní doklady vztahující se</w:t>
      </w:r>
      <w:r>
        <w:t xml:space="preserve"> k </w:t>
      </w:r>
      <w:r w:rsidRPr="001D79CD">
        <w:t>plnění této smlouvy budou obsahovat informaci, že se jedná</w:t>
      </w:r>
      <w:r>
        <w:t xml:space="preserve"> o </w:t>
      </w:r>
      <w:r w:rsidRPr="001D79CD">
        <w:t>projekt I</w:t>
      </w:r>
      <w:r>
        <w:t>R</w:t>
      </w:r>
      <w:r w:rsidRPr="001D79CD">
        <w:t>OP</w:t>
      </w:r>
      <w:r>
        <w:t xml:space="preserve"> a </w:t>
      </w:r>
      <w:r w:rsidRPr="001D79CD">
        <w:t>budou označeny číslem smlouvy.</w:t>
      </w:r>
    </w:p>
    <w:p w:rsidR="00CD1E92" w:rsidRDefault="00CD1E92" w:rsidP="009D1639">
      <w:pPr>
        <w:pStyle w:val="SmlNadpis2"/>
        <w:numPr>
          <w:ilvl w:val="1"/>
          <w:numId w:val="6"/>
        </w:numPr>
        <w:ind w:left="709" w:hanging="709"/>
      </w:pPr>
      <w:r>
        <w:t xml:space="preserve">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rsidR="00CD1E92" w:rsidRPr="0025325F" w:rsidRDefault="00CD1E92" w:rsidP="00FD1CEC">
      <w:pPr>
        <w:pStyle w:val="SmlNadpis1"/>
        <w:numPr>
          <w:ilvl w:val="0"/>
          <w:numId w:val="6"/>
        </w:numPr>
        <w:tabs>
          <w:tab w:val="num" w:pos="567"/>
        </w:tabs>
        <w:ind w:left="0" w:firstLine="0"/>
      </w:pPr>
      <w:r w:rsidRPr="0025325F">
        <w:t xml:space="preserve">Záruka, smluvní pokuty </w:t>
      </w:r>
    </w:p>
    <w:p w:rsidR="00CD1E92" w:rsidRPr="001D79CD" w:rsidRDefault="00CD1E92" w:rsidP="009D1639">
      <w:pPr>
        <w:pStyle w:val="SmlNadpis2"/>
        <w:numPr>
          <w:ilvl w:val="1"/>
          <w:numId w:val="6"/>
        </w:numPr>
        <w:ind w:left="709" w:hanging="709"/>
      </w:pPr>
      <w:r w:rsidRPr="001D79CD">
        <w:t>Zhotovitel poskytuje na předmět plnění záruku</w:t>
      </w:r>
      <w:r>
        <w:t xml:space="preserve"> v </w:t>
      </w:r>
      <w:r w:rsidRPr="001D79CD">
        <w:t>délce 6 měsíců, záruka se vztahuje na správnost zpracování díla dle čl.</w:t>
      </w:r>
      <w:r>
        <w:t xml:space="preserve"> 6.5</w:t>
      </w:r>
      <w:r w:rsidRPr="001D79CD">
        <w:t xml:space="preserve"> této smlouvy.</w:t>
      </w:r>
    </w:p>
    <w:p w:rsidR="00CD1E92" w:rsidRPr="001D79CD" w:rsidRDefault="00CD1E92" w:rsidP="009D1639">
      <w:pPr>
        <w:pStyle w:val="SmlNadpis2"/>
        <w:numPr>
          <w:ilvl w:val="1"/>
          <w:numId w:val="6"/>
        </w:numPr>
        <w:ind w:left="709" w:hanging="709"/>
      </w:pPr>
      <w:bookmarkStart w:id="7" w:name="_Ref380506032"/>
      <w:r w:rsidRPr="001D79CD">
        <w:t>Drobné vady</w:t>
      </w:r>
      <w:r>
        <w:t xml:space="preserve"> a </w:t>
      </w:r>
      <w:r w:rsidRPr="001D79CD">
        <w:t>nedodělky, které nebrání řádnému užívání díla jako celku, budou uvedeny</w:t>
      </w:r>
      <w:r>
        <w:t xml:space="preserve"> v </w:t>
      </w:r>
      <w:r w:rsidRPr="001D79CD">
        <w:t>závěrečném předávacím protokolu spolu</w:t>
      </w:r>
      <w:r>
        <w:t xml:space="preserve"> s </w:t>
      </w:r>
      <w:r w:rsidRPr="001D79CD">
        <w:t>dohodnutým způsobem</w:t>
      </w:r>
      <w:r>
        <w:t xml:space="preserve"> a </w:t>
      </w:r>
      <w:r w:rsidRPr="001D79CD">
        <w:t>termínem jejich odstranění. Takovéto vady</w:t>
      </w:r>
      <w:r>
        <w:t xml:space="preserve"> a </w:t>
      </w:r>
      <w:r w:rsidRPr="001D79CD">
        <w:t>nedodělky nejsou důvodem</w:t>
      </w:r>
      <w:r>
        <w:t xml:space="preserve"> k </w:t>
      </w:r>
      <w:r w:rsidRPr="001D79CD">
        <w:t>odmítnutí převzetí</w:t>
      </w:r>
      <w:r>
        <w:t xml:space="preserve"> a </w:t>
      </w:r>
      <w:r w:rsidRPr="001D79CD">
        <w:t>zaplacení díla Objednatelem.</w:t>
      </w:r>
      <w:bookmarkEnd w:id="7"/>
    </w:p>
    <w:p w:rsidR="00CD1E92" w:rsidRDefault="00CD1E92" w:rsidP="009D1639">
      <w:pPr>
        <w:pStyle w:val="SmlNadpis2"/>
        <w:numPr>
          <w:ilvl w:val="1"/>
          <w:numId w:val="6"/>
        </w:numPr>
        <w:ind w:left="709" w:hanging="709"/>
      </w:pPr>
      <w:r w:rsidRPr="001D79CD">
        <w:t>Pro případ prodlení Zhotovitele</w:t>
      </w:r>
      <w:r>
        <w:t xml:space="preserve"> s </w:t>
      </w:r>
      <w:r w:rsidRPr="001D79CD">
        <w:t>odevzdáním předmětu plnění smlouvy</w:t>
      </w:r>
      <w:r>
        <w:t xml:space="preserve"> z </w:t>
      </w:r>
      <w:r w:rsidRPr="001D79CD">
        <w:t>důvodů ležících výlučně na straně Zhotovitele je Objednatel oprávněn žádat po Zhotoviteli zaplacení smluvní pokuty ve výši 500,- Kč za každý den trvajícího prodlení až do nápravy.</w:t>
      </w:r>
    </w:p>
    <w:p w:rsidR="00CD1E92" w:rsidRPr="001D79CD" w:rsidRDefault="00CD1E92" w:rsidP="009D1639">
      <w:pPr>
        <w:pStyle w:val="SmlNadpis2"/>
        <w:numPr>
          <w:ilvl w:val="1"/>
          <w:numId w:val="6"/>
        </w:numPr>
        <w:ind w:left="709" w:hanging="709"/>
      </w:pPr>
      <w:r>
        <w:t xml:space="preserve">Pro případ prodlení Zhotovitele s odevzdáním díla ve sjednaném termínu dle čl. </w:t>
      </w:r>
      <w:r>
        <w:fldChar w:fldCharType="begin"/>
      </w:r>
      <w:r>
        <w:instrText xml:space="preserve"> REF _Ref480294623 \r \h </w:instrText>
      </w:r>
      <w:r>
        <w:fldChar w:fldCharType="separate"/>
      </w:r>
      <w:r>
        <w:t>3.2</w:t>
      </w:r>
      <w:r>
        <w:fldChar w:fldCharType="end"/>
      </w:r>
      <w:r>
        <w:t xml:space="preserve"> smlouvy z důvodů, za které nenese odpovědnost Objednatel, je Objednatel oprávněn žádat po Zhotoviteli zaplacení smluvní pokuty ve výši 500,- Kč za každý den trvajícího prodlení až do předání díla.</w:t>
      </w:r>
    </w:p>
    <w:p w:rsidR="00CD1E92" w:rsidRPr="001D79CD" w:rsidRDefault="00CD1E92" w:rsidP="009D1639">
      <w:pPr>
        <w:pStyle w:val="SmlNadpis2"/>
        <w:numPr>
          <w:ilvl w:val="1"/>
          <w:numId w:val="6"/>
        </w:numPr>
        <w:ind w:left="709" w:hanging="709"/>
      </w:pPr>
      <w:r w:rsidRPr="001D79CD">
        <w:t>Pro případ prodlení Objednavatele se zaplacením smluvené ceny na základě důvodně</w:t>
      </w:r>
      <w:r>
        <w:t xml:space="preserve"> a </w:t>
      </w:r>
      <w:r w:rsidRPr="001D79CD">
        <w:t>řádně vystavené faktury ve lhůtě její splatnosti je Zhotovitel oprávněn žádat po Objednavateli zaplacení úroků</w:t>
      </w:r>
      <w:r>
        <w:t xml:space="preserve"> z </w:t>
      </w:r>
      <w:r w:rsidRPr="001D79CD">
        <w:t>prodlení</w:t>
      </w:r>
      <w:r>
        <w:t xml:space="preserve"> a </w:t>
      </w:r>
      <w:r w:rsidRPr="001D79CD">
        <w:t>nákladů spojených</w:t>
      </w:r>
      <w:r>
        <w:t xml:space="preserve"> s </w:t>
      </w:r>
      <w:r w:rsidRPr="001D79CD">
        <w:t>uplatněním pohledávky dle nařízení vlády č. 351/2013 Sb.</w:t>
      </w:r>
    </w:p>
    <w:p w:rsidR="00CD1E92" w:rsidRPr="001D79CD" w:rsidRDefault="00CD1E92" w:rsidP="00FD1CEC">
      <w:pPr>
        <w:pStyle w:val="SmlNadpis1"/>
        <w:numPr>
          <w:ilvl w:val="0"/>
          <w:numId w:val="6"/>
        </w:numPr>
        <w:tabs>
          <w:tab w:val="num" w:pos="567"/>
        </w:tabs>
        <w:ind w:left="0" w:firstLine="0"/>
      </w:pPr>
      <w:r w:rsidRPr="001D79CD">
        <w:t>Ochrana obchodního tajemství</w:t>
      </w:r>
    </w:p>
    <w:p w:rsidR="00CD1E92" w:rsidRPr="001D79CD" w:rsidRDefault="00CD1E92" w:rsidP="009D1639">
      <w:pPr>
        <w:pStyle w:val="SmlNadpis2"/>
        <w:numPr>
          <w:ilvl w:val="1"/>
          <w:numId w:val="6"/>
        </w:numPr>
        <w:ind w:left="709" w:hanging="709"/>
      </w:pPr>
      <w:r w:rsidRPr="001D79CD">
        <w:t>Obchodní tajemství podle této smlouvy tvoří všechny skutečnosti obchodní, výrobní, technické</w:t>
      </w:r>
      <w:r>
        <w:t xml:space="preserve"> a </w:t>
      </w:r>
      <w:r w:rsidRPr="001D79CD">
        <w:t>ekonomické povahy</w:t>
      </w:r>
      <w:r>
        <w:t xml:space="preserve"> v </w:t>
      </w:r>
      <w:r w:rsidRPr="001D79CD">
        <w:t>hmotné či nehmotné formě, které byly jednou ze smluvních stran takto označeny</w:t>
      </w:r>
      <w:r>
        <w:t xml:space="preserve"> a </w:t>
      </w:r>
      <w:r w:rsidRPr="001D79CD">
        <w:t>byly poskytnuty druhé smluvní straně při vzájemných jednáních. Tyto skutečnosti nejsou</w:t>
      </w:r>
      <w:r>
        <w:t xml:space="preserve"> v </w:t>
      </w:r>
      <w:r w:rsidRPr="001D79CD">
        <w:t>příslušných obchodních kruzích běžně dostupné</w:t>
      </w:r>
      <w:r>
        <w:t xml:space="preserve"> a </w:t>
      </w:r>
      <w:r w:rsidRPr="001D79CD">
        <w:t>účastníci smlouvy mají zájem na jejich utajení.</w:t>
      </w:r>
    </w:p>
    <w:p w:rsidR="00CD1E92" w:rsidRPr="001D79CD" w:rsidRDefault="00CD1E92" w:rsidP="009D1639">
      <w:pPr>
        <w:pStyle w:val="SmlNadpis2"/>
        <w:numPr>
          <w:ilvl w:val="1"/>
          <w:numId w:val="6"/>
        </w:numPr>
        <w:ind w:left="709" w:hanging="709"/>
      </w:pPr>
      <w:r w:rsidRPr="001D79CD">
        <w:t>Předmětem obchodního tajemství jsou také označené informace jako důvěrné předávané jednou smluvní stranou druhé</w:t>
      </w:r>
      <w:r>
        <w:t xml:space="preserve"> v </w:t>
      </w:r>
      <w:r w:rsidRPr="001D79CD">
        <w:t>rámci vzájemných jednání.</w:t>
      </w:r>
    </w:p>
    <w:p w:rsidR="00CD1E92" w:rsidRPr="001D79CD" w:rsidRDefault="00CD1E92" w:rsidP="009D1639">
      <w:pPr>
        <w:pStyle w:val="SmlNadpis2"/>
        <w:numPr>
          <w:ilvl w:val="1"/>
          <w:numId w:val="6"/>
        </w:numPr>
        <w:ind w:left="709" w:hanging="709"/>
      </w:pPr>
      <w:r w:rsidRPr="001D79CD">
        <w:t>Smluvní strany se zavazují, že vynaloží nejméně stejnou péči, aby zabránili vyzrazení nebo šíření důvěrných informací, jakou vynakládají při zacházení se svými vlastními informacemi podobného charakteru, které nemají být vyzrazeny, zveřejněny nebo rozšířeny.</w:t>
      </w:r>
    </w:p>
    <w:p w:rsidR="00CD1E92" w:rsidRPr="001D79CD" w:rsidRDefault="00CD1E92" w:rsidP="009D1639">
      <w:pPr>
        <w:pStyle w:val="SmlNadpis2"/>
        <w:numPr>
          <w:ilvl w:val="1"/>
          <w:numId w:val="6"/>
        </w:numPr>
        <w:ind w:left="709" w:hanging="709"/>
      </w:pPr>
      <w:r w:rsidRPr="001D79CD">
        <w:t>Obě smluvní strany omezí počet pracovníků pro styk</w:t>
      </w:r>
      <w:r>
        <w:t xml:space="preserve"> s </w:t>
      </w:r>
      <w:r w:rsidRPr="001D79CD">
        <w:t>obchodním tajemstvím</w:t>
      </w:r>
      <w:r>
        <w:t xml:space="preserve"> a </w:t>
      </w:r>
      <w:r w:rsidRPr="001D79CD">
        <w:t>důvěrnými informacemi</w:t>
      </w:r>
      <w:r>
        <w:t xml:space="preserve"> a </w:t>
      </w:r>
      <w:r w:rsidRPr="001D79CD">
        <w:t>přijmou účinná opatření pro zamezení úniku těchto informací.</w:t>
      </w:r>
    </w:p>
    <w:p w:rsidR="00CD1E92" w:rsidRPr="001D79CD" w:rsidRDefault="00CD1E92" w:rsidP="00795EBC">
      <w:pPr>
        <w:pStyle w:val="SmlNadpis2"/>
        <w:numPr>
          <w:ilvl w:val="1"/>
          <w:numId w:val="6"/>
        </w:numPr>
        <w:ind w:left="709" w:hanging="709"/>
      </w:pPr>
      <w:r w:rsidRPr="001D79CD">
        <w:t>Vzhledem</w:t>
      </w:r>
      <w:r>
        <w:t xml:space="preserve"> k </w:t>
      </w:r>
      <w:r w:rsidRPr="001D79CD">
        <w:t>právní formě Objednatele nepovažují smluvní strany za porušení tohoto článku zveřejnění této smlouvy</w:t>
      </w:r>
      <w:r>
        <w:t xml:space="preserve"> v </w:t>
      </w:r>
      <w:r w:rsidRPr="001D79CD">
        <w:t>zákonem stanovených případech, zejména</w:t>
      </w:r>
      <w:r>
        <w:t xml:space="preserve"> s </w:t>
      </w:r>
      <w:r w:rsidRPr="001D79CD">
        <w:t>ohledem na zákon č. 106/1999 Sb.</w:t>
      </w:r>
      <w:r>
        <w:t xml:space="preserve"> o </w:t>
      </w:r>
      <w:r w:rsidRPr="001D79CD">
        <w:t>svobodném přístupu</w:t>
      </w:r>
      <w:r>
        <w:t xml:space="preserve"> k </w:t>
      </w:r>
      <w:r w:rsidRPr="001D79CD">
        <w:t>informacím, ve znění pozdějších předpisů</w:t>
      </w:r>
      <w:r>
        <w:t xml:space="preserve"> a také uveřejnění podle zákona </w:t>
      </w:r>
      <w:r w:rsidRPr="00795EBC">
        <w:t>č. 340/2015 Sb., o zvláštních podmínkách účinnosti některých smluv, uveřejňování těchto smluv a registru smluv</w:t>
      </w:r>
      <w:r>
        <w:t xml:space="preserve">. </w:t>
      </w:r>
      <w:r w:rsidRPr="00795EBC">
        <w:t xml:space="preserve">Toto uveřejnění </w:t>
      </w:r>
      <w:r>
        <w:t xml:space="preserve">včetně znečitelnění nezveřejňovaných údajů </w:t>
      </w:r>
      <w:r w:rsidRPr="00795EBC">
        <w:t xml:space="preserve">zajistí </w:t>
      </w:r>
      <w:r>
        <w:t>Objednatel</w:t>
      </w:r>
      <w:r w:rsidRPr="00795EBC">
        <w:t xml:space="preserve"> nejpozději do 30 dnů od uzavření této </w:t>
      </w:r>
      <w:r>
        <w:t>smlouvy</w:t>
      </w:r>
      <w:r w:rsidRPr="00795EBC">
        <w:t>.</w:t>
      </w:r>
      <w:r>
        <w:t xml:space="preserve"> </w:t>
      </w:r>
      <w:r w:rsidRPr="004D7371">
        <w:t>Shodně není porušením tohoto ujednání smlouvy sdělení údajů orgánům, kterým je jedna ze stran povinna údaje poskytnout ze zákona.</w:t>
      </w:r>
    </w:p>
    <w:p w:rsidR="00CD1E92" w:rsidRPr="001D79CD" w:rsidRDefault="00CD1E92" w:rsidP="00FD1CEC">
      <w:pPr>
        <w:pStyle w:val="SmlNadpis1"/>
        <w:numPr>
          <w:ilvl w:val="0"/>
          <w:numId w:val="6"/>
        </w:numPr>
        <w:tabs>
          <w:tab w:val="num" w:pos="567"/>
        </w:tabs>
        <w:ind w:left="0" w:firstLine="0"/>
      </w:pPr>
      <w:r w:rsidRPr="001D79CD">
        <w:t>Závěrečná ustanovení</w:t>
      </w:r>
    </w:p>
    <w:p w:rsidR="00CD1E92" w:rsidRPr="009D1639" w:rsidRDefault="00CD1E92" w:rsidP="009D1639">
      <w:pPr>
        <w:pStyle w:val="SmlNadpis2"/>
        <w:numPr>
          <w:ilvl w:val="1"/>
          <w:numId w:val="6"/>
        </w:numPr>
        <w:ind w:left="709" w:hanging="709"/>
      </w:pPr>
      <w:r w:rsidRPr="009D1639">
        <w:t>Zjistí-li některá smluvní strana překážky při plnění této smlouvy, které znemožňují řádné plnění předmětu smlouvy, oznámí to neprodleně druhé smluvní straně, se kterou se dohodne na odstranění daných překážek. Nedohodnou-li se smluvní strany na odstranění překážek, popř. změně smlouvy, ve lhůtě 10 dnů ode dne oznámení, můž</w:t>
      </w:r>
      <w:r>
        <w:t>e</w:t>
      </w:r>
      <w:r w:rsidRPr="009D1639">
        <w:t xml:space="preserve"> </w:t>
      </w:r>
      <w:r>
        <w:t xml:space="preserve">jedna ze stran </w:t>
      </w:r>
      <w:r w:rsidRPr="009D1639">
        <w:t>od smlouvy odstoupit</w:t>
      </w:r>
      <w:r>
        <w:t xml:space="preserve"> s </w:t>
      </w:r>
      <w:r w:rsidRPr="009D1639">
        <w:t xml:space="preserve">tím, že si </w:t>
      </w:r>
      <w:r>
        <w:t xml:space="preserve">smluvní strany </w:t>
      </w:r>
      <w:r w:rsidRPr="009D1639">
        <w:t>vzájemně vyrovnají náklady dosud účelně</w:t>
      </w:r>
      <w:r>
        <w:t xml:space="preserve"> a </w:t>
      </w:r>
      <w:r w:rsidRPr="009D1639">
        <w:t>prokazatelně vynaložené na plnění předmětu smlouvy.</w:t>
      </w:r>
    </w:p>
    <w:p w:rsidR="00CD1E92" w:rsidRPr="001D79CD" w:rsidRDefault="00CD1E92" w:rsidP="009D1639">
      <w:pPr>
        <w:pStyle w:val="SmlNadpis2"/>
        <w:numPr>
          <w:ilvl w:val="1"/>
          <w:numId w:val="6"/>
        </w:numPr>
        <w:ind w:left="709" w:hanging="709"/>
      </w:pPr>
      <w:r w:rsidRPr="001D79CD">
        <w:t>Smluvní strany se zavazují řešit všechny spory, které by</w:t>
      </w:r>
      <w:r>
        <w:t xml:space="preserve"> v </w:t>
      </w:r>
      <w:r w:rsidRPr="001D79CD">
        <w:t>budoucnu mohly vzniknout</w:t>
      </w:r>
      <w:r>
        <w:t xml:space="preserve"> z </w:t>
      </w:r>
      <w:r w:rsidRPr="001D79CD">
        <w:t>plnění na základě této smlouvy, především smírnou cestou.</w:t>
      </w:r>
    </w:p>
    <w:p w:rsidR="00CD1E92" w:rsidRPr="001D79CD" w:rsidRDefault="00CD1E92" w:rsidP="009D1639">
      <w:pPr>
        <w:pStyle w:val="SmlNadpis2"/>
        <w:numPr>
          <w:ilvl w:val="1"/>
          <w:numId w:val="6"/>
        </w:numPr>
        <w:ind w:left="709" w:hanging="709"/>
      </w:pPr>
      <w:r w:rsidRPr="001D79CD">
        <w:t>Právní vztahy vzniklé</w:t>
      </w:r>
      <w:r>
        <w:t xml:space="preserve"> z </w:t>
      </w:r>
      <w:r w:rsidRPr="001D79CD">
        <w:t>této smlouvy nebo</w:t>
      </w:r>
      <w:r>
        <w:t xml:space="preserve"> s </w:t>
      </w:r>
      <w:r w:rsidRPr="001D79CD">
        <w:t xml:space="preserve">touto smlouvou související se řídí </w:t>
      </w:r>
      <w:r>
        <w:t>OZ a </w:t>
      </w:r>
      <w:r w:rsidRPr="001D79CD">
        <w:t>dále příslušnými ustanoveními zákona č. 121/2000 Sb.,</w:t>
      </w:r>
      <w:r>
        <w:t xml:space="preserve"> o </w:t>
      </w:r>
      <w:r w:rsidRPr="001D79CD">
        <w:t>právu autorském,</w:t>
      </w:r>
      <w:r>
        <w:t xml:space="preserve"> o </w:t>
      </w:r>
      <w:r w:rsidRPr="001D79CD">
        <w:t>právech souvisejících</w:t>
      </w:r>
      <w:r>
        <w:t xml:space="preserve"> s </w:t>
      </w:r>
      <w:r w:rsidRPr="001D79CD">
        <w:t>právem autorským</w:t>
      </w:r>
      <w:r>
        <w:t xml:space="preserve"> a o </w:t>
      </w:r>
      <w:r w:rsidRPr="001D79CD">
        <w:t>změně některých zákonů (autorský zákon), ve znění pozdějších předpisů.</w:t>
      </w:r>
    </w:p>
    <w:p w:rsidR="00CD1E92" w:rsidRPr="001D79CD" w:rsidRDefault="00CD1E92" w:rsidP="009D1639">
      <w:pPr>
        <w:pStyle w:val="SmlNadpis2"/>
        <w:numPr>
          <w:ilvl w:val="1"/>
          <w:numId w:val="6"/>
        </w:numPr>
        <w:ind w:left="709" w:hanging="709"/>
      </w:pPr>
      <w:r w:rsidRPr="001D79CD">
        <w:t>Tuto smlouvu lze měnit nebo doplňovat pouze dohodou smluvních stran písemným</w:t>
      </w:r>
      <w:r>
        <w:t>i</w:t>
      </w:r>
      <w:r w:rsidRPr="001D79CD">
        <w:t xml:space="preserve"> postupně číslovaným</w:t>
      </w:r>
      <w:r>
        <w:t>i</w:t>
      </w:r>
      <w:r w:rsidRPr="001D79CD">
        <w:t xml:space="preserve"> dodatk</w:t>
      </w:r>
      <w:r>
        <w:t>y</w:t>
      </w:r>
      <w:r w:rsidRPr="001D79CD">
        <w:t xml:space="preserve"> podepsaným</w:t>
      </w:r>
      <w:r>
        <w:t>i</w:t>
      </w:r>
      <w:r w:rsidRPr="001D79CD">
        <w:t xml:space="preserve"> jejich oprávněnými zástupci. </w:t>
      </w:r>
    </w:p>
    <w:p w:rsidR="00CD1E92" w:rsidRPr="001D79CD" w:rsidRDefault="00CD1E92" w:rsidP="009D1639">
      <w:pPr>
        <w:pStyle w:val="SmlNadpis2"/>
        <w:numPr>
          <w:ilvl w:val="1"/>
          <w:numId w:val="6"/>
        </w:numPr>
        <w:ind w:left="709" w:hanging="709"/>
      </w:pPr>
      <w:r w:rsidRPr="001D79CD">
        <w:t>V případě, že se některé ustanovení smlouvy stane neplatným, zůstávají ostatní ustanovení</w:t>
      </w:r>
      <w:r>
        <w:t xml:space="preserve"> i </w:t>
      </w:r>
      <w:r w:rsidRPr="001D79CD">
        <w:t>nadále</w:t>
      </w:r>
      <w:r>
        <w:t xml:space="preserve"> v </w:t>
      </w:r>
      <w:r w:rsidRPr="001D79CD">
        <w:t>platnosti.</w:t>
      </w:r>
    </w:p>
    <w:p w:rsidR="00CD1E92" w:rsidRPr="001D79CD" w:rsidRDefault="00CD1E92" w:rsidP="009D1639">
      <w:pPr>
        <w:pStyle w:val="SmlNadpis2"/>
        <w:numPr>
          <w:ilvl w:val="1"/>
          <w:numId w:val="6"/>
        </w:numPr>
        <w:ind w:left="709" w:hanging="709"/>
      </w:pPr>
      <w:r w:rsidRPr="001D79CD">
        <w:t>Tato smlouva je vyhotovena ve třech (3) stejnopisech,</w:t>
      </w:r>
      <w:r>
        <w:t xml:space="preserve"> z </w:t>
      </w:r>
      <w:r w:rsidRPr="001D79CD">
        <w:t>nichž Objednatel obdrží dvě (2) vyhotovení</w:t>
      </w:r>
      <w:r>
        <w:t xml:space="preserve"> a </w:t>
      </w:r>
      <w:r w:rsidRPr="001D79CD">
        <w:t>Zhotovitel obdrží jedno (1) vyhotovení.</w:t>
      </w:r>
    </w:p>
    <w:p w:rsidR="00CD1E92" w:rsidRPr="001D79CD" w:rsidRDefault="00CD1E92" w:rsidP="009D1639">
      <w:pPr>
        <w:pStyle w:val="SmlNadpis2"/>
        <w:numPr>
          <w:ilvl w:val="1"/>
          <w:numId w:val="6"/>
        </w:numPr>
        <w:ind w:left="709" w:hanging="709"/>
      </w:pPr>
      <w:r w:rsidRPr="001D79CD">
        <w:t>Smluvní strany prohlašují, že si smlouvu přečetly,</w:t>
      </w:r>
      <w:r>
        <w:t xml:space="preserve"> s </w:t>
      </w:r>
      <w:r w:rsidRPr="001D79CD">
        <w:t>jejím obsahem souhlasí, tato je důkazem jejich pravé</w:t>
      </w:r>
      <w:r>
        <w:t xml:space="preserve"> a </w:t>
      </w:r>
      <w:r w:rsidRPr="001D79CD">
        <w:t>svobodné vůle</w:t>
      </w:r>
      <w:r>
        <w:t xml:space="preserve"> a </w:t>
      </w:r>
      <w:r w:rsidRPr="001D79CD">
        <w:t>na důkaz toho připojují své vlastnoruční podpisy.</w:t>
      </w:r>
    </w:p>
    <w:p w:rsidR="00CD1E92" w:rsidRPr="001D79CD" w:rsidRDefault="00CD1E92" w:rsidP="009D1639">
      <w:pPr>
        <w:pStyle w:val="SmlNadpis2"/>
        <w:numPr>
          <w:ilvl w:val="1"/>
          <w:numId w:val="6"/>
        </w:numPr>
        <w:ind w:left="709" w:hanging="709"/>
      </w:pPr>
      <w:r w:rsidRPr="001D79CD">
        <w:t>Tato smlouva nabývá platnosti</w:t>
      </w:r>
      <w:r>
        <w:t xml:space="preserve"> a </w:t>
      </w:r>
      <w:r w:rsidRPr="001D79CD">
        <w:t>účinnosti okamžikem podpisu obou smluvních stran.</w:t>
      </w:r>
    </w:p>
    <w:p w:rsidR="00CD1E92" w:rsidRDefault="00CD1E92" w:rsidP="00536769">
      <w:pPr>
        <w:pStyle w:val="SmlNadpis2"/>
        <w:numPr>
          <w:ilvl w:val="1"/>
          <w:numId w:val="6"/>
        </w:numPr>
        <w:ind w:left="709" w:hanging="709"/>
      </w:pPr>
      <w:r w:rsidRPr="001D79CD">
        <w:t>Doložka podle § 41 zákona č. 128/2000 Sb.,</w:t>
      </w:r>
      <w:r>
        <w:t xml:space="preserve"> o </w:t>
      </w:r>
      <w:r w:rsidRPr="001D79CD">
        <w:t xml:space="preserve">obcích (obecní zřízení), ve znění pozdějších předpisů: </w:t>
      </w:r>
      <w:r>
        <w:t xml:space="preserve">Tato smlouva je uzavírána v souladu se Směrnicí </w:t>
      </w:r>
      <w:r w:rsidRPr="00536769">
        <w:t>Rady města Teplice č. 4/2016, kterou se stanoví postup Statutárního města Teplice při zadávání veřejných zakázek, schválené usnesením Rady města č. 0873/1</w:t>
      </w:r>
      <w:r>
        <w:t xml:space="preserve">6, na jednání konaném dne 25.11. </w:t>
      </w:r>
      <w:r w:rsidRPr="00536769">
        <w:t>2016</w:t>
      </w:r>
      <w:r>
        <w:t>.</w:t>
      </w:r>
    </w:p>
    <w:p w:rsidR="00CD1E92" w:rsidRPr="001D79CD" w:rsidRDefault="00CD1E92" w:rsidP="00536769">
      <w:pPr>
        <w:pStyle w:val="SmlNadpis2"/>
        <w:numPr>
          <w:ilvl w:val="0"/>
          <w:numId w:val="0"/>
        </w:numPr>
      </w:pPr>
    </w:p>
    <w:tbl>
      <w:tblPr>
        <w:tblW w:w="9353" w:type="dxa"/>
        <w:jc w:val="center"/>
        <w:tblCellMar>
          <w:left w:w="70" w:type="dxa"/>
          <w:right w:w="70" w:type="dxa"/>
        </w:tblCellMar>
        <w:tblLook w:val="0000"/>
      </w:tblPr>
      <w:tblGrid>
        <w:gridCol w:w="4707"/>
        <w:gridCol w:w="4646"/>
      </w:tblGrid>
      <w:tr w:rsidR="00CD1E92" w:rsidRPr="00A93804">
        <w:trPr>
          <w:trHeight w:val="360"/>
          <w:jc w:val="center"/>
        </w:trPr>
        <w:tc>
          <w:tcPr>
            <w:tcW w:w="4707" w:type="dxa"/>
          </w:tcPr>
          <w:p w:rsidR="00CD1E92" w:rsidRPr="00A93804" w:rsidRDefault="00CD1E92" w:rsidP="00785920">
            <w:pPr>
              <w:pStyle w:val="ANormln"/>
              <w:ind w:firstLine="0"/>
              <w:rPr>
                <w:color w:val="000000"/>
                <w:sz w:val="20"/>
                <w:szCs w:val="20"/>
              </w:rPr>
            </w:pPr>
            <w:r w:rsidRPr="00A93804">
              <w:rPr>
                <w:color w:val="000000"/>
                <w:sz w:val="20"/>
                <w:szCs w:val="20"/>
              </w:rPr>
              <w:t>V </w:t>
            </w:r>
            <w:r>
              <w:rPr>
                <w:color w:val="000000"/>
                <w:sz w:val="20"/>
                <w:szCs w:val="20"/>
              </w:rPr>
              <w:t>Teplicích</w:t>
            </w:r>
            <w:r w:rsidRPr="00A93804">
              <w:rPr>
                <w:color w:val="000000"/>
                <w:sz w:val="20"/>
                <w:szCs w:val="20"/>
              </w:rPr>
              <w:t>, dne:</w:t>
            </w:r>
          </w:p>
        </w:tc>
        <w:tc>
          <w:tcPr>
            <w:tcW w:w="4646" w:type="dxa"/>
          </w:tcPr>
          <w:p w:rsidR="00CD1E92" w:rsidRPr="00A93804" w:rsidRDefault="00CD1E92" w:rsidP="0025325F">
            <w:pPr>
              <w:pStyle w:val="ANormln"/>
              <w:ind w:firstLine="0"/>
              <w:rPr>
                <w:color w:val="000000"/>
                <w:sz w:val="20"/>
                <w:szCs w:val="20"/>
              </w:rPr>
            </w:pPr>
            <w:r w:rsidRPr="00A93804">
              <w:rPr>
                <w:color w:val="000000"/>
                <w:sz w:val="20"/>
                <w:szCs w:val="20"/>
              </w:rPr>
              <w:t xml:space="preserve"> Ve Velkém Meziříčí, dne:</w:t>
            </w:r>
          </w:p>
        </w:tc>
      </w:tr>
      <w:tr w:rsidR="00CD1E92" w:rsidRPr="00A93804">
        <w:trPr>
          <w:trHeight w:val="525"/>
          <w:jc w:val="center"/>
        </w:trPr>
        <w:tc>
          <w:tcPr>
            <w:tcW w:w="4707" w:type="dxa"/>
          </w:tcPr>
          <w:p w:rsidR="00CD1E92" w:rsidRPr="00A93804" w:rsidRDefault="00CD1E92" w:rsidP="001B7D53">
            <w:pPr>
              <w:pStyle w:val="ANormln"/>
              <w:jc w:val="center"/>
              <w:rPr>
                <w:sz w:val="20"/>
                <w:szCs w:val="20"/>
              </w:rPr>
            </w:pPr>
            <w:r w:rsidRPr="00A93804">
              <w:rPr>
                <w:sz w:val="20"/>
                <w:szCs w:val="20"/>
              </w:rPr>
              <w:t>za Objednatele</w:t>
            </w:r>
          </w:p>
          <w:p w:rsidR="00CD1E92" w:rsidRPr="00A93804" w:rsidRDefault="00CD1E92" w:rsidP="001B7D53">
            <w:pPr>
              <w:pStyle w:val="ANormln"/>
              <w:jc w:val="center"/>
              <w:rPr>
                <w:sz w:val="20"/>
                <w:szCs w:val="20"/>
              </w:rPr>
            </w:pPr>
          </w:p>
          <w:p w:rsidR="00CD1E92" w:rsidRDefault="00CD1E92" w:rsidP="001B7D53">
            <w:pPr>
              <w:pStyle w:val="ANormln"/>
              <w:jc w:val="center"/>
              <w:rPr>
                <w:sz w:val="20"/>
                <w:szCs w:val="20"/>
              </w:rPr>
            </w:pPr>
          </w:p>
          <w:p w:rsidR="00CD1E92" w:rsidRDefault="00CD1E92" w:rsidP="001B7D53">
            <w:pPr>
              <w:pStyle w:val="ANormln"/>
              <w:jc w:val="center"/>
              <w:rPr>
                <w:sz w:val="20"/>
                <w:szCs w:val="20"/>
              </w:rPr>
            </w:pPr>
          </w:p>
          <w:p w:rsidR="00CD1E92" w:rsidRPr="00A93804" w:rsidRDefault="00CD1E92" w:rsidP="001B7D53">
            <w:pPr>
              <w:pStyle w:val="ANormln"/>
              <w:jc w:val="center"/>
              <w:rPr>
                <w:sz w:val="20"/>
                <w:szCs w:val="20"/>
              </w:rPr>
            </w:pPr>
          </w:p>
          <w:p w:rsidR="00CD1E92" w:rsidRPr="00A93804" w:rsidRDefault="00CD1E92" w:rsidP="001B7D53">
            <w:pPr>
              <w:pStyle w:val="ANormln"/>
              <w:jc w:val="center"/>
              <w:rPr>
                <w:sz w:val="20"/>
                <w:szCs w:val="20"/>
              </w:rPr>
            </w:pPr>
            <w:r w:rsidRPr="00A93804">
              <w:rPr>
                <w:sz w:val="20"/>
                <w:szCs w:val="20"/>
              </w:rPr>
              <w:t>………………………………</w:t>
            </w:r>
          </w:p>
          <w:p w:rsidR="00CD1E92" w:rsidRPr="00A93804" w:rsidRDefault="00CD1E92" w:rsidP="001B7D53">
            <w:pPr>
              <w:pStyle w:val="ANormln"/>
              <w:jc w:val="center"/>
              <w:rPr>
                <w:sz w:val="20"/>
                <w:szCs w:val="20"/>
              </w:rPr>
            </w:pPr>
            <w:r w:rsidRPr="002D1629">
              <w:rPr>
                <w:sz w:val="20"/>
                <w:szCs w:val="20"/>
              </w:rPr>
              <w:t>Ing. Richard Frontz</w:t>
            </w:r>
          </w:p>
          <w:p w:rsidR="00CD1E92" w:rsidRPr="00A93804" w:rsidRDefault="00CD1E92" w:rsidP="001B7D53">
            <w:pPr>
              <w:pStyle w:val="ANormln"/>
              <w:jc w:val="center"/>
              <w:rPr>
                <w:sz w:val="20"/>
                <w:szCs w:val="20"/>
              </w:rPr>
            </w:pPr>
            <w:fldSimple w:instr=" DOCPROPERTY  Urceno  \* MERGEFORMAT ">
              <w:r w:rsidRPr="00FC0AAB">
                <w:rPr>
                  <w:b/>
                  <w:bCs/>
                  <w:sz w:val="20"/>
                  <w:szCs w:val="20"/>
                </w:rPr>
                <w:t>Statutární město</w:t>
              </w:r>
              <w:r>
                <w:t xml:space="preserve"> Teplice</w:t>
              </w:r>
            </w:fldSimple>
          </w:p>
        </w:tc>
        <w:tc>
          <w:tcPr>
            <w:tcW w:w="4646" w:type="dxa"/>
          </w:tcPr>
          <w:p w:rsidR="00CD1E92" w:rsidRPr="00A93804" w:rsidRDefault="00CD1E92" w:rsidP="001B7D53">
            <w:pPr>
              <w:pStyle w:val="ANormln"/>
              <w:jc w:val="center"/>
              <w:rPr>
                <w:sz w:val="20"/>
                <w:szCs w:val="20"/>
              </w:rPr>
            </w:pPr>
            <w:r w:rsidRPr="00A93804">
              <w:rPr>
                <w:sz w:val="20"/>
                <w:szCs w:val="20"/>
              </w:rPr>
              <w:t>za Zhotovitele</w:t>
            </w:r>
          </w:p>
          <w:p w:rsidR="00CD1E92" w:rsidRPr="00A93804" w:rsidRDefault="00CD1E92" w:rsidP="001B7D53">
            <w:pPr>
              <w:pStyle w:val="ANormln"/>
              <w:jc w:val="center"/>
              <w:rPr>
                <w:sz w:val="20"/>
                <w:szCs w:val="20"/>
              </w:rPr>
            </w:pPr>
          </w:p>
          <w:p w:rsidR="00CD1E92" w:rsidRDefault="00CD1E92" w:rsidP="001B7D53">
            <w:pPr>
              <w:pStyle w:val="ANormln"/>
              <w:jc w:val="center"/>
              <w:rPr>
                <w:sz w:val="20"/>
                <w:szCs w:val="20"/>
              </w:rPr>
            </w:pPr>
          </w:p>
          <w:p w:rsidR="00CD1E92" w:rsidRDefault="00CD1E92" w:rsidP="001B7D53">
            <w:pPr>
              <w:pStyle w:val="ANormln"/>
              <w:jc w:val="center"/>
              <w:rPr>
                <w:sz w:val="20"/>
                <w:szCs w:val="20"/>
              </w:rPr>
            </w:pPr>
          </w:p>
          <w:p w:rsidR="00CD1E92" w:rsidRPr="00A93804" w:rsidRDefault="00CD1E92" w:rsidP="001B7D53">
            <w:pPr>
              <w:pStyle w:val="ANormln"/>
              <w:jc w:val="center"/>
              <w:rPr>
                <w:sz w:val="20"/>
                <w:szCs w:val="20"/>
              </w:rPr>
            </w:pPr>
          </w:p>
          <w:p w:rsidR="00CD1E92" w:rsidRPr="00A93804" w:rsidRDefault="00CD1E92" w:rsidP="001B7D53">
            <w:pPr>
              <w:pStyle w:val="ANormln"/>
              <w:jc w:val="center"/>
              <w:rPr>
                <w:sz w:val="20"/>
                <w:szCs w:val="20"/>
              </w:rPr>
            </w:pPr>
            <w:r w:rsidRPr="00A93804">
              <w:rPr>
                <w:sz w:val="20"/>
                <w:szCs w:val="20"/>
              </w:rPr>
              <w:t>………………………………</w:t>
            </w:r>
          </w:p>
          <w:p w:rsidR="00CD1E92" w:rsidRPr="00A93804" w:rsidRDefault="00CD1E92" w:rsidP="001B7D53">
            <w:pPr>
              <w:pStyle w:val="ANormln"/>
              <w:jc w:val="center"/>
              <w:rPr>
                <w:sz w:val="20"/>
                <w:szCs w:val="20"/>
              </w:rPr>
            </w:pPr>
            <w:r w:rsidRPr="00A93804">
              <w:rPr>
                <w:sz w:val="20"/>
                <w:szCs w:val="20"/>
              </w:rPr>
              <w:t>Ing. Jiří Žák</w:t>
            </w:r>
          </w:p>
          <w:p w:rsidR="00CD1E92" w:rsidRPr="00A93804" w:rsidRDefault="00CD1E92" w:rsidP="001B7D53">
            <w:pPr>
              <w:pStyle w:val="ANormln"/>
              <w:jc w:val="center"/>
              <w:rPr>
                <w:b/>
                <w:bCs/>
                <w:sz w:val="20"/>
                <w:szCs w:val="20"/>
              </w:rPr>
            </w:pPr>
            <w:r w:rsidRPr="00A93804">
              <w:rPr>
                <w:b/>
                <w:bCs/>
                <w:sz w:val="20"/>
                <w:szCs w:val="20"/>
              </w:rPr>
              <w:t>AJL, s.r.o.</w:t>
            </w:r>
          </w:p>
        </w:tc>
      </w:tr>
    </w:tbl>
    <w:p w:rsidR="00CD1E92" w:rsidRPr="001D79CD" w:rsidRDefault="00CD1E92" w:rsidP="005479DA">
      <w:pPr>
        <w:rPr>
          <w:rFonts w:ascii="Arial" w:hAnsi="Arial" w:cs="Arial"/>
        </w:rPr>
      </w:pPr>
    </w:p>
    <w:sectPr w:rsidR="00CD1E92" w:rsidRPr="001D79CD" w:rsidSect="005479DA">
      <w:headerReference w:type="default" r:id="rId10"/>
      <w:footerReference w:type="default" r:id="rId11"/>
      <w:pgSz w:w="11906" w:h="16838" w:code="9"/>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E92" w:rsidRDefault="00CD1E92">
      <w:r>
        <w:separator/>
      </w:r>
    </w:p>
  </w:endnote>
  <w:endnote w:type="continuationSeparator" w:id="1">
    <w:p w:rsidR="00CD1E92" w:rsidRDefault="00CD1E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E92" w:rsidRPr="001D79CD" w:rsidRDefault="00CD1E92" w:rsidP="001D79CD">
    <w:pPr>
      <w:pStyle w:val="Footer"/>
      <w:rPr>
        <w:rFonts w:ascii="Arial" w:hAnsi="Arial" w:cs="Arial"/>
        <w:sz w:val="20"/>
        <w:szCs w:val="20"/>
      </w:rPr>
    </w:pPr>
    <w:fldSimple w:instr=" DOCPROPERTY  Nazev  \* MERGEFORMAT ">
      <w:r w:rsidRPr="0001477D">
        <w:rPr>
          <w:rFonts w:ascii="Arial" w:hAnsi="Arial" w:cs="Arial"/>
          <w:sz w:val="20"/>
          <w:szCs w:val="20"/>
        </w:rPr>
        <w:t>Smlouva o dílo</w:t>
      </w:r>
    </w:fldSimple>
    <w:r w:rsidRPr="00C60A14">
      <w:rPr>
        <w:rFonts w:ascii="Arial" w:hAnsi="Arial" w:cs="Arial"/>
        <w:sz w:val="20"/>
        <w:szCs w:val="20"/>
      </w:rPr>
      <w:t xml:space="preserve"> č.: </w:t>
    </w:r>
    <w:fldSimple w:instr=" DOCPROPERTY  ID  \* MERGEFORMAT ">
      <w:r w:rsidRPr="0001477D">
        <w:rPr>
          <w:rFonts w:ascii="Arial" w:hAnsi="Arial" w:cs="Arial"/>
          <w:sz w:val="20"/>
          <w:szCs w:val="20"/>
        </w:rPr>
        <w:t>170412</w:t>
      </w:r>
    </w:fldSimple>
    <w:r w:rsidRPr="00C60A14">
      <w:rPr>
        <w:rFonts w:ascii="Arial" w:hAnsi="Arial" w:cs="Arial"/>
        <w:sz w:val="20"/>
        <w:szCs w:val="20"/>
      </w:rPr>
      <w:tab/>
    </w:r>
    <w:r w:rsidRPr="00C60A14">
      <w:rPr>
        <w:rFonts w:ascii="Arial" w:hAnsi="Arial" w:cs="Arial"/>
        <w:sz w:val="20"/>
        <w:szCs w:val="20"/>
      </w:rPr>
      <w:tab/>
      <w:t xml:space="preserve">Strana </w:t>
    </w:r>
    <w:r w:rsidRPr="00C60A14">
      <w:rPr>
        <w:rFonts w:ascii="Arial" w:hAnsi="Arial" w:cs="Arial"/>
        <w:sz w:val="20"/>
        <w:szCs w:val="20"/>
      </w:rPr>
      <w:fldChar w:fldCharType="begin"/>
    </w:r>
    <w:r w:rsidRPr="00C60A14">
      <w:rPr>
        <w:rFonts w:ascii="Arial" w:hAnsi="Arial" w:cs="Arial"/>
        <w:sz w:val="20"/>
        <w:szCs w:val="20"/>
      </w:rPr>
      <w:instrText xml:space="preserve"> PAGE </w:instrText>
    </w:r>
    <w:r w:rsidRPr="00C60A14">
      <w:rPr>
        <w:rFonts w:ascii="Arial" w:hAnsi="Arial" w:cs="Arial"/>
        <w:sz w:val="20"/>
        <w:szCs w:val="20"/>
      </w:rPr>
      <w:fldChar w:fldCharType="separate"/>
    </w:r>
    <w:r>
      <w:rPr>
        <w:rFonts w:ascii="Arial" w:hAnsi="Arial" w:cs="Arial"/>
        <w:noProof/>
        <w:sz w:val="20"/>
        <w:szCs w:val="20"/>
      </w:rPr>
      <w:t>5</w:t>
    </w:r>
    <w:r w:rsidRPr="00C60A14">
      <w:rPr>
        <w:rFonts w:ascii="Arial" w:hAnsi="Arial" w:cs="Arial"/>
        <w:sz w:val="20"/>
        <w:szCs w:val="20"/>
      </w:rPr>
      <w:fldChar w:fldCharType="end"/>
    </w:r>
    <w:r w:rsidRPr="00C60A14">
      <w:rPr>
        <w:rFonts w:ascii="Arial" w:hAnsi="Arial" w:cs="Arial"/>
        <w:sz w:val="20"/>
        <w:szCs w:val="20"/>
      </w:rPr>
      <w:t xml:space="preserve"> z </w:t>
    </w:r>
    <w:r w:rsidRPr="00C60A14">
      <w:rPr>
        <w:rFonts w:ascii="Arial" w:hAnsi="Arial" w:cs="Arial"/>
        <w:sz w:val="20"/>
        <w:szCs w:val="20"/>
      </w:rPr>
      <w:fldChar w:fldCharType="begin"/>
    </w:r>
    <w:r w:rsidRPr="00C60A14">
      <w:rPr>
        <w:rFonts w:ascii="Arial" w:hAnsi="Arial" w:cs="Arial"/>
        <w:sz w:val="20"/>
        <w:szCs w:val="20"/>
      </w:rPr>
      <w:instrText xml:space="preserve"> NUMPAGES </w:instrText>
    </w:r>
    <w:r w:rsidRPr="00C60A14">
      <w:rPr>
        <w:rFonts w:ascii="Arial" w:hAnsi="Arial" w:cs="Arial"/>
        <w:sz w:val="20"/>
        <w:szCs w:val="20"/>
      </w:rPr>
      <w:fldChar w:fldCharType="separate"/>
    </w:r>
    <w:r>
      <w:rPr>
        <w:rFonts w:ascii="Arial" w:hAnsi="Arial" w:cs="Arial"/>
        <w:noProof/>
        <w:sz w:val="20"/>
        <w:szCs w:val="20"/>
      </w:rPr>
      <w:t>5</w:t>
    </w:r>
    <w:r w:rsidRPr="00C60A14">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E92" w:rsidRDefault="00CD1E92">
      <w:r>
        <w:separator/>
      </w:r>
    </w:p>
  </w:footnote>
  <w:footnote w:type="continuationSeparator" w:id="1">
    <w:p w:rsidR="00CD1E92" w:rsidRDefault="00CD1E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E92" w:rsidRDefault="00CD1E92" w:rsidP="00983CBA">
    <w:pPr>
      <w:pStyle w:val="Header"/>
    </w:pPr>
    <w:r>
      <w:tab/>
    </w:r>
  </w:p>
  <w:p w:rsidR="00CD1E92" w:rsidRDefault="00CD1E92" w:rsidP="00983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C88A560"/>
    <w:lvl w:ilvl="0">
      <w:start w:val="1"/>
      <w:numFmt w:val="bullet"/>
      <w:lvlText w:val=""/>
      <w:lvlJc w:val="left"/>
      <w:pPr>
        <w:tabs>
          <w:tab w:val="num" w:pos="360"/>
        </w:tabs>
        <w:ind w:left="360" w:hanging="360"/>
      </w:pPr>
      <w:rPr>
        <w:rFonts w:ascii="Symbol" w:hAnsi="Symbol" w:cs="Symbol" w:hint="default"/>
      </w:rPr>
    </w:lvl>
  </w:abstractNum>
  <w:abstractNum w:abstractNumId="1">
    <w:nsid w:val="FFFFFFFB"/>
    <w:multiLevelType w:val="multilevel"/>
    <w:tmpl w:val="9F02AD34"/>
    <w:lvl w:ilvl="0">
      <w:start w:val="1"/>
      <w:numFmt w:val="decimal"/>
      <w:lvlText w:val="%1."/>
      <w:legacy w:legacy="1" w:legacySpace="144" w:legacyIndent="0"/>
      <w:lvlJc w:val="left"/>
      <w:rPr>
        <w:u w:val="none"/>
      </w:rPr>
    </w:lvl>
    <w:lvl w:ilvl="1">
      <w:start w:val="1"/>
      <w:numFmt w:val="decimal"/>
      <w:lvlText w:val="%1.%2."/>
      <w:legacy w:legacy="1" w:legacySpace="144" w:legacyIndent="0"/>
      <w:lvlJc w:val="left"/>
      <w:rPr>
        <w:u w:val="none"/>
      </w:rPr>
    </w:lvl>
    <w:lvl w:ilvl="2">
      <w:start w:val="1"/>
      <w:numFmt w:val="decimal"/>
      <w:lvlText w:val="%1.%2.%3."/>
      <w:legacy w:legacy="1" w:legacySpace="144" w:legacyIndent="0"/>
      <w:lvlJc w:val="left"/>
      <w:rPr>
        <w:u w:val="none"/>
      </w:rPr>
    </w:lvl>
    <w:lvl w:ilvl="3">
      <w:start w:val="1"/>
      <w:numFmt w:val="decimal"/>
      <w:lvlText w:val="%1.%2.%3.%4."/>
      <w:legacy w:legacy="1" w:legacySpace="144" w:legacyIndent="0"/>
      <w:lvlJc w:val="left"/>
      <w:rPr>
        <w:u w:val="none"/>
      </w:rPr>
    </w:lvl>
    <w:lvl w:ilvl="4">
      <w:start w:val="1"/>
      <w:numFmt w:val="decimal"/>
      <w:lvlText w:val="%1.%2.%3.%4.%5."/>
      <w:legacy w:legacy="1" w:legacySpace="144" w:legacyIndent="0"/>
      <w:lvlJc w:val="left"/>
      <w:rPr>
        <w:u w:val="none"/>
      </w:rPr>
    </w:lvl>
    <w:lvl w:ilvl="5">
      <w:start w:val="1"/>
      <w:numFmt w:val="decimal"/>
      <w:lvlText w:val="%1.%2.%3.%4.%5.%6."/>
      <w:legacy w:legacy="1" w:legacySpace="144" w:legacyIndent="0"/>
      <w:lvlJc w:val="left"/>
      <w:rPr>
        <w:u w:val="none"/>
      </w:rPr>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nsid w:val="0D2157AC"/>
    <w:multiLevelType w:val="multilevel"/>
    <w:tmpl w:val="30B4F35E"/>
    <w:lvl w:ilvl="0">
      <w:start w:val="1"/>
      <w:numFmt w:val="decimal"/>
      <w:lvlText w:val="%1."/>
      <w:legacy w:legacy="1" w:legacySpace="144" w:legacyIndent="0"/>
      <w:lvlJc w:val="left"/>
      <w:rPr>
        <w:u w:val="none"/>
      </w:rPr>
    </w:lvl>
    <w:lvl w:ilvl="1">
      <w:start w:val="1"/>
      <w:numFmt w:val="bullet"/>
      <w:lvlText w:val=""/>
      <w:lvlJc w:val="left"/>
      <w:rPr>
        <w:rFonts w:ascii="Symbol" w:hAnsi="Symbol" w:cs="Symbol" w:hint="default"/>
        <w:u w:val="none"/>
      </w:rPr>
    </w:lvl>
    <w:lvl w:ilvl="2">
      <w:start w:val="1"/>
      <w:numFmt w:val="decimal"/>
      <w:lvlText w:val="%1.%2.%3."/>
      <w:legacy w:legacy="1" w:legacySpace="144" w:legacyIndent="0"/>
      <w:lvlJc w:val="left"/>
      <w:rPr>
        <w:u w:val="none"/>
      </w:rPr>
    </w:lvl>
    <w:lvl w:ilvl="3">
      <w:start w:val="1"/>
      <w:numFmt w:val="decimal"/>
      <w:lvlText w:val="%1.%2.%3.%4."/>
      <w:legacy w:legacy="1" w:legacySpace="144" w:legacyIndent="0"/>
      <w:lvlJc w:val="left"/>
      <w:rPr>
        <w:u w:val="none"/>
      </w:rPr>
    </w:lvl>
    <w:lvl w:ilvl="4">
      <w:start w:val="1"/>
      <w:numFmt w:val="decimal"/>
      <w:lvlText w:val="%1.%2.%3.%4.%5."/>
      <w:legacy w:legacy="1" w:legacySpace="144" w:legacyIndent="0"/>
      <w:lvlJc w:val="left"/>
      <w:rPr>
        <w:u w:val="none"/>
      </w:rPr>
    </w:lvl>
    <w:lvl w:ilvl="5">
      <w:start w:val="1"/>
      <w:numFmt w:val="decimal"/>
      <w:lvlText w:val="%1.%2.%3.%4.%5.%6."/>
      <w:legacy w:legacy="1" w:legacySpace="144" w:legacyIndent="0"/>
      <w:lvlJc w:val="left"/>
      <w:rPr>
        <w:u w:val="none"/>
      </w:rPr>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nsid w:val="1A9E48AC"/>
    <w:multiLevelType w:val="hybridMultilevel"/>
    <w:tmpl w:val="4BE6322E"/>
    <w:lvl w:ilvl="0" w:tplc="187CA0FC">
      <w:numFmt w:val="bullet"/>
      <w:lvlText w:val="•"/>
      <w:lvlJc w:val="left"/>
      <w:pPr>
        <w:ind w:left="1410" w:hanging="690"/>
      </w:pPr>
      <w:rPr>
        <w:rFonts w:ascii="Arial" w:eastAsia="Times New Roman" w:hAnsi="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4">
    <w:nsid w:val="1BEC533A"/>
    <w:multiLevelType w:val="hybridMultilevel"/>
    <w:tmpl w:val="2564DD1C"/>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5">
    <w:nsid w:val="32FF1D49"/>
    <w:multiLevelType w:val="hybridMultilevel"/>
    <w:tmpl w:val="73168F2E"/>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nsid w:val="3E7E1FA0"/>
    <w:multiLevelType w:val="hybridMultilevel"/>
    <w:tmpl w:val="A12A532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4"/>
  </w:num>
  <w:num w:numId="8">
    <w:abstractNumId w:val="3"/>
  </w:num>
  <w:num w:numId="9">
    <w:abstractNumId w:val="5"/>
  </w:num>
  <w:num w:numId="10">
    <w:abstractNumId w:val="1"/>
  </w:num>
  <w:num w:numId="11">
    <w:abstractNumId w:val="1"/>
  </w:num>
  <w:num w:numId="12">
    <w:abstractNumId w:val="1"/>
  </w:num>
  <w:num w:numId="13">
    <w:abstractNumId w:val="1"/>
  </w:num>
  <w:num w:numId="14">
    <w:abstractNumId w:val="1"/>
  </w:num>
  <w:num w:numId="15">
    <w:abstractNumId w:val="2"/>
  </w:num>
  <w:num w:numId="16">
    <w:abstractNumId w:val="1"/>
  </w:num>
  <w:num w:numId="17">
    <w:abstractNumId w:val="1"/>
  </w:num>
  <w:num w:numId="18">
    <w:abstractNumId w:val="6"/>
  </w:num>
  <w:num w:numId="19">
    <w:abstractNumId w:val="1"/>
  </w:num>
  <w:num w:numId="20">
    <w:abstractNumId w:val="1"/>
  </w:num>
  <w:num w:numId="21">
    <w:abstractNumId w:val="1"/>
  </w:num>
  <w:num w:numId="22">
    <w:abstractNumId w:val="1"/>
  </w:num>
  <w:num w:numId="23">
    <w:abstractNumId w:val="1"/>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7A99"/>
    <w:rsid w:val="0000264F"/>
    <w:rsid w:val="00003E12"/>
    <w:rsid w:val="000049DC"/>
    <w:rsid w:val="00010DC0"/>
    <w:rsid w:val="00011C87"/>
    <w:rsid w:val="0001271A"/>
    <w:rsid w:val="00013237"/>
    <w:rsid w:val="0001477D"/>
    <w:rsid w:val="00016893"/>
    <w:rsid w:val="0001727B"/>
    <w:rsid w:val="0002233A"/>
    <w:rsid w:val="00024D60"/>
    <w:rsid w:val="0003401B"/>
    <w:rsid w:val="00036E27"/>
    <w:rsid w:val="000379CF"/>
    <w:rsid w:val="00037D53"/>
    <w:rsid w:val="000411BE"/>
    <w:rsid w:val="00045967"/>
    <w:rsid w:val="000460D1"/>
    <w:rsid w:val="00047CB0"/>
    <w:rsid w:val="00051A52"/>
    <w:rsid w:val="00051CCE"/>
    <w:rsid w:val="00057942"/>
    <w:rsid w:val="00064BE7"/>
    <w:rsid w:val="00065150"/>
    <w:rsid w:val="000659C6"/>
    <w:rsid w:val="00072265"/>
    <w:rsid w:val="00075900"/>
    <w:rsid w:val="00081729"/>
    <w:rsid w:val="0008513A"/>
    <w:rsid w:val="000A4400"/>
    <w:rsid w:val="000A661F"/>
    <w:rsid w:val="000A7837"/>
    <w:rsid w:val="000B1C66"/>
    <w:rsid w:val="000B2096"/>
    <w:rsid w:val="000B63BD"/>
    <w:rsid w:val="000B6C10"/>
    <w:rsid w:val="000C10B1"/>
    <w:rsid w:val="000D1823"/>
    <w:rsid w:val="000D3B10"/>
    <w:rsid w:val="000D4D67"/>
    <w:rsid w:val="000D710E"/>
    <w:rsid w:val="000D7B74"/>
    <w:rsid w:val="000E055A"/>
    <w:rsid w:val="000E2AC1"/>
    <w:rsid w:val="000E2AD2"/>
    <w:rsid w:val="000E4CC1"/>
    <w:rsid w:val="000E6377"/>
    <w:rsid w:val="000E7B95"/>
    <w:rsid w:val="000F1479"/>
    <w:rsid w:val="000F2F68"/>
    <w:rsid w:val="000F6979"/>
    <w:rsid w:val="000F7B2E"/>
    <w:rsid w:val="00100C69"/>
    <w:rsid w:val="00103CC9"/>
    <w:rsid w:val="00106A1A"/>
    <w:rsid w:val="00106B3D"/>
    <w:rsid w:val="00110DA2"/>
    <w:rsid w:val="00111F2A"/>
    <w:rsid w:val="001142A0"/>
    <w:rsid w:val="00115C54"/>
    <w:rsid w:val="00121AA4"/>
    <w:rsid w:val="00123476"/>
    <w:rsid w:val="00135DE4"/>
    <w:rsid w:val="001362B5"/>
    <w:rsid w:val="0014425B"/>
    <w:rsid w:val="001478D1"/>
    <w:rsid w:val="00154344"/>
    <w:rsid w:val="00154A9F"/>
    <w:rsid w:val="00161AE5"/>
    <w:rsid w:val="001655EB"/>
    <w:rsid w:val="001660E5"/>
    <w:rsid w:val="00167E0D"/>
    <w:rsid w:val="00174BF0"/>
    <w:rsid w:val="001752E4"/>
    <w:rsid w:val="001822D0"/>
    <w:rsid w:val="00185A87"/>
    <w:rsid w:val="00185E91"/>
    <w:rsid w:val="00186245"/>
    <w:rsid w:val="00187034"/>
    <w:rsid w:val="00190CA3"/>
    <w:rsid w:val="00197025"/>
    <w:rsid w:val="001A0FF0"/>
    <w:rsid w:val="001A4533"/>
    <w:rsid w:val="001A6613"/>
    <w:rsid w:val="001A7BEC"/>
    <w:rsid w:val="001B1870"/>
    <w:rsid w:val="001B2461"/>
    <w:rsid w:val="001B3C58"/>
    <w:rsid w:val="001B44A1"/>
    <w:rsid w:val="001B7663"/>
    <w:rsid w:val="001B7D53"/>
    <w:rsid w:val="001B7E0D"/>
    <w:rsid w:val="001C02BD"/>
    <w:rsid w:val="001C0B38"/>
    <w:rsid w:val="001C3B36"/>
    <w:rsid w:val="001C412A"/>
    <w:rsid w:val="001D1491"/>
    <w:rsid w:val="001D2D8C"/>
    <w:rsid w:val="001D6FB3"/>
    <w:rsid w:val="001D79CD"/>
    <w:rsid w:val="001E692E"/>
    <w:rsid w:val="001E7C68"/>
    <w:rsid w:val="001F0E68"/>
    <w:rsid w:val="001F1FB8"/>
    <w:rsid w:val="001F25A8"/>
    <w:rsid w:val="001F53D8"/>
    <w:rsid w:val="00200053"/>
    <w:rsid w:val="002007C5"/>
    <w:rsid w:val="00200F31"/>
    <w:rsid w:val="00211100"/>
    <w:rsid w:val="00212708"/>
    <w:rsid w:val="00217394"/>
    <w:rsid w:val="002209B4"/>
    <w:rsid w:val="002217D4"/>
    <w:rsid w:val="00222990"/>
    <w:rsid w:val="002242B6"/>
    <w:rsid w:val="00225E4C"/>
    <w:rsid w:val="00227560"/>
    <w:rsid w:val="0022793C"/>
    <w:rsid w:val="00230B19"/>
    <w:rsid w:val="002320E6"/>
    <w:rsid w:val="00241A36"/>
    <w:rsid w:val="00241E3F"/>
    <w:rsid w:val="00244C44"/>
    <w:rsid w:val="0025325F"/>
    <w:rsid w:val="00253F35"/>
    <w:rsid w:val="00254817"/>
    <w:rsid w:val="002566C5"/>
    <w:rsid w:val="00257551"/>
    <w:rsid w:val="0026172F"/>
    <w:rsid w:val="0026624D"/>
    <w:rsid w:val="0027057B"/>
    <w:rsid w:val="00272773"/>
    <w:rsid w:val="0027556D"/>
    <w:rsid w:val="002866A6"/>
    <w:rsid w:val="002878E4"/>
    <w:rsid w:val="00287BE6"/>
    <w:rsid w:val="0029008B"/>
    <w:rsid w:val="0029084F"/>
    <w:rsid w:val="00293198"/>
    <w:rsid w:val="00295B83"/>
    <w:rsid w:val="002A2367"/>
    <w:rsid w:val="002A3348"/>
    <w:rsid w:val="002A35C8"/>
    <w:rsid w:val="002A3E57"/>
    <w:rsid w:val="002B0E4F"/>
    <w:rsid w:val="002B2249"/>
    <w:rsid w:val="002B53D6"/>
    <w:rsid w:val="002B78ED"/>
    <w:rsid w:val="002C1D14"/>
    <w:rsid w:val="002C30D8"/>
    <w:rsid w:val="002C4499"/>
    <w:rsid w:val="002C72AF"/>
    <w:rsid w:val="002D08B8"/>
    <w:rsid w:val="002D0D4F"/>
    <w:rsid w:val="002D1629"/>
    <w:rsid w:val="002D281E"/>
    <w:rsid w:val="002D3B19"/>
    <w:rsid w:val="002D4F3B"/>
    <w:rsid w:val="002E2FF5"/>
    <w:rsid w:val="002E6023"/>
    <w:rsid w:val="002F11AD"/>
    <w:rsid w:val="002F209B"/>
    <w:rsid w:val="002F635F"/>
    <w:rsid w:val="00300767"/>
    <w:rsid w:val="00301316"/>
    <w:rsid w:val="00302A46"/>
    <w:rsid w:val="00306CE9"/>
    <w:rsid w:val="00311C3E"/>
    <w:rsid w:val="00312A94"/>
    <w:rsid w:val="00317F53"/>
    <w:rsid w:val="00322C46"/>
    <w:rsid w:val="00324A9F"/>
    <w:rsid w:val="003251BA"/>
    <w:rsid w:val="0032546A"/>
    <w:rsid w:val="00330D6A"/>
    <w:rsid w:val="00335689"/>
    <w:rsid w:val="0033689D"/>
    <w:rsid w:val="00340861"/>
    <w:rsid w:val="00342827"/>
    <w:rsid w:val="00343006"/>
    <w:rsid w:val="00343EF6"/>
    <w:rsid w:val="0034644D"/>
    <w:rsid w:val="00350D95"/>
    <w:rsid w:val="0036280C"/>
    <w:rsid w:val="003704D2"/>
    <w:rsid w:val="0037215F"/>
    <w:rsid w:val="00373CE5"/>
    <w:rsid w:val="00374EC6"/>
    <w:rsid w:val="00376C68"/>
    <w:rsid w:val="00381B65"/>
    <w:rsid w:val="00381FB6"/>
    <w:rsid w:val="00390A3F"/>
    <w:rsid w:val="0039393A"/>
    <w:rsid w:val="00393DA9"/>
    <w:rsid w:val="00394BF0"/>
    <w:rsid w:val="0039623D"/>
    <w:rsid w:val="003A1B39"/>
    <w:rsid w:val="003A207D"/>
    <w:rsid w:val="003A3514"/>
    <w:rsid w:val="003A61CC"/>
    <w:rsid w:val="003A65F1"/>
    <w:rsid w:val="003A7BA9"/>
    <w:rsid w:val="003B2CC8"/>
    <w:rsid w:val="003B509A"/>
    <w:rsid w:val="003C31F9"/>
    <w:rsid w:val="003C482C"/>
    <w:rsid w:val="003C510F"/>
    <w:rsid w:val="003D012D"/>
    <w:rsid w:val="003E3AE4"/>
    <w:rsid w:val="003E42F1"/>
    <w:rsid w:val="003E71F4"/>
    <w:rsid w:val="003F0141"/>
    <w:rsid w:val="003F2768"/>
    <w:rsid w:val="0040311C"/>
    <w:rsid w:val="00406187"/>
    <w:rsid w:val="00415459"/>
    <w:rsid w:val="004154F4"/>
    <w:rsid w:val="004239C0"/>
    <w:rsid w:val="0042444B"/>
    <w:rsid w:val="004300C1"/>
    <w:rsid w:val="004313D3"/>
    <w:rsid w:val="00431A69"/>
    <w:rsid w:val="004367D7"/>
    <w:rsid w:val="00437999"/>
    <w:rsid w:val="00441D17"/>
    <w:rsid w:val="00445564"/>
    <w:rsid w:val="00445B3E"/>
    <w:rsid w:val="004467A8"/>
    <w:rsid w:val="00456628"/>
    <w:rsid w:val="00462325"/>
    <w:rsid w:val="0047156B"/>
    <w:rsid w:val="00471D84"/>
    <w:rsid w:val="004729AC"/>
    <w:rsid w:val="00472DCA"/>
    <w:rsid w:val="00474D79"/>
    <w:rsid w:val="004754DE"/>
    <w:rsid w:val="004766DE"/>
    <w:rsid w:val="00476C97"/>
    <w:rsid w:val="00484090"/>
    <w:rsid w:val="004875D0"/>
    <w:rsid w:val="004878BF"/>
    <w:rsid w:val="00487958"/>
    <w:rsid w:val="0049108E"/>
    <w:rsid w:val="004954C8"/>
    <w:rsid w:val="00497FAB"/>
    <w:rsid w:val="004A339E"/>
    <w:rsid w:val="004A43B9"/>
    <w:rsid w:val="004A4542"/>
    <w:rsid w:val="004A780F"/>
    <w:rsid w:val="004B0BAE"/>
    <w:rsid w:val="004B1213"/>
    <w:rsid w:val="004B1B55"/>
    <w:rsid w:val="004B1D0E"/>
    <w:rsid w:val="004B21B2"/>
    <w:rsid w:val="004B31FD"/>
    <w:rsid w:val="004B3522"/>
    <w:rsid w:val="004B35B8"/>
    <w:rsid w:val="004B35E3"/>
    <w:rsid w:val="004B5C94"/>
    <w:rsid w:val="004B7041"/>
    <w:rsid w:val="004C18EF"/>
    <w:rsid w:val="004C4479"/>
    <w:rsid w:val="004D13DB"/>
    <w:rsid w:val="004D2B00"/>
    <w:rsid w:val="004D7371"/>
    <w:rsid w:val="004E0C86"/>
    <w:rsid w:val="004E5F66"/>
    <w:rsid w:val="004F1FBB"/>
    <w:rsid w:val="004F3026"/>
    <w:rsid w:val="004F3DD6"/>
    <w:rsid w:val="004F4D25"/>
    <w:rsid w:val="00503F1E"/>
    <w:rsid w:val="0050489B"/>
    <w:rsid w:val="00514898"/>
    <w:rsid w:val="00517B49"/>
    <w:rsid w:val="00520483"/>
    <w:rsid w:val="00521B7F"/>
    <w:rsid w:val="00524732"/>
    <w:rsid w:val="0053128D"/>
    <w:rsid w:val="00533CB2"/>
    <w:rsid w:val="00536769"/>
    <w:rsid w:val="0053679B"/>
    <w:rsid w:val="00545A94"/>
    <w:rsid w:val="005479DA"/>
    <w:rsid w:val="0055006D"/>
    <w:rsid w:val="00552885"/>
    <w:rsid w:val="00557861"/>
    <w:rsid w:val="00560AF3"/>
    <w:rsid w:val="00561311"/>
    <w:rsid w:val="005664E5"/>
    <w:rsid w:val="00570B11"/>
    <w:rsid w:val="00577518"/>
    <w:rsid w:val="0058182D"/>
    <w:rsid w:val="0058290D"/>
    <w:rsid w:val="005837C0"/>
    <w:rsid w:val="005860B0"/>
    <w:rsid w:val="00591203"/>
    <w:rsid w:val="00592D32"/>
    <w:rsid w:val="0059624B"/>
    <w:rsid w:val="00597203"/>
    <w:rsid w:val="005A5E0C"/>
    <w:rsid w:val="005B480E"/>
    <w:rsid w:val="005B5606"/>
    <w:rsid w:val="005B6BC8"/>
    <w:rsid w:val="005C0FF7"/>
    <w:rsid w:val="005C11B2"/>
    <w:rsid w:val="005C301E"/>
    <w:rsid w:val="005D3318"/>
    <w:rsid w:val="005D447E"/>
    <w:rsid w:val="005D54E4"/>
    <w:rsid w:val="005E2361"/>
    <w:rsid w:val="005E254A"/>
    <w:rsid w:val="005E5DB6"/>
    <w:rsid w:val="005F3612"/>
    <w:rsid w:val="005F4D54"/>
    <w:rsid w:val="006007AB"/>
    <w:rsid w:val="00601614"/>
    <w:rsid w:val="00602347"/>
    <w:rsid w:val="00612DB0"/>
    <w:rsid w:val="00613A8B"/>
    <w:rsid w:val="0061425E"/>
    <w:rsid w:val="00620070"/>
    <w:rsid w:val="006206FD"/>
    <w:rsid w:val="00622B68"/>
    <w:rsid w:val="0062446D"/>
    <w:rsid w:val="00627279"/>
    <w:rsid w:val="0063298F"/>
    <w:rsid w:val="00635ECC"/>
    <w:rsid w:val="00637ACC"/>
    <w:rsid w:val="00641C24"/>
    <w:rsid w:val="00651FDF"/>
    <w:rsid w:val="006567E8"/>
    <w:rsid w:val="006606F8"/>
    <w:rsid w:val="0066426E"/>
    <w:rsid w:val="00664714"/>
    <w:rsid w:val="00672A95"/>
    <w:rsid w:val="006751DD"/>
    <w:rsid w:val="006776B5"/>
    <w:rsid w:val="006819D5"/>
    <w:rsid w:val="006913B6"/>
    <w:rsid w:val="0069177E"/>
    <w:rsid w:val="006942CB"/>
    <w:rsid w:val="00695508"/>
    <w:rsid w:val="006A2A88"/>
    <w:rsid w:val="006A5A60"/>
    <w:rsid w:val="006B0BB7"/>
    <w:rsid w:val="006B2918"/>
    <w:rsid w:val="006B49E2"/>
    <w:rsid w:val="006B55B4"/>
    <w:rsid w:val="006C24BA"/>
    <w:rsid w:val="006C7647"/>
    <w:rsid w:val="006D0684"/>
    <w:rsid w:val="006D2E39"/>
    <w:rsid w:val="006D4382"/>
    <w:rsid w:val="006D5938"/>
    <w:rsid w:val="006D5F0A"/>
    <w:rsid w:val="006D770B"/>
    <w:rsid w:val="006E3872"/>
    <w:rsid w:val="006E45EF"/>
    <w:rsid w:val="006E4BEF"/>
    <w:rsid w:val="0070089B"/>
    <w:rsid w:val="00700C31"/>
    <w:rsid w:val="007027DB"/>
    <w:rsid w:val="0070373A"/>
    <w:rsid w:val="00704250"/>
    <w:rsid w:val="00704D02"/>
    <w:rsid w:val="00706A17"/>
    <w:rsid w:val="007073E3"/>
    <w:rsid w:val="00707DD4"/>
    <w:rsid w:val="0071017E"/>
    <w:rsid w:val="00710FC1"/>
    <w:rsid w:val="0071118E"/>
    <w:rsid w:val="007115E0"/>
    <w:rsid w:val="00717B67"/>
    <w:rsid w:val="00721F81"/>
    <w:rsid w:val="00722202"/>
    <w:rsid w:val="00722A82"/>
    <w:rsid w:val="0072302D"/>
    <w:rsid w:val="00725591"/>
    <w:rsid w:val="007259D3"/>
    <w:rsid w:val="00734631"/>
    <w:rsid w:val="0073673D"/>
    <w:rsid w:val="00753068"/>
    <w:rsid w:val="00753E2B"/>
    <w:rsid w:val="00754F45"/>
    <w:rsid w:val="007564BF"/>
    <w:rsid w:val="00757A7C"/>
    <w:rsid w:val="0076176B"/>
    <w:rsid w:val="007617BD"/>
    <w:rsid w:val="007646C2"/>
    <w:rsid w:val="0076746D"/>
    <w:rsid w:val="00772EA5"/>
    <w:rsid w:val="00775FE9"/>
    <w:rsid w:val="00776DE7"/>
    <w:rsid w:val="00783ADF"/>
    <w:rsid w:val="00783CA4"/>
    <w:rsid w:val="00785920"/>
    <w:rsid w:val="007870E4"/>
    <w:rsid w:val="0079015F"/>
    <w:rsid w:val="00791363"/>
    <w:rsid w:val="00795EBC"/>
    <w:rsid w:val="00796238"/>
    <w:rsid w:val="00796C6C"/>
    <w:rsid w:val="0079729C"/>
    <w:rsid w:val="007A1E47"/>
    <w:rsid w:val="007A233E"/>
    <w:rsid w:val="007A497C"/>
    <w:rsid w:val="007A794C"/>
    <w:rsid w:val="007B7040"/>
    <w:rsid w:val="007C0233"/>
    <w:rsid w:val="007C0922"/>
    <w:rsid w:val="007C5B9A"/>
    <w:rsid w:val="007C5CE6"/>
    <w:rsid w:val="007C6BBE"/>
    <w:rsid w:val="007D01EF"/>
    <w:rsid w:val="007D2669"/>
    <w:rsid w:val="007D31CE"/>
    <w:rsid w:val="007D4D30"/>
    <w:rsid w:val="007D5487"/>
    <w:rsid w:val="007D63F2"/>
    <w:rsid w:val="007D66F2"/>
    <w:rsid w:val="007E495D"/>
    <w:rsid w:val="007F446E"/>
    <w:rsid w:val="007F615B"/>
    <w:rsid w:val="00806654"/>
    <w:rsid w:val="00807808"/>
    <w:rsid w:val="0081335E"/>
    <w:rsid w:val="00816416"/>
    <w:rsid w:val="00816839"/>
    <w:rsid w:val="00816A21"/>
    <w:rsid w:val="00820151"/>
    <w:rsid w:val="00820F52"/>
    <w:rsid w:val="0082278E"/>
    <w:rsid w:val="0082634E"/>
    <w:rsid w:val="008274E1"/>
    <w:rsid w:val="00833534"/>
    <w:rsid w:val="00833A10"/>
    <w:rsid w:val="008359D2"/>
    <w:rsid w:val="00837B41"/>
    <w:rsid w:val="00843722"/>
    <w:rsid w:val="00851B92"/>
    <w:rsid w:val="008636F5"/>
    <w:rsid w:val="008645FA"/>
    <w:rsid w:val="0086498D"/>
    <w:rsid w:val="00864FC9"/>
    <w:rsid w:val="00871E94"/>
    <w:rsid w:val="00872B2C"/>
    <w:rsid w:val="00872BAA"/>
    <w:rsid w:val="00872DC3"/>
    <w:rsid w:val="0087331C"/>
    <w:rsid w:val="0087526E"/>
    <w:rsid w:val="0087568C"/>
    <w:rsid w:val="00877193"/>
    <w:rsid w:val="00877AA8"/>
    <w:rsid w:val="00887E18"/>
    <w:rsid w:val="00887F77"/>
    <w:rsid w:val="00890758"/>
    <w:rsid w:val="00892D0A"/>
    <w:rsid w:val="008A02DD"/>
    <w:rsid w:val="008A0A45"/>
    <w:rsid w:val="008A2DD5"/>
    <w:rsid w:val="008B65F5"/>
    <w:rsid w:val="008B7D1A"/>
    <w:rsid w:val="008C0E4E"/>
    <w:rsid w:val="008C0F1F"/>
    <w:rsid w:val="008C761C"/>
    <w:rsid w:val="008D24CA"/>
    <w:rsid w:val="008D4852"/>
    <w:rsid w:val="008D5DA8"/>
    <w:rsid w:val="008E0E81"/>
    <w:rsid w:val="008E2397"/>
    <w:rsid w:val="008E2F9D"/>
    <w:rsid w:val="008E6C0F"/>
    <w:rsid w:val="008E7374"/>
    <w:rsid w:val="008E7BBB"/>
    <w:rsid w:val="008F13EA"/>
    <w:rsid w:val="008F1786"/>
    <w:rsid w:val="008F5D42"/>
    <w:rsid w:val="009011A0"/>
    <w:rsid w:val="00902784"/>
    <w:rsid w:val="009042EF"/>
    <w:rsid w:val="0090602E"/>
    <w:rsid w:val="009077AD"/>
    <w:rsid w:val="0091006D"/>
    <w:rsid w:val="00910E8A"/>
    <w:rsid w:val="00913199"/>
    <w:rsid w:val="009172FC"/>
    <w:rsid w:val="00917DF3"/>
    <w:rsid w:val="0092056E"/>
    <w:rsid w:val="009205FB"/>
    <w:rsid w:val="00921A01"/>
    <w:rsid w:val="009222A7"/>
    <w:rsid w:val="00922E93"/>
    <w:rsid w:val="00923DFD"/>
    <w:rsid w:val="00926317"/>
    <w:rsid w:val="00930A3F"/>
    <w:rsid w:val="009313C9"/>
    <w:rsid w:val="00931CC5"/>
    <w:rsid w:val="009371C8"/>
    <w:rsid w:val="0093734E"/>
    <w:rsid w:val="0094161C"/>
    <w:rsid w:val="00941A24"/>
    <w:rsid w:val="0094424B"/>
    <w:rsid w:val="009444E6"/>
    <w:rsid w:val="009476B9"/>
    <w:rsid w:val="009506E5"/>
    <w:rsid w:val="009519C6"/>
    <w:rsid w:val="00954281"/>
    <w:rsid w:val="00960B06"/>
    <w:rsid w:val="00962015"/>
    <w:rsid w:val="009621C5"/>
    <w:rsid w:val="00964460"/>
    <w:rsid w:val="00966248"/>
    <w:rsid w:val="00972AD1"/>
    <w:rsid w:val="00972E25"/>
    <w:rsid w:val="0097320C"/>
    <w:rsid w:val="009769A7"/>
    <w:rsid w:val="00983CBA"/>
    <w:rsid w:val="00983D8F"/>
    <w:rsid w:val="009851B9"/>
    <w:rsid w:val="00985E7D"/>
    <w:rsid w:val="00991AEC"/>
    <w:rsid w:val="00994961"/>
    <w:rsid w:val="00995505"/>
    <w:rsid w:val="009964D2"/>
    <w:rsid w:val="009A2349"/>
    <w:rsid w:val="009A5678"/>
    <w:rsid w:val="009A6151"/>
    <w:rsid w:val="009A64D0"/>
    <w:rsid w:val="009B56BA"/>
    <w:rsid w:val="009B6BBF"/>
    <w:rsid w:val="009C4B3C"/>
    <w:rsid w:val="009D1639"/>
    <w:rsid w:val="009D16D4"/>
    <w:rsid w:val="009D3D15"/>
    <w:rsid w:val="009E23D9"/>
    <w:rsid w:val="009E2D7C"/>
    <w:rsid w:val="009E6394"/>
    <w:rsid w:val="009F1F66"/>
    <w:rsid w:val="009F48D0"/>
    <w:rsid w:val="00A03F51"/>
    <w:rsid w:val="00A0605D"/>
    <w:rsid w:val="00A1161F"/>
    <w:rsid w:val="00A21A88"/>
    <w:rsid w:val="00A22F59"/>
    <w:rsid w:val="00A241B8"/>
    <w:rsid w:val="00A24FA8"/>
    <w:rsid w:val="00A272A7"/>
    <w:rsid w:val="00A27CB2"/>
    <w:rsid w:val="00A36A7D"/>
    <w:rsid w:val="00A408F9"/>
    <w:rsid w:val="00A434B8"/>
    <w:rsid w:val="00A50EB0"/>
    <w:rsid w:val="00A55D19"/>
    <w:rsid w:val="00A57B9E"/>
    <w:rsid w:val="00A61C97"/>
    <w:rsid w:val="00A74803"/>
    <w:rsid w:val="00A75352"/>
    <w:rsid w:val="00A83595"/>
    <w:rsid w:val="00A84371"/>
    <w:rsid w:val="00A86577"/>
    <w:rsid w:val="00A86B85"/>
    <w:rsid w:val="00A92FE5"/>
    <w:rsid w:val="00A93804"/>
    <w:rsid w:val="00A9658F"/>
    <w:rsid w:val="00A97BE2"/>
    <w:rsid w:val="00AA13A5"/>
    <w:rsid w:val="00AA16DB"/>
    <w:rsid w:val="00AA2312"/>
    <w:rsid w:val="00AA2783"/>
    <w:rsid w:val="00AA32A9"/>
    <w:rsid w:val="00AA5E16"/>
    <w:rsid w:val="00AA60D2"/>
    <w:rsid w:val="00AA7034"/>
    <w:rsid w:val="00AB309D"/>
    <w:rsid w:val="00AB4449"/>
    <w:rsid w:val="00AB4671"/>
    <w:rsid w:val="00AB5140"/>
    <w:rsid w:val="00AC2EEC"/>
    <w:rsid w:val="00AC55BC"/>
    <w:rsid w:val="00AC5FDD"/>
    <w:rsid w:val="00AC7295"/>
    <w:rsid w:val="00AD0C6A"/>
    <w:rsid w:val="00AD1F8A"/>
    <w:rsid w:val="00AD2587"/>
    <w:rsid w:val="00AD3298"/>
    <w:rsid w:val="00AD4C01"/>
    <w:rsid w:val="00AD726E"/>
    <w:rsid w:val="00AE1135"/>
    <w:rsid w:val="00AE27A9"/>
    <w:rsid w:val="00AE2D35"/>
    <w:rsid w:val="00AE5E39"/>
    <w:rsid w:val="00AF483C"/>
    <w:rsid w:val="00AF5B47"/>
    <w:rsid w:val="00AF6A8C"/>
    <w:rsid w:val="00B0178C"/>
    <w:rsid w:val="00B01C97"/>
    <w:rsid w:val="00B02CD6"/>
    <w:rsid w:val="00B043D2"/>
    <w:rsid w:val="00B11142"/>
    <w:rsid w:val="00B14787"/>
    <w:rsid w:val="00B14B6C"/>
    <w:rsid w:val="00B17E12"/>
    <w:rsid w:val="00B21F43"/>
    <w:rsid w:val="00B252D3"/>
    <w:rsid w:val="00B2623F"/>
    <w:rsid w:val="00B37A8E"/>
    <w:rsid w:val="00B41941"/>
    <w:rsid w:val="00B43C31"/>
    <w:rsid w:val="00B50061"/>
    <w:rsid w:val="00B501C3"/>
    <w:rsid w:val="00B51009"/>
    <w:rsid w:val="00B53AE6"/>
    <w:rsid w:val="00B54009"/>
    <w:rsid w:val="00B57F7A"/>
    <w:rsid w:val="00B65FB5"/>
    <w:rsid w:val="00B72601"/>
    <w:rsid w:val="00B72A55"/>
    <w:rsid w:val="00B72CCB"/>
    <w:rsid w:val="00B75E4B"/>
    <w:rsid w:val="00B800F1"/>
    <w:rsid w:val="00B811B4"/>
    <w:rsid w:val="00B82203"/>
    <w:rsid w:val="00B83E05"/>
    <w:rsid w:val="00B8559C"/>
    <w:rsid w:val="00B872BF"/>
    <w:rsid w:val="00B92E13"/>
    <w:rsid w:val="00B93FCB"/>
    <w:rsid w:val="00B94512"/>
    <w:rsid w:val="00B95AB4"/>
    <w:rsid w:val="00B95FFE"/>
    <w:rsid w:val="00BA4E0D"/>
    <w:rsid w:val="00BA637E"/>
    <w:rsid w:val="00BA63C2"/>
    <w:rsid w:val="00BA718E"/>
    <w:rsid w:val="00BA7AA2"/>
    <w:rsid w:val="00BB0740"/>
    <w:rsid w:val="00BB0E83"/>
    <w:rsid w:val="00BB0FAD"/>
    <w:rsid w:val="00BB13AC"/>
    <w:rsid w:val="00BB2D65"/>
    <w:rsid w:val="00BB4E8D"/>
    <w:rsid w:val="00BC0905"/>
    <w:rsid w:val="00BD1ADA"/>
    <w:rsid w:val="00BD32B8"/>
    <w:rsid w:val="00BD39B4"/>
    <w:rsid w:val="00BD633F"/>
    <w:rsid w:val="00BD644B"/>
    <w:rsid w:val="00BE135E"/>
    <w:rsid w:val="00BE3F1E"/>
    <w:rsid w:val="00BE5FC5"/>
    <w:rsid w:val="00BE72F8"/>
    <w:rsid w:val="00BF320E"/>
    <w:rsid w:val="00BF3801"/>
    <w:rsid w:val="00BF451A"/>
    <w:rsid w:val="00BF6CC9"/>
    <w:rsid w:val="00BF76CD"/>
    <w:rsid w:val="00C0146D"/>
    <w:rsid w:val="00C038B6"/>
    <w:rsid w:val="00C0501F"/>
    <w:rsid w:val="00C057D7"/>
    <w:rsid w:val="00C06B08"/>
    <w:rsid w:val="00C14C56"/>
    <w:rsid w:val="00C16583"/>
    <w:rsid w:val="00C232C9"/>
    <w:rsid w:val="00C256E7"/>
    <w:rsid w:val="00C25D87"/>
    <w:rsid w:val="00C264BD"/>
    <w:rsid w:val="00C31BCF"/>
    <w:rsid w:val="00C37793"/>
    <w:rsid w:val="00C37E5D"/>
    <w:rsid w:val="00C418E9"/>
    <w:rsid w:val="00C4526A"/>
    <w:rsid w:val="00C4689E"/>
    <w:rsid w:val="00C50993"/>
    <w:rsid w:val="00C5209B"/>
    <w:rsid w:val="00C60A14"/>
    <w:rsid w:val="00C63222"/>
    <w:rsid w:val="00C65B54"/>
    <w:rsid w:val="00C70ABE"/>
    <w:rsid w:val="00C71BB8"/>
    <w:rsid w:val="00C75A4D"/>
    <w:rsid w:val="00C843F0"/>
    <w:rsid w:val="00C85CE9"/>
    <w:rsid w:val="00C95BC8"/>
    <w:rsid w:val="00CA0362"/>
    <w:rsid w:val="00CB2199"/>
    <w:rsid w:val="00CB296E"/>
    <w:rsid w:val="00CB3B7A"/>
    <w:rsid w:val="00CB73FF"/>
    <w:rsid w:val="00CC4ACF"/>
    <w:rsid w:val="00CC60FE"/>
    <w:rsid w:val="00CC6ADD"/>
    <w:rsid w:val="00CD14DD"/>
    <w:rsid w:val="00CD1E92"/>
    <w:rsid w:val="00CD29BE"/>
    <w:rsid w:val="00CD3982"/>
    <w:rsid w:val="00CD3B23"/>
    <w:rsid w:val="00CD46FB"/>
    <w:rsid w:val="00CD5674"/>
    <w:rsid w:val="00CD7615"/>
    <w:rsid w:val="00CE092B"/>
    <w:rsid w:val="00CE46FE"/>
    <w:rsid w:val="00CE70FD"/>
    <w:rsid w:val="00CF2402"/>
    <w:rsid w:val="00CF731A"/>
    <w:rsid w:val="00D046B2"/>
    <w:rsid w:val="00D04B3B"/>
    <w:rsid w:val="00D05475"/>
    <w:rsid w:val="00D1199E"/>
    <w:rsid w:val="00D11A2A"/>
    <w:rsid w:val="00D11B2D"/>
    <w:rsid w:val="00D12BA5"/>
    <w:rsid w:val="00D1369C"/>
    <w:rsid w:val="00D149F7"/>
    <w:rsid w:val="00D16668"/>
    <w:rsid w:val="00D2092B"/>
    <w:rsid w:val="00D30795"/>
    <w:rsid w:val="00D30D2F"/>
    <w:rsid w:val="00D323E6"/>
    <w:rsid w:val="00D429F7"/>
    <w:rsid w:val="00D42E42"/>
    <w:rsid w:val="00D45A1C"/>
    <w:rsid w:val="00D46C43"/>
    <w:rsid w:val="00D47F8C"/>
    <w:rsid w:val="00D532AE"/>
    <w:rsid w:val="00D534EF"/>
    <w:rsid w:val="00D55ABE"/>
    <w:rsid w:val="00D56CC1"/>
    <w:rsid w:val="00D63B04"/>
    <w:rsid w:val="00D644DF"/>
    <w:rsid w:val="00D67371"/>
    <w:rsid w:val="00D7129F"/>
    <w:rsid w:val="00D7586C"/>
    <w:rsid w:val="00D7722C"/>
    <w:rsid w:val="00D81636"/>
    <w:rsid w:val="00D85970"/>
    <w:rsid w:val="00D85F04"/>
    <w:rsid w:val="00D90DD1"/>
    <w:rsid w:val="00D97A99"/>
    <w:rsid w:val="00DA21E0"/>
    <w:rsid w:val="00DA3377"/>
    <w:rsid w:val="00DB2159"/>
    <w:rsid w:val="00DB3943"/>
    <w:rsid w:val="00DC002D"/>
    <w:rsid w:val="00DC462F"/>
    <w:rsid w:val="00DC7D2E"/>
    <w:rsid w:val="00DD0B8F"/>
    <w:rsid w:val="00DD2687"/>
    <w:rsid w:val="00DD37A0"/>
    <w:rsid w:val="00DD5F55"/>
    <w:rsid w:val="00DE45ED"/>
    <w:rsid w:val="00DE52D5"/>
    <w:rsid w:val="00DF2C2F"/>
    <w:rsid w:val="00DF2FE5"/>
    <w:rsid w:val="00DF4913"/>
    <w:rsid w:val="00DF6DFA"/>
    <w:rsid w:val="00E002F1"/>
    <w:rsid w:val="00E03521"/>
    <w:rsid w:val="00E03A12"/>
    <w:rsid w:val="00E05E78"/>
    <w:rsid w:val="00E136A8"/>
    <w:rsid w:val="00E153E7"/>
    <w:rsid w:val="00E157A5"/>
    <w:rsid w:val="00E1776F"/>
    <w:rsid w:val="00E21597"/>
    <w:rsid w:val="00E22A85"/>
    <w:rsid w:val="00E24A99"/>
    <w:rsid w:val="00E25521"/>
    <w:rsid w:val="00E3074C"/>
    <w:rsid w:val="00E322A7"/>
    <w:rsid w:val="00E3377A"/>
    <w:rsid w:val="00E35024"/>
    <w:rsid w:val="00E40458"/>
    <w:rsid w:val="00E40B82"/>
    <w:rsid w:val="00E46645"/>
    <w:rsid w:val="00E53B81"/>
    <w:rsid w:val="00E54425"/>
    <w:rsid w:val="00E54AC9"/>
    <w:rsid w:val="00E559FC"/>
    <w:rsid w:val="00E55CC0"/>
    <w:rsid w:val="00E57C59"/>
    <w:rsid w:val="00E72E75"/>
    <w:rsid w:val="00E75E46"/>
    <w:rsid w:val="00E80512"/>
    <w:rsid w:val="00E813F6"/>
    <w:rsid w:val="00E858B8"/>
    <w:rsid w:val="00E90FC8"/>
    <w:rsid w:val="00E9349F"/>
    <w:rsid w:val="00E935EF"/>
    <w:rsid w:val="00E952B3"/>
    <w:rsid w:val="00EA1430"/>
    <w:rsid w:val="00EA47FA"/>
    <w:rsid w:val="00EA6763"/>
    <w:rsid w:val="00EB1122"/>
    <w:rsid w:val="00EB2FC8"/>
    <w:rsid w:val="00EB3049"/>
    <w:rsid w:val="00EB317A"/>
    <w:rsid w:val="00EB68F8"/>
    <w:rsid w:val="00EB6C7A"/>
    <w:rsid w:val="00EB6EF4"/>
    <w:rsid w:val="00EC1546"/>
    <w:rsid w:val="00EC20DB"/>
    <w:rsid w:val="00EC3D49"/>
    <w:rsid w:val="00EC716B"/>
    <w:rsid w:val="00ED1EA9"/>
    <w:rsid w:val="00ED2259"/>
    <w:rsid w:val="00ED6C3C"/>
    <w:rsid w:val="00ED75A7"/>
    <w:rsid w:val="00EE0C0C"/>
    <w:rsid w:val="00EE0E44"/>
    <w:rsid w:val="00EE1934"/>
    <w:rsid w:val="00EE310A"/>
    <w:rsid w:val="00EE4FD6"/>
    <w:rsid w:val="00EE7DE2"/>
    <w:rsid w:val="00EF1237"/>
    <w:rsid w:val="00EF4552"/>
    <w:rsid w:val="00EF4881"/>
    <w:rsid w:val="00EF6EA9"/>
    <w:rsid w:val="00F00116"/>
    <w:rsid w:val="00F00E57"/>
    <w:rsid w:val="00F047CE"/>
    <w:rsid w:val="00F04D58"/>
    <w:rsid w:val="00F11170"/>
    <w:rsid w:val="00F2517A"/>
    <w:rsid w:val="00F276A2"/>
    <w:rsid w:val="00F32D28"/>
    <w:rsid w:val="00F41F37"/>
    <w:rsid w:val="00F4238B"/>
    <w:rsid w:val="00F458AD"/>
    <w:rsid w:val="00F45D36"/>
    <w:rsid w:val="00F45FA6"/>
    <w:rsid w:val="00F46741"/>
    <w:rsid w:val="00F50CAB"/>
    <w:rsid w:val="00F51B90"/>
    <w:rsid w:val="00F56041"/>
    <w:rsid w:val="00F56475"/>
    <w:rsid w:val="00F5668F"/>
    <w:rsid w:val="00F570B5"/>
    <w:rsid w:val="00F578C8"/>
    <w:rsid w:val="00F623D8"/>
    <w:rsid w:val="00F655DE"/>
    <w:rsid w:val="00F65EB7"/>
    <w:rsid w:val="00F674A4"/>
    <w:rsid w:val="00F733E1"/>
    <w:rsid w:val="00F765FA"/>
    <w:rsid w:val="00F81169"/>
    <w:rsid w:val="00F83FB4"/>
    <w:rsid w:val="00F85B3A"/>
    <w:rsid w:val="00F85DF9"/>
    <w:rsid w:val="00F85E3D"/>
    <w:rsid w:val="00F9042D"/>
    <w:rsid w:val="00F906CB"/>
    <w:rsid w:val="00F927CF"/>
    <w:rsid w:val="00FA18CA"/>
    <w:rsid w:val="00FA3F49"/>
    <w:rsid w:val="00FA72FA"/>
    <w:rsid w:val="00FB020C"/>
    <w:rsid w:val="00FB14C9"/>
    <w:rsid w:val="00FB48E7"/>
    <w:rsid w:val="00FB6872"/>
    <w:rsid w:val="00FC02FA"/>
    <w:rsid w:val="00FC0AAB"/>
    <w:rsid w:val="00FC2EF2"/>
    <w:rsid w:val="00FC429D"/>
    <w:rsid w:val="00FC6FBB"/>
    <w:rsid w:val="00FD17D3"/>
    <w:rsid w:val="00FD1CEC"/>
    <w:rsid w:val="00FD20BF"/>
    <w:rsid w:val="00FD271D"/>
    <w:rsid w:val="00FD5385"/>
    <w:rsid w:val="00FE1AFE"/>
    <w:rsid w:val="00FE2B8E"/>
    <w:rsid w:val="00FE51AD"/>
    <w:rsid w:val="00FE6895"/>
    <w:rsid w:val="00FE6F46"/>
    <w:rsid w:val="00FF529E"/>
    <w:rsid w:val="00FF5857"/>
    <w:rsid w:val="00FF799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237"/>
    <w:rPr>
      <w:sz w:val="24"/>
      <w:szCs w:val="24"/>
    </w:rPr>
  </w:style>
  <w:style w:type="paragraph" w:styleId="Heading1">
    <w:name w:val="heading 1"/>
    <w:basedOn w:val="Normal"/>
    <w:next w:val="ANormln"/>
    <w:link w:val="Heading1Char"/>
    <w:uiPriority w:val="99"/>
    <w:qFormat/>
    <w:rsid w:val="00B501C3"/>
    <w:pPr>
      <w:keepNext/>
      <w:numPr>
        <w:numId w:val="3"/>
      </w:numPr>
      <w:tabs>
        <w:tab w:val="clear" w:pos="360"/>
      </w:tabs>
      <w:spacing w:before="240" w:after="60"/>
      <w:ind w:left="0" w:firstLine="0"/>
      <w:outlineLvl w:val="0"/>
    </w:pPr>
    <w:rPr>
      <w:rFonts w:ascii="Arial" w:hAnsi="Arial" w:cs="Arial"/>
      <w:b/>
      <w:bCs/>
      <w:caps/>
      <w:kern w:val="32"/>
      <w:sz w:val="32"/>
      <w:szCs w:val="32"/>
    </w:rPr>
  </w:style>
  <w:style w:type="paragraph" w:styleId="Heading2">
    <w:name w:val="heading 2"/>
    <w:basedOn w:val="Normal"/>
    <w:next w:val="Normal"/>
    <w:link w:val="Heading2Char"/>
    <w:uiPriority w:val="99"/>
    <w:qFormat/>
    <w:rsid w:val="00B501C3"/>
    <w:pPr>
      <w:keepNext/>
      <w:numPr>
        <w:ilvl w:val="1"/>
        <w:numId w:val="3"/>
      </w:numPr>
      <w:tabs>
        <w:tab w:val="clear" w:pos="360"/>
      </w:tabs>
      <w:spacing w:before="240" w:after="60"/>
      <w:ind w:left="0" w:firstLine="0"/>
      <w:outlineLvl w:val="1"/>
    </w:pPr>
    <w:rPr>
      <w:rFonts w:ascii="Arial" w:hAnsi="Arial" w:cs="Arial"/>
      <w:b/>
      <w:bCs/>
      <w:sz w:val="28"/>
      <w:szCs w:val="28"/>
    </w:rPr>
  </w:style>
  <w:style w:type="paragraph" w:styleId="Heading3">
    <w:name w:val="heading 3"/>
    <w:basedOn w:val="Normal"/>
    <w:next w:val="Normal"/>
    <w:link w:val="Heading3Char"/>
    <w:uiPriority w:val="99"/>
    <w:qFormat/>
    <w:rsid w:val="004B3522"/>
    <w:pPr>
      <w:keepNext/>
      <w:numPr>
        <w:ilvl w:val="2"/>
        <w:numId w:val="3"/>
      </w:numPr>
      <w:tabs>
        <w:tab w:val="clear" w:pos="360"/>
      </w:tabs>
      <w:spacing w:before="120"/>
      <w:ind w:left="0" w:firstLine="0"/>
      <w:outlineLvl w:val="2"/>
    </w:pPr>
    <w:rPr>
      <w:rFonts w:ascii="Arial" w:hAnsi="Arial" w:cs="Arial"/>
      <w:b/>
      <w:bCs/>
      <w:i/>
      <w:iCs/>
      <w:sz w:val="22"/>
      <w:szCs w:val="22"/>
    </w:rPr>
  </w:style>
  <w:style w:type="paragraph" w:styleId="Heading4">
    <w:name w:val="heading 4"/>
    <w:basedOn w:val="Normal"/>
    <w:next w:val="Normal"/>
    <w:link w:val="Heading4Char"/>
    <w:uiPriority w:val="99"/>
    <w:qFormat/>
    <w:rsid w:val="00C5209B"/>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paragraph" w:styleId="Title">
    <w:name w:val="Title"/>
    <w:basedOn w:val="Normal"/>
    <w:link w:val="TitleChar"/>
    <w:uiPriority w:val="99"/>
    <w:qFormat/>
    <w:rsid w:val="008C0E4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paragraph" w:styleId="Header">
    <w:name w:val="header"/>
    <w:basedOn w:val="Normal"/>
    <w:link w:val="HeaderChar"/>
    <w:uiPriority w:val="99"/>
    <w:rsid w:val="00D323E6"/>
    <w:pPr>
      <w:tabs>
        <w:tab w:val="center" w:pos="4536"/>
        <w:tab w:val="right" w:pos="9072"/>
      </w:tabs>
    </w:pPr>
  </w:style>
  <w:style w:type="character" w:customStyle="1" w:styleId="HeaderChar">
    <w:name w:val="Header Char"/>
    <w:basedOn w:val="DefaultParagraphFont"/>
    <w:link w:val="Header"/>
    <w:uiPriority w:val="99"/>
    <w:locked/>
    <w:rsid w:val="0058182D"/>
    <w:rPr>
      <w:sz w:val="24"/>
      <w:szCs w:val="24"/>
    </w:rPr>
  </w:style>
  <w:style w:type="paragraph" w:styleId="Footer">
    <w:name w:val="footer"/>
    <w:basedOn w:val="Normal"/>
    <w:link w:val="FooterChar"/>
    <w:uiPriority w:val="99"/>
    <w:rsid w:val="00D323E6"/>
    <w:pPr>
      <w:tabs>
        <w:tab w:val="center" w:pos="4536"/>
        <w:tab w:val="right" w:pos="9072"/>
      </w:tabs>
    </w:pPr>
  </w:style>
  <w:style w:type="character" w:customStyle="1" w:styleId="FooterChar">
    <w:name w:val="Footer Char"/>
    <w:basedOn w:val="DefaultParagraphFont"/>
    <w:link w:val="Footer"/>
    <w:uiPriority w:val="99"/>
    <w:semiHidden/>
    <w:locked/>
    <w:rPr>
      <w:sz w:val="24"/>
      <w:szCs w:val="24"/>
    </w:rPr>
  </w:style>
  <w:style w:type="character" w:styleId="Hyperlink">
    <w:name w:val="Hyperlink"/>
    <w:basedOn w:val="DefaultParagraphFont"/>
    <w:uiPriority w:val="99"/>
    <w:rsid w:val="00545A94"/>
    <w:rPr>
      <w:color w:val="0000FF"/>
      <w:u w:val="single"/>
    </w:rPr>
  </w:style>
  <w:style w:type="paragraph" w:customStyle="1" w:styleId="ANormln">
    <w:name w:val="A_Normální"/>
    <w:basedOn w:val="Normal"/>
    <w:link w:val="ANormlnChar"/>
    <w:uiPriority w:val="99"/>
    <w:rsid w:val="00C31BCF"/>
    <w:pPr>
      <w:spacing w:before="120"/>
      <w:ind w:firstLine="284"/>
      <w:jc w:val="both"/>
    </w:pPr>
    <w:rPr>
      <w:rFonts w:ascii="Arial" w:hAnsi="Arial" w:cs="Arial"/>
      <w:sz w:val="22"/>
      <w:szCs w:val="22"/>
    </w:rPr>
  </w:style>
  <w:style w:type="paragraph" w:styleId="ListBullet">
    <w:name w:val="List Bullet"/>
    <w:basedOn w:val="Normal"/>
    <w:uiPriority w:val="99"/>
    <w:rsid w:val="00B8559C"/>
    <w:pPr>
      <w:numPr>
        <w:numId w:val="2"/>
      </w:numPr>
      <w:spacing w:before="120"/>
    </w:pPr>
    <w:rPr>
      <w:rFonts w:ascii="Arial" w:hAnsi="Arial" w:cs="Arial"/>
      <w:sz w:val="22"/>
      <w:szCs w:val="22"/>
    </w:rPr>
  </w:style>
  <w:style w:type="paragraph" w:styleId="TOC1">
    <w:name w:val="toc 1"/>
    <w:basedOn w:val="Normal"/>
    <w:next w:val="Normal"/>
    <w:autoRedefine/>
    <w:uiPriority w:val="99"/>
    <w:semiHidden/>
    <w:rsid w:val="009A5678"/>
    <w:pPr>
      <w:tabs>
        <w:tab w:val="left" w:pos="480"/>
        <w:tab w:val="right" w:pos="9060"/>
      </w:tabs>
      <w:spacing w:before="120"/>
    </w:pPr>
    <w:rPr>
      <w:rFonts w:ascii="Arial" w:hAnsi="Arial" w:cs="Arial"/>
      <w:b/>
      <w:bCs/>
      <w:sz w:val="22"/>
      <w:szCs w:val="22"/>
    </w:rPr>
  </w:style>
  <w:style w:type="paragraph" w:customStyle="1" w:styleId="AObsah">
    <w:name w:val="A_Obsah"/>
    <w:basedOn w:val="Normal"/>
    <w:uiPriority w:val="99"/>
    <w:rsid w:val="002A3E57"/>
    <w:pPr>
      <w:pageBreakBefore/>
    </w:pPr>
    <w:rPr>
      <w:rFonts w:ascii="Arial" w:hAnsi="Arial" w:cs="Arial"/>
      <w:b/>
      <w:bCs/>
      <w:sz w:val="28"/>
      <w:szCs w:val="28"/>
    </w:rPr>
  </w:style>
  <w:style w:type="paragraph" w:styleId="TOC3">
    <w:name w:val="toc 3"/>
    <w:basedOn w:val="Normal"/>
    <w:next w:val="Normal"/>
    <w:autoRedefine/>
    <w:uiPriority w:val="99"/>
    <w:semiHidden/>
    <w:rsid w:val="00FD17D3"/>
    <w:pPr>
      <w:ind w:left="480"/>
    </w:pPr>
  </w:style>
  <w:style w:type="paragraph" w:customStyle="1" w:styleId="StylANormln10bPrvndek0cmPed0b">
    <w:name w:val="Styl A_Normální + 10 b. První řádek:  0 cm Před:  0 b."/>
    <w:basedOn w:val="ANormln"/>
    <w:uiPriority w:val="99"/>
    <w:rsid w:val="005D3318"/>
    <w:pPr>
      <w:spacing w:before="20"/>
      <w:ind w:firstLine="0"/>
    </w:pPr>
    <w:rPr>
      <w:sz w:val="20"/>
      <w:szCs w:val="20"/>
    </w:rPr>
  </w:style>
  <w:style w:type="paragraph" w:styleId="TOC2">
    <w:name w:val="toc 2"/>
    <w:basedOn w:val="Normal"/>
    <w:next w:val="Normal"/>
    <w:autoRedefine/>
    <w:uiPriority w:val="99"/>
    <w:semiHidden/>
    <w:rsid w:val="00757A7C"/>
    <w:pPr>
      <w:tabs>
        <w:tab w:val="right" w:pos="9060"/>
      </w:tabs>
      <w:ind w:left="240"/>
    </w:pPr>
    <w:rPr>
      <w:rFonts w:ascii="Arial" w:hAnsi="Arial" w:cs="Arial"/>
      <w:noProof/>
      <w:sz w:val="22"/>
      <w:szCs w:val="22"/>
    </w:rPr>
  </w:style>
  <w:style w:type="paragraph" w:customStyle="1" w:styleId="AObsah1">
    <w:name w:val="A_Obsah 1"/>
    <w:basedOn w:val="TOC1"/>
    <w:uiPriority w:val="99"/>
    <w:rsid w:val="001362B5"/>
    <w:rPr>
      <w:noProof/>
    </w:rPr>
  </w:style>
  <w:style w:type="paragraph" w:styleId="DocumentMap">
    <w:name w:val="Document Map"/>
    <w:basedOn w:val="Normal"/>
    <w:link w:val="DocumentMapChar"/>
    <w:uiPriority w:val="99"/>
    <w:semiHidden/>
    <w:rsid w:val="0044556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sz w:val="2"/>
      <w:szCs w:val="2"/>
    </w:rPr>
  </w:style>
  <w:style w:type="paragraph" w:customStyle="1" w:styleId="AObsah2">
    <w:name w:val="A_Obsah 2"/>
    <w:basedOn w:val="TOC1"/>
    <w:uiPriority w:val="99"/>
    <w:rsid w:val="001362B5"/>
    <w:rPr>
      <w:noProof/>
    </w:rPr>
  </w:style>
  <w:style w:type="paragraph" w:styleId="CommentText">
    <w:name w:val="annotation text"/>
    <w:basedOn w:val="Normal"/>
    <w:link w:val="CommentTextChar"/>
    <w:uiPriority w:val="99"/>
    <w:semiHidden/>
    <w:rsid w:val="009621C5"/>
    <w:rPr>
      <w:sz w:val="28"/>
      <w:szCs w:val="28"/>
      <w:lang w:val="en-US"/>
    </w:rPr>
  </w:style>
  <w:style w:type="character" w:customStyle="1" w:styleId="CommentTextChar">
    <w:name w:val="Comment Text Char"/>
    <w:basedOn w:val="DefaultParagraphFont"/>
    <w:link w:val="CommentText"/>
    <w:uiPriority w:val="99"/>
    <w:semiHidden/>
    <w:locked/>
    <w:rsid w:val="0070089B"/>
    <w:rPr>
      <w:sz w:val="28"/>
      <w:szCs w:val="28"/>
      <w:lang w:val="en-US"/>
    </w:rPr>
  </w:style>
  <w:style w:type="paragraph" w:styleId="BodyText2">
    <w:name w:val="Body Text 2"/>
    <w:basedOn w:val="Normal"/>
    <w:link w:val="BodyText2Char"/>
    <w:uiPriority w:val="99"/>
    <w:rsid w:val="00783CA4"/>
    <w:pPr>
      <w:jc w:val="both"/>
    </w:pPr>
    <w:rPr>
      <w:b/>
      <w:bCs/>
      <w:sz w:val="28"/>
      <w:szCs w:val="28"/>
    </w:rPr>
  </w:style>
  <w:style w:type="character" w:customStyle="1" w:styleId="BodyText2Char">
    <w:name w:val="Body Text 2 Char"/>
    <w:basedOn w:val="DefaultParagraphFont"/>
    <w:link w:val="BodyText2"/>
    <w:uiPriority w:val="99"/>
    <w:semiHidden/>
    <w:locked/>
    <w:rPr>
      <w:sz w:val="24"/>
      <w:szCs w:val="24"/>
    </w:rPr>
  </w:style>
  <w:style w:type="paragraph" w:customStyle="1" w:styleId="SmlNadpis1">
    <w:name w:val="Sml_Nadpis 1"/>
    <w:basedOn w:val="Heading1"/>
    <w:uiPriority w:val="99"/>
    <w:rsid w:val="00A93804"/>
    <w:pPr>
      <w:spacing w:before="360"/>
    </w:pPr>
    <w:rPr>
      <w:sz w:val="22"/>
      <w:szCs w:val="22"/>
    </w:rPr>
  </w:style>
  <w:style w:type="paragraph" w:customStyle="1" w:styleId="SmlNadpis2">
    <w:name w:val="Sml_Nadpis 2"/>
    <w:basedOn w:val="Heading2"/>
    <w:uiPriority w:val="99"/>
    <w:rsid w:val="00A93804"/>
    <w:pPr>
      <w:keepNext w:val="0"/>
      <w:ind w:left="709" w:hanging="709"/>
      <w:jc w:val="both"/>
    </w:pPr>
    <w:rPr>
      <w:b w:val="0"/>
      <w:bCs w:val="0"/>
      <w:sz w:val="20"/>
      <w:szCs w:val="20"/>
    </w:rPr>
  </w:style>
  <w:style w:type="paragraph" w:styleId="BalloonText">
    <w:name w:val="Balloon Text"/>
    <w:basedOn w:val="Normal"/>
    <w:link w:val="BalloonTextChar"/>
    <w:uiPriority w:val="99"/>
    <w:semiHidden/>
    <w:rsid w:val="004154F4"/>
    <w:rPr>
      <w:rFonts w:ascii="Tahoma" w:hAnsi="Tahoma" w:cs="Tahoma"/>
      <w:sz w:val="16"/>
      <w:szCs w:val="16"/>
    </w:rPr>
  </w:style>
  <w:style w:type="character" w:customStyle="1" w:styleId="BalloonTextChar">
    <w:name w:val="Balloon Text Char"/>
    <w:basedOn w:val="DefaultParagraphFont"/>
    <w:link w:val="BalloonText"/>
    <w:uiPriority w:val="99"/>
    <w:locked/>
    <w:rsid w:val="004154F4"/>
    <w:rPr>
      <w:rFonts w:ascii="Tahoma" w:hAnsi="Tahoma" w:cs="Tahoma"/>
      <w:sz w:val="16"/>
      <w:szCs w:val="16"/>
    </w:rPr>
  </w:style>
  <w:style w:type="character" w:customStyle="1" w:styleId="ANormlnChar">
    <w:name w:val="A_Normální Char"/>
    <w:basedOn w:val="DefaultParagraphFont"/>
    <w:link w:val="ANormln"/>
    <w:uiPriority w:val="99"/>
    <w:locked/>
    <w:rsid w:val="00FD1CEC"/>
    <w:rPr>
      <w:rFonts w:ascii="Arial" w:hAnsi="Arial" w:cs="Arial"/>
      <w:sz w:val="24"/>
      <w:szCs w:val="24"/>
    </w:rPr>
  </w:style>
  <w:style w:type="character" w:customStyle="1" w:styleId="platne">
    <w:name w:val="platne"/>
    <w:basedOn w:val="DefaultParagraphFont"/>
    <w:uiPriority w:val="99"/>
    <w:rsid w:val="00FD1CEC"/>
  </w:style>
  <w:style w:type="paragraph" w:customStyle="1" w:styleId="StylSeznamsodrkamiTun">
    <w:name w:val="Styl Seznam s odrážkami + Tučné"/>
    <w:basedOn w:val="ListBullet"/>
    <w:uiPriority w:val="99"/>
    <w:rsid w:val="00A93804"/>
    <w:rPr>
      <w:b/>
      <w:bCs/>
      <w:sz w:val="20"/>
      <w:szCs w:val="20"/>
    </w:rPr>
  </w:style>
  <w:style w:type="character" w:styleId="CommentReference">
    <w:name w:val="annotation reference"/>
    <w:basedOn w:val="DefaultParagraphFont"/>
    <w:uiPriority w:val="99"/>
    <w:semiHidden/>
    <w:rsid w:val="0070089B"/>
    <w:rPr>
      <w:sz w:val="16"/>
      <w:szCs w:val="16"/>
    </w:rPr>
  </w:style>
  <w:style w:type="paragraph" w:styleId="CommentSubject">
    <w:name w:val="annotation subject"/>
    <w:basedOn w:val="CommentText"/>
    <w:next w:val="CommentText"/>
    <w:link w:val="CommentSubjectChar"/>
    <w:uiPriority w:val="99"/>
    <w:semiHidden/>
    <w:rsid w:val="0070089B"/>
    <w:rPr>
      <w:b/>
      <w:bCs/>
      <w:sz w:val="20"/>
      <w:szCs w:val="20"/>
      <w:lang w:val="cs-CZ"/>
    </w:rPr>
  </w:style>
  <w:style w:type="character" w:customStyle="1" w:styleId="CommentSubjectChar">
    <w:name w:val="Comment Subject Char"/>
    <w:basedOn w:val="CommentTextChar"/>
    <w:link w:val="CommentSubject"/>
    <w:uiPriority w:val="99"/>
    <w:semiHidden/>
    <w:locked/>
    <w:rsid w:val="0070089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ak@aj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5</Pages>
  <Words>1732</Words>
  <Characters>10220</Characters>
  <Application>Microsoft Office Outlook</Application>
  <DocSecurity>0</DocSecurity>
  <Lines>0</Lines>
  <Paragraphs>0</Paragraphs>
  <ScaleCrop>false</ScaleCrop>
  <Company>AJL, s.r.o.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Ing. Jiří Žák</dc:creator>
  <cp:keywords/>
  <dc:description/>
  <cp:lastModifiedBy>frontz</cp:lastModifiedBy>
  <cp:revision>5</cp:revision>
  <cp:lastPrinted>2017-04-21T06:58:00Z</cp:lastPrinted>
  <dcterms:created xsi:type="dcterms:W3CDTF">2017-04-21T06:45:00Z</dcterms:created>
  <dcterms:modified xsi:type="dcterms:W3CDTF">2017-04-21T07:23:00Z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zev">
    <vt:lpwstr>Smlouva o dílo</vt:lpwstr>
  </property>
  <property fmtid="{D5CDD505-2E9C-101B-9397-08002B2CF9AE}" pid="3" name="Vydano">
    <vt:lpwstr>12.4.2017</vt:lpwstr>
  </property>
  <property fmtid="{D5CDD505-2E9C-101B-9397-08002B2CF9AE}" pid="4" name="ID">
    <vt:lpwstr>170412</vt:lpwstr>
  </property>
  <property fmtid="{D5CDD505-2E9C-101B-9397-08002B2CF9AE}" pid="5" name="Ver">
    <vt:lpwstr>1.0</vt:lpwstr>
  </property>
  <property fmtid="{D5CDD505-2E9C-101B-9397-08002B2CF9AE}" pid="6" name="Platnost do">
    <vt:lpwstr>31.05.2017</vt:lpwstr>
  </property>
  <property fmtid="{D5CDD505-2E9C-101B-9397-08002B2CF9AE}" pid="7" name="Urceno">
    <vt:lpwstr>Statutární město Teplice</vt:lpwstr>
  </property>
</Properties>
</file>