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7ADEA" w14:textId="0EF4614C" w:rsidR="007D260C" w:rsidRDefault="007D260C" w:rsidP="009330AA">
      <w:pPr>
        <w:rPr>
          <w:rStyle w:val="Siln"/>
          <w:rFonts w:ascii="Calibri" w:hAnsi="Calibri"/>
        </w:rPr>
      </w:pPr>
      <w:bookmarkStart w:id="0" w:name="_GoBack"/>
      <w:bookmarkEnd w:id="0"/>
    </w:p>
    <w:p w14:paraId="4F37C725" w14:textId="77777777" w:rsidR="009330AA" w:rsidRPr="00326E2A" w:rsidRDefault="009330AA" w:rsidP="009330AA">
      <w:pPr>
        <w:rPr>
          <w:rFonts w:ascii="Calibri" w:hAnsi="Calibri"/>
        </w:rPr>
      </w:pPr>
      <w:r w:rsidRPr="00326E2A">
        <w:rPr>
          <w:rStyle w:val="Siln"/>
          <w:rFonts w:ascii="Calibri" w:hAnsi="Calibri"/>
        </w:rPr>
        <w:t>Národní památkový ústav,</w:t>
      </w:r>
      <w:r w:rsidRPr="00326E2A">
        <w:rPr>
          <w:rFonts w:ascii="Calibri" w:hAnsi="Calibri"/>
        </w:rPr>
        <w:t xml:space="preserve"> státní příspěvková organizace</w:t>
      </w:r>
    </w:p>
    <w:p w14:paraId="29DFA7D1" w14:textId="77777777" w:rsidR="009330AA" w:rsidRPr="004F3BBD" w:rsidRDefault="009330AA" w:rsidP="009330AA">
      <w:pPr>
        <w:rPr>
          <w:rFonts w:ascii="Calibri" w:hAnsi="Calibri"/>
        </w:rPr>
      </w:pPr>
      <w:r w:rsidRPr="00326E2A">
        <w:rPr>
          <w:rFonts w:ascii="Calibri" w:hAnsi="Calibri"/>
        </w:rPr>
        <w:t xml:space="preserve">IČO: </w:t>
      </w:r>
      <w:r w:rsidRPr="004F3BBD">
        <w:rPr>
          <w:rFonts w:ascii="Calibri" w:hAnsi="Calibri"/>
        </w:rPr>
        <w:t>75032333, DIČ: CZ75032333,</w:t>
      </w:r>
    </w:p>
    <w:p w14:paraId="0435BA72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se sídlem: Valdštejnské nám. 162/3, PSČ 118 01 Praha 1 – Malá Strana,</w:t>
      </w:r>
    </w:p>
    <w:p w14:paraId="1C3E5FC3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zastoupen: Mgr. Pavlem Macků, ředitelem územního odborného pracoviště v Telči</w:t>
      </w:r>
    </w:p>
    <w:p w14:paraId="1FEC8619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bankovní spojení: Česká národní banka, č. ú.: 72008-60039011/0710</w:t>
      </w:r>
    </w:p>
    <w:p w14:paraId="4FE120C8" w14:textId="77777777" w:rsidR="00D8658B" w:rsidRPr="00326E2A" w:rsidRDefault="00D8658B" w:rsidP="00D8658B">
      <w:pPr>
        <w:rPr>
          <w:rFonts w:ascii="Calibri" w:hAnsi="Calibri"/>
          <w:highlight w:val="lightGray"/>
        </w:rPr>
      </w:pPr>
    </w:p>
    <w:p w14:paraId="0AB37F3D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Style w:val="Zvraznn"/>
          <w:rFonts w:ascii="Calibri" w:hAnsi="Calibri"/>
          <w:b/>
          <w:bCs/>
        </w:rPr>
        <w:t>Doručovací adresa:</w:t>
      </w:r>
    </w:p>
    <w:p w14:paraId="2324EDD3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Národní památkový ústav, územní odborné pracoviště v Telči</w:t>
      </w:r>
    </w:p>
    <w:p w14:paraId="5AC48700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adresa: Hradecká 6, 588 56 Telč</w:t>
      </w:r>
    </w:p>
    <w:p w14:paraId="407BF28D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tel.: +420 567 213 116, e-mail: sekretariat.telc@npu.cz</w:t>
      </w:r>
    </w:p>
    <w:p w14:paraId="6E14E61C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(dále jen „</w:t>
      </w:r>
      <w:r w:rsidRPr="004F3BBD">
        <w:rPr>
          <w:rFonts w:ascii="Calibri" w:hAnsi="Calibri"/>
          <w:b/>
        </w:rPr>
        <w:t>kupující</w:t>
      </w:r>
      <w:r w:rsidRPr="004F3BBD">
        <w:rPr>
          <w:rFonts w:ascii="Calibri" w:hAnsi="Calibri"/>
        </w:rPr>
        <w:t>“)</w:t>
      </w:r>
    </w:p>
    <w:p w14:paraId="32CCA6AD" w14:textId="77777777" w:rsidR="00CE392A" w:rsidRPr="00326E2A" w:rsidRDefault="00CE392A" w:rsidP="006E0904">
      <w:pPr>
        <w:rPr>
          <w:rFonts w:ascii="Calibri" w:hAnsi="Calibri"/>
        </w:rPr>
      </w:pPr>
    </w:p>
    <w:p w14:paraId="702300E7" w14:textId="77777777" w:rsidR="00CE392A" w:rsidRPr="00FA4EB6" w:rsidRDefault="00CE392A" w:rsidP="006E0904">
      <w:pPr>
        <w:rPr>
          <w:rFonts w:ascii="Calibri" w:hAnsi="Calibri"/>
        </w:rPr>
      </w:pPr>
      <w:r w:rsidRPr="00326E2A">
        <w:rPr>
          <w:rFonts w:ascii="Calibri" w:hAnsi="Calibri"/>
        </w:rPr>
        <w:t>a</w:t>
      </w:r>
    </w:p>
    <w:p w14:paraId="09E697C1" w14:textId="77777777" w:rsidR="00CE392A" w:rsidRPr="00FA4EB6" w:rsidRDefault="00CE392A" w:rsidP="006E0904">
      <w:pPr>
        <w:rPr>
          <w:rFonts w:ascii="Calibri" w:hAnsi="Calibri"/>
        </w:rPr>
      </w:pPr>
    </w:p>
    <w:p w14:paraId="6E588813" w14:textId="45CA582C" w:rsidR="007B3D9C" w:rsidRPr="008C0B05" w:rsidRDefault="00E03318" w:rsidP="0076047A">
      <w:pPr>
        <w:ind w:hanging="1"/>
        <w:rPr>
          <w:rFonts w:ascii="Calibri" w:hAnsi="Calibri"/>
          <w:b/>
        </w:rPr>
      </w:pPr>
      <w:r w:rsidRPr="008C0B05">
        <w:rPr>
          <w:rFonts w:ascii="Calibri" w:hAnsi="Calibri"/>
          <w:b/>
        </w:rPr>
        <w:t>Alza.CZ a.s.</w:t>
      </w:r>
    </w:p>
    <w:p w14:paraId="7EA57416" w14:textId="77777777" w:rsidR="00E03318" w:rsidRPr="00FA4EB6" w:rsidRDefault="00E03318" w:rsidP="00E03318">
      <w:pPr>
        <w:ind w:hanging="1"/>
        <w:rPr>
          <w:rFonts w:ascii="Calibri" w:hAnsi="Calibri"/>
          <w:b/>
        </w:rPr>
      </w:pPr>
      <w:r w:rsidRPr="00FA4EB6">
        <w:rPr>
          <w:rFonts w:ascii="Calibri" w:hAnsi="Calibri"/>
          <w:b/>
        </w:rPr>
        <w:t xml:space="preserve">zapsaná v obchodní rejstříku vedeném u Městského soudu v Praze, v oddíle B, vložka 8573 </w:t>
      </w:r>
    </w:p>
    <w:p w14:paraId="2C63639C" w14:textId="77777777" w:rsidR="00E03318" w:rsidRPr="00FA4EB6" w:rsidRDefault="00E03318" w:rsidP="00E03318">
      <w:pPr>
        <w:rPr>
          <w:rFonts w:ascii="Calibri" w:hAnsi="Calibri"/>
        </w:rPr>
      </w:pPr>
      <w:r w:rsidRPr="00FA4EB6">
        <w:rPr>
          <w:rFonts w:ascii="Calibri" w:hAnsi="Calibri"/>
        </w:rPr>
        <w:t xml:space="preserve">se sídlem: Jankovcova 1522/53, Praha 7- Holešovice </w:t>
      </w:r>
    </w:p>
    <w:p w14:paraId="7BF115A2" w14:textId="77777777" w:rsidR="00E03318" w:rsidRPr="00FA4EB6" w:rsidRDefault="00E03318" w:rsidP="00E03318">
      <w:pPr>
        <w:rPr>
          <w:rFonts w:ascii="Calibri" w:hAnsi="Calibri"/>
        </w:rPr>
      </w:pPr>
      <w:r w:rsidRPr="00FA4EB6">
        <w:rPr>
          <w:rFonts w:ascii="Calibri" w:hAnsi="Calibri"/>
        </w:rPr>
        <w:t>IČO: 27082440, DIČ:</w:t>
      </w:r>
      <w:r w:rsidRPr="00FA4EB6">
        <w:t xml:space="preserve"> </w:t>
      </w:r>
      <w:r w:rsidRPr="00FA4EB6">
        <w:rPr>
          <w:rFonts w:ascii="Calibri" w:hAnsi="Calibri"/>
        </w:rPr>
        <w:t>CZ27082440</w:t>
      </w:r>
    </w:p>
    <w:p w14:paraId="6AD7F05E" w14:textId="77777777" w:rsidR="00E03318" w:rsidRPr="00FA4EB6" w:rsidRDefault="00E03318" w:rsidP="00E03318">
      <w:pPr>
        <w:rPr>
          <w:rFonts w:ascii="Calibri" w:hAnsi="Calibri"/>
        </w:rPr>
      </w:pPr>
      <w:r w:rsidRPr="00FA4EB6">
        <w:rPr>
          <w:rFonts w:ascii="Calibri" w:hAnsi="Calibri"/>
        </w:rPr>
        <w:t xml:space="preserve">zastoupený: Mgr. Františkem </w:t>
      </w:r>
      <w:proofErr w:type="spellStart"/>
      <w:r w:rsidRPr="00FA4EB6">
        <w:rPr>
          <w:rFonts w:ascii="Calibri" w:hAnsi="Calibri"/>
        </w:rPr>
        <w:t>Nadymáčkem</w:t>
      </w:r>
      <w:proofErr w:type="spellEnd"/>
      <w:r w:rsidRPr="00FA4EB6">
        <w:rPr>
          <w:rFonts w:ascii="Calibri" w:hAnsi="Calibri"/>
        </w:rPr>
        <w:t xml:space="preserve"> na základě pověření</w:t>
      </w:r>
    </w:p>
    <w:p w14:paraId="792D448D" w14:textId="77777777" w:rsidR="00E03318" w:rsidRPr="00FA4EB6" w:rsidRDefault="00E03318" w:rsidP="00E03318">
      <w:pPr>
        <w:rPr>
          <w:rFonts w:ascii="Calibri" w:hAnsi="Calibri"/>
        </w:rPr>
      </w:pPr>
      <w:r w:rsidRPr="00FA4EB6">
        <w:rPr>
          <w:rFonts w:ascii="Calibri" w:hAnsi="Calibri"/>
        </w:rPr>
        <w:t>bankovní spojení: ČSOB, č. ú.: 188505042/0300</w:t>
      </w:r>
    </w:p>
    <w:p w14:paraId="58ABBF8B" w14:textId="77777777" w:rsidR="00E03318" w:rsidRPr="00FA4EB6" w:rsidRDefault="00E03318" w:rsidP="00E03318">
      <w:pPr>
        <w:rPr>
          <w:rFonts w:ascii="Calibri" w:hAnsi="Calibri"/>
        </w:rPr>
      </w:pPr>
      <w:r w:rsidRPr="00FA4EB6">
        <w:rPr>
          <w:rFonts w:ascii="Calibri" w:hAnsi="Calibri"/>
        </w:rPr>
        <w:t>(dále jen „</w:t>
      </w:r>
      <w:r w:rsidRPr="00FA4EB6">
        <w:rPr>
          <w:rFonts w:ascii="Calibri" w:hAnsi="Calibri"/>
          <w:b/>
        </w:rPr>
        <w:t>prodávající</w:t>
      </w:r>
      <w:r w:rsidRPr="00FA4EB6">
        <w:rPr>
          <w:rFonts w:ascii="Calibri" w:hAnsi="Calibri"/>
        </w:rPr>
        <w:t>“)</w:t>
      </w:r>
    </w:p>
    <w:p w14:paraId="0758F0C5" w14:textId="77777777" w:rsidR="00CE392A" w:rsidRPr="00FA4EB6" w:rsidRDefault="00CE392A" w:rsidP="006E0904">
      <w:pPr>
        <w:rPr>
          <w:rFonts w:ascii="Calibri" w:hAnsi="Calibri"/>
        </w:rPr>
      </w:pPr>
    </w:p>
    <w:p w14:paraId="7A195974" w14:textId="77777777" w:rsidR="004F6A79" w:rsidRPr="00FA4EB6" w:rsidRDefault="00CE392A" w:rsidP="004F6A79">
      <w:pPr>
        <w:tabs>
          <w:tab w:val="left" w:pos="3686"/>
        </w:tabs>
        <w:autoSpaceDE w:val="0"/>
        <w:autoSpaceDN w:val="0"/>
        <w:rPr>
          <w:rFonts w:ascii="Calibri" w:hAnsi="Calibri"/>
        </w:rPr>
      </w:pPr>
      <w:r w:rsidRPr="00FA4EB6">
        <w:rPr>
          <w:rFonts w:ascii="Calibri" w:hAnsi="Calibri"/>
        </w:rPr>
        <w:t xml:space="preserve">jako smluvní strany uzavřely níže uvedeného dne, měsíce a roku </w:t>
      </w:r>
      <w:r w:rsidR="004F6A79" w:rsidRPr="00FA4EB6">
        <w:rPr>
          <w:rFonts w:ascii="Calibri" w:hAnsi="Calibri"/>
        </w:rPr>
        <w:t xml:space="preserve">ve smyslu </w:t>
      </w:r>
      <w:proofErr w:type="spellStart"/>
      <w:r w:rsidR="004F6A79" w:rsidRPr="00FA4EB6">
        <w:rPr>
          <w:rFonts w:ascii="Calibri" w:hAnsi="Calibri"/>
        </w:rPr>
        <w:t>ust</w:t>
      </w:r>
      <w:proofErr w:type="spellEnd"/>
      <w:r w:rsidR="004F6A79" w:rsidRPr="00FA4EB6">
        <w:rPr>
          <w:rFonts w:ascii="Calibri" w:hAnsi="Calibri"/>
        </w:rPr>
        <w:t xml:space="preserve">.  § </w:t>
      </w:r>
      <w:smartTag w:uri="urn:schemas-microsoft-com:office:smarttags" w:element="metricconverter">
        <w:smartTagPr>
          <w:attr w:name="ProductID" w:val="2085 a"/>
        </w:smartTagPr>
        <w:r w:rsidR="004F6A79" w:rsidRPr="00FA4EB6">
          <w:rPr>
            <w:rFonts w:ascii="Calibri" w:hAnsi="Calibri"/>
          </w:rPr>
          <w:t>2085 a</w:t>
        </w:r>
      </w:smartTag>
      <w:r w:rsidR="004F6A79" w:rsidRPr="00FA4EB6">
        <w:rPr>
          <w:rFonts w:ascii="Calibri" w:hAnsi="Calibri"/>
        </w:rPr>
        <w:t xml:space="preserve"> násl. zák. č. 89/2012 Sb., občanský zákoník, v platném znění následující</w:t>
      </w:r>
    </w:p>
    <w:p w14:paraId="3989B792" w14:textId="77777777" w:rsidR="00CE392A" w:rsidRPr="00FA4EB6" w:rsidRDefault="0076764D" w:rsidP="006E0904">
      <w:pPr>
        <w:pStyle w:val="Normln0"/>
        <w:jc w:val="center"/>
        <w:rPr>
          <w:rFonts w:ascii="Calibri" w:hAnsi="Calibri"/>
          <w:b/>
          <w:szCs w:val="22"/>
        </w:rPr>
      </w:pPr>
      <w:r w:rsidRPr="00FA4EB6">
        <w:rPr>
          <w:rFonts w:ascii="Calibri" w:hAnsi="Calibri"/>
          <w:b/>
          <w:szCs w:val="22"/>
        </w:rPr>
        <w:t>kupní smlouvu</w:t>
      </w:r>
      <w:r w:rsidR="00CE392A" w:rsidRPr="00FA4EB6">
        <w:rPr>
          <w:rFonts w:ascii="Calibri" w:hAnsi="Calibri"/>
          <w:b/>
          <w:szCs w:val="22"/>
        </w:rPr>
        <w:t>:</w:t>
      </w:r>
    </w:p>
    <w:p w14:paraId="73541C66" w14:textId="77777777" w:rsidR="00CE392A" w:rsidRPr="00FA4EB6" w:rsidRDefault="00CE392A" w:rsidP="006E0904">
      <w:pPr>
        <w:pStyle w:val="Normln0"/>
        <w:rPr>
          <w:rFonts w:ascii="Calibri" w:hAnsi="Calibri"/>
          <w:szCs w:val="22"/>
        </w:rPr>
      </w:pPr>
    </w:p>
    <w:p w14:paraId="7CD27661" w14:textId="77777777" w:rsidR="0076764D" w:rsidRPr="00326E2A" w:rsidRDefault="0076764D" w:rsidP="0076764D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I.</w:t>
      </w:r>
    </w:p>
    <w:p w14:paraId="311454DC" w14:textId="77777777" w:rsidR="0076764D" w:rsidRPr="00EF3A6D" w:rsidRDefault="00EF3A6D" w:rsidP="00EF3A6D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Úvodní ustanovení</w:t>
      </w:r>
    </w:p>
    <w:p w14:paraId="74084BDE" w14:textId="77777777" w:rsidR="0076764D" w:rsidRPr="00326E2A" w:rsidRDefault="0076764D" w:rsidP="005667F4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Prodávající prohlašuje, že</w:t>
      </w:r>
      <w:r w:rsidR="00FC4D64" w:rsidRPr="00326E2A">
        <w:rPr>
          <w:rFonts w:ascii="Calibri" w:hAnsi="Calibri"/>
          <w:b w:val="0"/>
          <w:szCs w:val="22"/>
        </w:rPr>
        <w:t xml:space="preserve"> je</w:t>
      </w:r>
      <w:r w:rsidRPr="00326E2A">
        <w:rPr>
          <w:rFonts w:ascii="Calibri" w:hAnsi="Calibri"/>
          <w:b w:val="0"/>
          <w:szCs w:val="22"/>
        </w:rPr>
        <w:t xml:space="preserve"> </w:t>
      </w:r>
      <w:r w:rsidR="009423BA" w:rsidRPr="00326E2A">
        <w:rPr>
          <w:rFonts w:ascii="Calibri" w:hAnsi="Calibri"/>
          <w:b w:val="0"/>
          <w:szCs w:val="22"/>
        </w:rPr>
        <w:t xml:space="preserve">výlučným </w:t>
      </w:r>
      <w:r w:rsidRPr="00326E2A">
        <w:rPr>
          <w:rFonts w:ascii="Calibri" w:hAnsi="Calibri"/>
          <w:b w:val="0"/>
          <w:szCs w:val="22"/>
        </w:rPr>
        <w:t xml:space="preserve">vlastníkem </w:t>
      </w:r>
      <w:r w:rsidR="009330AA">
        <w:rPr>
          <w:rFonts w:ascii="Calibri" w:hAnsi="Calibri"/>
          <w:b w:val="0"/>
          <w:szCs w:val="22"/>
        </w:rPr>
        <w:t xml:space="preserve">zboží blíže specifikovaného </w:t>
      </w:r>
      <w:r w:rsidR="009330AA" w:rsidRPr="009330AA">
        <w:rPr>
          <w:rFonts w:ascii="Calibri" w:hAnsi="Calibri"/>
          <w:szCs w:val="22"/>
        </w:rPr>
        <w:t>v příloze 1</w:t>
      </w:r>
      <w:r w:rsidRPr="00326E2A">
        <w:rPr>
          <w:rFonts w:ascii="Calibri" w:hAnsi="Calibri"/>
          <w:b w:val="0"/>
          <w:szCs w:val="22"/>
        </w:rPr>
        <w:t xml:space="preserve"> (dále jen „předmět koupě“).</w:t>
      </w:r>
    </w:p>
    <w:p w14:paraId="7D537C94" w14:textId="58BEE61B" w:rsidR="004F6A79" w:rsidRPr="00FE44DC" w:rsidRDefault="004F6A79" w:rsidP="005667F4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FE44DC">
        <w:rPr>
          <w:rFonts w:ascii="Calibri" w:hAnsi="Calibri"/>
          <w:sz w:val="22"/>
          <w:szCs w:val="22"/>
        </w:rPr>
        <w:t xml:space="preserve">Smluvní strany konstatují, že tuto </w:t>
      </w:r>
      <w:r w:rsidRPr="000A67A9">
        <w:rPr>
          <w:rFonts w:ascii="Calibri" w:hAnsi="Calibri"/>
          <w:sz w:val="22"/>
          <w:szCs w:val="22"/>
        </w:rPr>
        <w:t xml:space="preserve">smlouvu uzavírá kupující s prodávajícím, </w:t>
      </w:r>
      <w:r w:rsidR="00183492" w:rsidRPr="000A67A9">
        <w:rPr>
          <w:rFonts w:ascii="Calibri" w:hAnsi="Calibri"/>
          <w:sz w:val="22"/>
          <w:szCs w:val="22"/>
        </w:rPr>
        <w:t>na základě</w:t>
      </w:r>
      <w:r w:rsidRPr="000A67A9">
        <w:rPr>
          <w:rFonts w:ascii="Calibri" w:hAnsi="Calibri"/>
          <w:sz w:val="22"/>
          <w:szCs w:val="22"/>
        </w:rPr>
        <w:t xml:space="preserve"> veřejné zakázky malého rozsahu </w:t>
      </w:r>
      <w:r w:rsidRPr="000A67A9">
        <w:rPr>
          <w:rFonts w:ascii="Calibri" w:hAnsi="Calibri" w:cs="Times New Roman"/>
          <w:sz w:val="22"/>
          <w:szCs w:val="22"/>
        </w:rPr>
        <w:t xml:space="preserve">s názvem </w:t>
      </w:r>
      <w:r w:rsidR="00513FF5" w:rsidRPr="00513FF5">
        <w:rPr>
          <w:rFonts w:ascii="Calibri" w:hAnsi="Calibri" w:cs="Times New Roman"/>
          <w:b/>
          <w:sz w:val="22"/>
          <w:szCs w:val="22"/>
        </w:rPr>
        <w:t>Notebooky</w:t>
      </w:r>
      <w:r w:rsidR="00513FF5">
        <w:rPr>
          <w:rFonts w:ascii="Calibri" w:hAnsi="Calibri" w:cs="Times New Roman"/>
          <w:sz w:val="22"/>
          <w:szCs w:val="22"/>
        </w:rPr>
        <w:t xml:space="preserve"> </w:t>
      </w:r>
      <w:r w:rsidR="009A659F" w:rsidRPr="000A67A9">
        <w:rPr>
          <w:rFonts w:ascii="Calibri" w:hAnsi="Calibri" w:cs="Calibri"/>
          <w:b/>
          <w:sz w:val="22"/>
          <w:szCs w:val="22"/>
        </w:rPr>
        <w:t>pro NPÚ, ÚOP v Telči 202</w:t>
      </w:r>
      <w:r w:rsidR="00513FF5">
        <w:rPr>
          <w:rFonts w:ascii="Calibri" w:hAnsi="Calibri" w:cs="Calibri"/>
          <w:b/>
          <w:sz w:val="22"/>
          <w:szCs w:val="22"/>
        </w:rPr>
        <w:t>2</w:t>
      </w:r>
      <w:r w:rsidR="002425B0" w:rsidRPr="000A67A9">
        <w:rPr>
          <w:rFonts w:ascii="Calibri" w:hAnsi="Calibri" w:cs="Times New Roman"/>
          <w:b/>
          <w:sz w:val="22"/>
          <w:szCs w:val="22"/>
        </w:rPr>
        <w:t>,</w:t>
      </w:r>
      <w:r w:rsidR="009330AA" w:rsidRPr="000A67A9">
        <w:rPr>
          <w:rFonts w:ascii="Calibri" w:hAnsi="Calibri" w:cs="Times New Roman"/>
          <w:sz w:val="22"/>
          <w:szCs w:val="22"/>
        </w:rPr>
        <w:t xml:space="preserve"> </w:t>
      </w:r>
      <w:r w:rsidRPr="000A67A9">
        <w:rPr>
          <w:rFonts w:ascii="Calibri" w:hAnsi="Calibri" w:cs="Times New Roman"/>
          <w:sz w:val="22"/>
          <w:szCs w:val="22"/>
        </w:rPr>
        <w:t xml:space="preserve">ID zakázky přidělené systémem </w:t>
      </w:r>
      <w:r w:rsidR="007021E1" w:rsidRPr="000A67A9">
        <w:rPr>
          <w:rFonts w:ascii="Calibri" w:hAnsi="Calibri" w:cs="Times New Roman"/>
          <w:sz w:val="22"/>
          <w:szCs w:val="22"/>
        </w:rPr>
        <w:t>Národního elektronického nástroje</w:t>
      </w:r>
      <w:r w:rsidRPr="000A67A9">
        <w:rPr>
          <w:rFonts w:ascii="Calibri" w:hAnsi="Calibri" w:cs="Times New Roman"/>
          <w:sz w:val="22"/>
          <w:szCs w:val="22"/>
        </w:rPr>
        <w:t xml:space="preserve">: </w:t>
      </w:r>
      <w:r w:rsidR="002A134D" w:rsidRPr="002A134D">
        <w:rPr>
          <w:rFonts w:ascii="Calibri" w:hAnsi="Calibri" w:cs="Calibri"/>
          <w:b/>
          <w:sz w:val="22"/>
          <w:szCs w:val="22"/>
        </w:rPr>
        <w:t>N006/2</w:t>
      </w:r>
      <w:r w:rsidR="00513FF5">
        <w:rPr>
          <w:rFonts w:ascii="Calibri" w:hAnsi="Calibri" w:cs="Calibri"/>
          <w:b/>
          <w:sz w:val="22"/>
          <w:szCs w:val="22"/>
        </w:rPr>
        <w:t>2</w:t>
      </w:r>
      <w:r w:rsidR="002A134D" w:rsidRPr="002A134D">
        <w:rPr>
          <w:rFonts w:ascii="Calibri" w:hAnsi="Calibri" w:cs="Calibri"/>
          <w:b/>
          <w:sz w:val="22"/>
          <w:szCs w:val="22"/>
        </w:rPr>
        <w:t>/V000</w:t>
      </w:r>
      <w:r w:rsidR="00513FF5">
        <w:rPr>
          <w:rFonts w:ascii="Calibri" w:hAnsi="Calibri" w:cs="Calibri"/>
          <w:b/>
          <w:sz w:val="22"/>
          <w:szCs w:val="22"/>
        </w:rPr>
        <w:t>11253</w:t>
      </w:r>
      <w:r w:rsidR="002A134D">
        <w:rPr>
          <w:rFonts w:ascii="Calibri" w:hAnsi="Calibri" w:cs="Calibri"/>
          <w:b/>
          <w:sz w:val="22"/>
          <w:szCs w:val="22"/>
        </w:rPr>
        <w:t>.</w:t>
      </w:r>
      <w:r w:rsidR="002A134D">
        <w:rPr>
          <w:b/>
          <w:bCs/>
          <w:sz w:val="20"/>
          <w:szCs w:val="20"/>
          <w:shd w:val="clear" w:color="auto" w:fill="FFFFFF"/>
        </w:rPr>
        <w:t xml:space="preserve"> </w:t>
      </w:r>
      <w:r w:rsidRPr="000A67A9">
        <w:rPr>
          <w:rFonts w:ascii="Calibri" w:hAnsi="Calibri"/>
          <w:sz w:val="22"/>
          <w:szCs w:val="22"/>
        </w:rPr>
        <w:t>Smluvní</w:t>
      </w:r>
      <w:r w:rsidRPr="00FE44DC">
        <w:rPr>
          <w:rFonts w:ascii="Calibri" w:hAnsi="Calibri"/>
          <w:sz w:val="22"/>
          <w:szCs w:val="22"/>
        </w:rPr>
        <w:t xml:space="preserve"> strany se dohodly, že závaznou část jejich smluvních ujednání tvo</w:t>
      </w:r>
      <w:r w:rsidR="009330AA" w:rsidRPr="00FE44DC">
        <w:rPr>
          <w:rFonts w:ascii="Calibri" w:hAnsi="Calibri"/>
          <w:sz w:val="22"/>
          <w:szCs w:val="22"/>
        </w:rPr>
        <w:t>ří rovněž nabídka prodávajícího.</w:t>
      </w:r>
    </w:p>
    <w:p w14:paraId="06DF4091" w14:textId="77777777" w:rsidR="0076047A" w:rsidRPr="00326E2A" w:rsidRDefault="0076047A" w:rsidP="000A67A9">
      <w:pPr>
        <w:ind w:left="360" w:hanging="360"/>
        <w:rPr>
          <w:rFonts w:ascii="Calibri" w:hAnsi="Calibri"/>
        </w:rPr>
      </w:pPr>
    </w:p>
    <w:p w14:paraId="3DBCA576" w14:textId="77777777" w:rsidR="0076764D" w:rsidRPr="00326E2A" w:rsidRDefault="002340D9" w:rsidP="000A67A9">
      <w:pPr>
        <w:pStyle w:val="Nadpis41"/>
        <w:ind w:left="360" w:hanging="360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II.</w:t>
      </w:r>
    </w:p>
    <w:p w14:paraId="09246ED8" w14:textId="77777777" w:rsidR="0076764D" w:rsidRPr="00EF3A6D" w:rsidRDefault="00EF3A6D" w:rsidP="000A67A9">
      <w:pPr>
        <w:pStyle w:val="Nadpis41"/>
        <w:ind w:left="360" w:hanging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14:paraId="55BD192D" w14:textId="77777777" w:rsidR="002340D9" w:rsidRPr="00326E2A" w:rsidRDefault="0076764D" w:rsidP="005667F4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Prodávající se touto smlouvou zavazuje předmět koupě kupujícímu odevzdat</w:t>
      </w:r>
      <w:r w:rsidR="005B0610" w:rsidRPr="00326E2A">
        <w:rPr>
          <w:rFonts w:ascii="Calibri" w:hAnsi="Calibri"/>
          <w:b w:val="0"/>
          <w:szCs w:val="22"/>
        </w:rPr>
        <w:t xml:space="preserve"> a převést na něj k předmětu koupě vlastnické právo</w:t>
      </w:r>
      <w:r w:rsidRPr="00326E2A">
        <w:rPr>
          <w:rFonts w:ascii="Calibri" w:hAnsi="Calibri"/>
          <w:b w:val="0"/>
          <w:szCs w:val="22"/>
        </w:rPr>
        <w:t>.</w:t>
      </w:r>
    </w:p>
    <w:p w14:paraId="527BC2D7" w14:textId="77777777" w:rsidR="0076764D" w:rsidRPr="00326E2A" w:rsidRDefault="0076764D" w:rsidP="005667F4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 xml:space="preserve">Kupující se touto smlouvou zavazuje předmět koupě převzít </w:t>
      </w:r>
      <w:r w:rsidR="009423BA" w:rsidRPr="00326E2A">
        <w:rPr>
          <w:rFonts w:ascii="Calibri" w:hAnsi="Calibri"/>
          <w:b w:val="0"/>
          <w:szCs w:val="22"/>
        </w:rPr>
        <w:t xml:space="preserve">do </w:t>
      </w:r>
      <w:r w:rsidR="002004F0" w:rsidRPr="00326E2A">
        <w:rPr>
          <w:rFonts w:ascii="Calibri" w:hAnsi="Calibri"/>
          <w:b w:val="0"/>
          <w:szCs w:val="22"/>
        </w:rPr>
        <w:t>vlastnictví</w:t>
      </w:r>
      <w:r w:rsidR="009423BA" w:rsidRPr="00326E2A">
        <w:rPr>
          <w:rFonts w:ascii="Calibri" w:hAnsi="Calibri"/>
          <w:b w:val="0"/>
          <w:szCs w:val="22"/>
        </w:rPr>
        <w:t xml:space="preserve"> České republiky s příslušností hospodařit pro kupujícího </w:t>
      </w:r>
      <w:r w:rsidRPr="00326E2A">
        <w:rPr>
          <w:rFonts w:ascii="Calibri" w:hAnsi="Calibri"/>
          <w:b w:val="0"/>
          <w:szCs w:val="22"/>
        </w:rPr>
        <w:t>a zaplatit za něj kupní cenu sjednanou v článku IV. této smlouvy.</w:t>
      </w:r>
    </w:p>
    <w:p w14:paraId="70EE96BB" w14:textId="77777777" w:rsidR="0076764D" w:rsidRPr="00326E2A" w:rsidRDefault="0076764D" w:rsidP="000A67A9">
      <w:pPr>
        <w:pStyle w:val="Nadpis41"/>
        <w:ind w:left="360" w:hanging="360"/>
        <w:jc w:val="both"/>
        <w:rPr>
          <w:rFonts w:ascii="Calibri" w:hAnsi="Calibri"/>
          <w:b w:val="0"/>
          <w:szCs w:val="22"/>
        </w:rPr>
      </w:pPr>
    </w:p>
    <w:p w14:paraId="0C1981F7" w14:textId="77777777" w:rsidR="0076764D" w:rsidRPr="00326E2A" w:rsidRDefault="002340D9" w:rsidP="007021E1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III.</w:t>
      </w:r>
    </w:p>
    <w:p w14:paraId="499BA849" w14:textId="77777777" w:rsidR="0076764D" w:rsidRPr="00EF3A6D" w:rsidRDefault="0076764D" w:rsidP="00EF3A6D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Termín a místo odevzdání a převzetí předmětu koupě,</w:t>
      </w:r>
      <w:r w:rsidR="002340D9" w:rsidRPr="00326E2A">
        <w:rPr>
          <w:rFonts w:ascii="Calibri" w:hAnsi="Calibri"/>
          <w:szCs w:val="22"/>
        </w:rPr>
        <w:t xml:space="preserve"> </w:t>
      </w:r>
      <w:r w:rsidR="00EF3A6D">
        <w:rPr>
          <w:rFonts w:ascii="Calibri" w:hAnsi="Calibri"/>
          <w:szCs w:val="22"/>
        </w:rPr>
        <w:t>přechod vlastnického práva</w:t>
      </w:r>
    </w:p>
    <w:p w14:paraId="7393E443" w14:textId="1CF18705" w:rsidR="002340D9" w:rsidRPr="009330AA" w:rsidRDefault="00FC4D64" w:rsidP="005667F4">
      <w:pPr>
        <w:pStyle w:val="Nadpis41"/>
        <w:keepNext/>
        <w:numPr>
          <w:ilvl w:val="0"/>
          <w:numId w:val="6"/>
        </w:numPr>
        <w:ind w:left="284"/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Prodávající odevzdá </w:t>
      </w:r>
      <w:r w:rsidR="007D639D" w:rsidRPr="009330AA">
        <w:rPr>
          <w:rFonts w:ascii="Calibri" w:hAnsi="Calibri"/>
          <w:b w:val="0"/>
          <w:szCs w:val="22"/>
        </w:rPr>
        <w:t xml:space="preserve">kupujícímu předmět koupě </w:t>
      </w:r>
      <w:r w:rsidR="004F3844" w:rsidRPr="009330AA">
        <w:rPr>
          <w:rFonts w:ascii="Calibri" w:hAnsi="Calibri"/>
          <w:b w:val="0"/>
          <w:szCs w:val="22"/>
        </w:rPr>
        <w:t xml:space="preserve">nejpozději </w:t>
      </w:r>
      <w:r w:rsidR="004F3844" w:rsidRPr="00FA4EB6">
        <w:rPr>
          <w:rFonts w:ascii="Calibri" w:hAnsi="Calibri"/>
          <w:szCs w:val="22"/>
        </w:rPr>
        <w:t xml:space="preserve">do </w:t>
      </w:r>
      <w:r w:rsidR="00334233">
        <w:rPr>
          <w:rFonts w:ascii="Calibri" w:hAnsi="Calibri"/>
          <w:szCs w:val="22"/>
        </w:rPr>
        <w:t>30</w:t>
      </w:r>
      <w:r w:rsidR="004F3844" w:rsidRPr="00FA4EB6">
        <w:rPr>
          <w:rFonts w:ascii="Calibri" w:hAnsi="Calibri"/>
          <w:szCs w:val="22"/>
        </w:rPr>
        <w:t xml:space="preserve"> dnů po p</w:t>
      </w:r>
      <w:r w:rsidR="009423BA" w:rsidRPr="00FA4EB6">
        <w:rPr>
          <w:rFonts w:ascii="Calibri" w:hAnsi="Calibri"/>
          <w:szCs w:val="22"/>
        </w:rPr>
        <w:t>o</w:t>
      </w:r>
      <w:r w:rsidR="004F3844" w:rsidRPr="00FA4EB6">
        <w:rPr>
          <w:rFonts w:ascii="Calibri" w:hAnsi="Calibri"/>
          <w:szCs w:val="22"/>
        </w:rPr>
        <w:t>dpisu smlouvy</w:t>
      </w:r>
      <w:r w:rsidR="00840CCE" w:rsidRPr="009330AA">
        <w:rPr>
          <w:rFonts w:ascii="Calibri" w:hAnsi="Calibri"/>
          <w:b w:val="0"/>
          <w:szCs w:val="22"/>
        </w:rPr>
        <w:t xml:space="preserve"> na adresu pro doručování uvedenou v záhlaví smlouvy</w:t>
      </w:r>
      <w:r w:rsidR="009330AA" w:rsidRPr="009330AA">
        <w:rPr>
          <w:rFonts w:ascii="Calibri" w:hAnsi="Calibri"/>
          <w:b w:val="0"/>
          <w:szCs w:val="22"/>
        </w:rPr>
        <w:t>.</w:t>
      </w:r>
    </w:p>
    <w:p w14:paraId="0BA8E630" w14:textId="77777777" w:rsidR="001F59DB" w:rsidRPr="009330AA" w:rsidRDefault="001F59DB" w:rsidP="005667F4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sz w:val="22"/>
          <w:szCs w:val="22"/>
        </w:rPr>
      </w:pPr>
      <w:r w:rsidRPr="009330AA">
        <w:rPr>
          <w:rFonts w:ascii="Calibri" w:hAnsi="Calibri"/>
          <w:sz w:val="22"/>
          <w:szCs w:val="22"/>
        </w:rPr>
        <w:t>V případě prodlení prodávajícího s předáním předmětu koupě</w:t>
      </w:r>
      <w:r w:rsidR="0031619F" w:rsidRPr="009330AA">
        <w:rPr>
          <w:rFonts w:ascii="Calibri" w:hAnsi="Calibri"/>
          <w:sz w:val="22"/>
          <w:szCs w:val="22"/>
        </w:rPr>
        <w:t>, anebo s odstraněním vady předmětu koupě</w:t>
      </w:r>
      <w:r w:rsidRPr="009330AA">
        <w:rPr>
          <w:rFonts w:ascii="Calibri" w:hAnsi="Calibri"/>
          <w:sz w:val="22"/>
          <w:szCs w:val="22"/>
        </w:rPr>
        <w:t xml:space="preserve">, uhradí prodávající kupujícímu smluvní pokutu ve výši  </w:t>
      </w:r>
      <w:r w:rsidR="008C0993" w:rsidRPr="009330AA">
        <w:rPr>
          <w:rFonts w:ascii="Calibri" w:hAnsi="Calibri"/>
          <w:sz w:val="22"/>
          <w:szCs w:val="22"/>
        </w:rPr>
        <w:t xml:space="preserve">100 Kč </w:t>
      </w:r>
      <w:r w:rsidRPr="009330AA">
        <w:rPr>
          <w:rFonts w:ascii="Calibri" w:hAnsi="Calibri"/>
          <w:sz w:val="22"/>
          <w:szCs w:val="22"/>
        </w:rPr>
        <w:t>za každý, byť i započatý, den prodlení</w:t>
      </w:r>
      <w:r w:rsidR="00D9135D" w:rsidRPr="009330AA">
        <w:rPr>
          <w:rFonts w:ascii="Calibri" w:hAnsi="Calibri"/>
          <w:sz w:val="22"/>
          <w:szCs w:val="22"/>
        </w:rPr>
        <w:t>.</w:t>
      </w:r>
      <w:r w:rsidRPr="009330AA">
        <w:rPr>
          <w:rFonts w:ascii="Calibri" w:hAnsi="Calibri"/>
          <w:sz w:val="22"/>
          <w:szCs w:val="22"/>
        </w:rPr>
        <w:t xml:space="preserve"> </w:t>
      </w:r>
    </w:p>
    <w:p w14:paraId="69937F0D" w14:textId="77777777" w:rsidR="001F59DB" w:rsidRPr="009330AA" w:rsidRDefault="001F59DB" w:rsidP="005667F4">
      <w:pPr>
        <w:pStyle w:val="Default"/>
        <w:numPr>
          <w:ilvl w:val="0"/>
          <w:numId w:val="6"/>
        </w:numPr>
        <w:ind w:left="284"/>
        <w:jc w:val="both"/>
        <w:rPr>
          <w:rFonts w:ascii="Calibri" w:hAnsi="Calibri"/>
          <w:sz w:val="22"/>
          <w:szCs w:val="22"/>
        </w:rPr>
      </w:pPr>
      <w:r w:rsidRPr="009330AA">
        <w:rPr>
          <w:rFonts w:ascii="Calibri" w:hAnsi="Calibri"/>
          <w:sz w:val="22"/>
          <w:szCs w:val="22"/>
        </w:rPr>
        <w:t xml:space="preserve">O předání předmětu koupě bude smluvními stranami sepsán </w:t>
      </w:r>
      <w:r w:rsidR="002425B0" w:rsidRPr="002425B0">
        <w:rPr>
          <w:rFonts w:ascii="Calibri" w:hAnsi="Calibri"/>
          <w:b/>
          <w:sz w:val="22"/>
          <w:szCs w:val="22"/>
        </w:rPr>
        <w:t>předávací</w:t>
      </w:r>
      <w:r w:rsidR="002425B0">
        <w:rPr>
          <w:rFonts w:ascii="Calibri" w:hAnsi="Calibri"/>
          <w:sz w:val="22"/>
          <w:szCs w:val="22"/>
        </w:rPr>
        <w:t xml:space="preserve"> </w:t>
      </w:r>
      <w:r w:rsidRPr="002425B0">
        <w:rPr>
          <w:rFonts w:ascii="Calibri" w:hAnsi="Calibri"/>
          <w:b/>
          <w:sz w:val="22"/>
          <w:szCs w:val="22"/>
        </w:rPr>
        <w:t>protokol</w:t>
      </w:r>
      <w:r w:rsidRPr="009330AA">
        <w:rPr>
          <w:rFonts w:ascii="Calibri" w:hAnsi="Calibri"/>
          <w:sz w:val="22"/>
          <w:szCs w:val="22"/>
        </w:rPr>
        <w:t xml:space="preserve"> podepsaný oběma smluvními stranami.</w:t>
      </w:r>
    </w:p>
    <w:p w14:paraId="5A7DF7BA" w14:textId="77777777" w:rsidR="0076764D" w:rsidRPr="009330AA" w:rsidRDefault="0076764D" w:rsidP="005667F4">
      <w:pPr>
        <w:pStyle w:val="Nadpis41"/>
        <w:numPr>
          <w:ilvl w:val="0"/>
          <w:numId w:val="6"/>
        </w:numPr>
        <w:ind w:left="284"/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>Vlastnické právo k předmětu koupě kupující nabývá jeho převzetím.</w:t>
      </w:r>
      <w:r w:rsidR="00D9135D" w:rsidRPr="009330AA">
        <w:rPr>
          <w:rFonts w:ascii="Calibri" w:hAnsi="Calibri"/>
          <w:b w:val="0"/>
          <w:szCs w:val="22"/>
        </w:rPr>
        <w:t xml:space="preserve"> Nebezpečí škody na věci přechází na kupujícího rovněž jeho převzetím.</w:t>
      </w:r>
    </w:p>
    <w:p w14:paraId="2D958AE4" w14:textId="77777777" w:rsidR="0076764D" w:rsidRPr="00326E2A" w:rsidRDefault="0076764D" w:rsidP="002340D9">
      <w:pPr>
        <w:pStyle w:val="Nadpis41"/>
        <w:jc w:val="both"/>
        <w:rPr>
          <w:rFonts w:ascii="Calibri" w:hAnsi="Calibri"/>
          <w:b w:val="0"/>
          <w:szCs w:val="22"/>
        </w:rPr>
      </w:pPr>
    </w:p>
    <w:p w14:paraId="5CFE0B04" w14:textId="77777777" w:rsidR="0076764D" w:rsidRPr="00326E2A" w:rsidRDefault="002340D9" w:rsidP="00A22D3A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IV.</w:t>
      </w:r>
    </w:p>
    <w:p w14:paraId="18F98F84" w14:textId="77777777" w:rsidR="0076764D" w:rsidRPr="00EF3A6D" w:rsidRDefault="00EF3A6D" w:rsidP="00EF3A6D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a způsob úhrady</w:t>
      </w:r>
    </w:p>
    <w:p w14:paraId="3903867B" w14:textId="62C2872B" w:rsidR="001F59DB" w:rsidRPr="00873A16" w:rsidRDefault="0076764D" w:rsidP="005667F4">
      <w:pPr>
        <w:numPr>
          <w:ilvl w:val="0"/>
          <w:numId w:val="5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873A16">
        <w:rPr>
          <w:rFonts w:ascii="Calibri" w:hAnsi="Calibri"/>
        </w:rPr>
        <w:t xml:space="preserve">Kupní cena byla dle dohody </w:t>
      </w:r>
      <w:r w:rsidRPr="00E03318">
        <w:rPr>
          <w:rFonts w:ascii="Calibri" w:hAnsi="Calibri"/>
        </w:rPr>
        <w:t xml:space="preserve">prodávajícího a kupujícího stanovena ve výši </w:t>
      </w:r>
      <w:r w:rsidR="00E03318" w:rsidRPr="00E03318">
        <w:rPr>
          <w:rFonts w:ascii="Calibri" w:hAnsi="Calibri"/>
          <w:b/>
        </w:rPr>
        <w:t>55 922,83</w:t>
      </w:r>
      <w:r w:rsidR="00424C3D" w:rsidRPr="00E03318">
        <w:rPr>
          <w:rFonts w:ascii="Calibri" w:hAnsi="Calibri"/>
          <w:b/>
        </w:rPr>
        <w:t xml:space="preserve"> Kč</w:t>
      </w:r>
      <w:r w:rsidR="00424C3D" w:rsidRPr="00E03318">
        <w:rPr>
          <w:rFonts w:ascii="Calibri" w:hAnsi="Calibri"/>
        </w:rPr>
        <w:t xml:space="preserve"> (slovy </w:t>
      </w:r>
      <w:r w:rsidR="00E03318" w:rsidRPr="00E03318">
        <w:rPr>
          <w:rFonts w:ascii="Calibri" w:hAnsi="Calibri"/>
        </w:rPr>
        <w:t>padesát pět</w:t>
      </w:r>
      <w:r w:rsidR="00E03318">
        <w:rPr>
          <w:rFonts w:ascii="Calibri" w:hAnsi="Calibri"/>
        </w:rPr>
        <w:t xml:space="preserve"> tisíc devět set dvacet dva </w:t>
      </w:r>
      <w:r w:rsidR="00424C3D" w:rsidRPr="00424C3D">
        <w:rPr>
          <w:rFonts w:ascii="Calibri" w:hAnsi="Calibri"/>
        </w:rPr>
        <w:t>korun českých</w:t>
      </w:r>
      <w:r w:rsidR="00E03318">
        <w:rPr>
          <w:rFonts w:ascii="Calibri" w:hAnsi="Calibri"/>
        </w:rPr>
        <w:t xml:space="preserve"> osmdesát haléřů</w:t>
      </w:r>
      <w:r w:rsidR="00424C3D" w:rsidRPr="00424C3D">
        <w:rPr>
          <w:rFonts w:ascii="Calibri" w:hAnsi="Calibri"/>
        </w:rPr>
        <w:t>)</w:t>
      </w:r>
      <w:r w:rsidR="00424C3D">
        <w:rPr>
          <w:rFonts w:ascii="Calibri" w:hAnsi="Calibri"/>
        </w:rPr>
        <w:t xml:space="preserve"> </w:t>
      </w:r>
      <w:r w:rsidR="001F59DB" w:rsidRPr="00873A16">
        <w:rPr>
          <w:rFonts w:ascii="Calibri" w:hAnsi="Calibri"/>
        </w:rPr>
        <w:t xml:space="preserve">bez DPH. DPH ve výši </w:t>
      </w:r>
      <w:r w:rsidR="00FA4EB6" w:rsidRPr="00873A16">
        <w:rPr>
          <w:rFonts w:ascii="Calibri" w:hAnsi="Calibri"/>
        </w:rPr>
        <w:t>21</w:t>
      </w:r>
      <w:r w:rsidR="001F59DB" w:rsidRPr="00873A16">
        <w:rPr>
          <w:rFonts w:ascii="Calibri" w:hAnsi="Calibri"/>
        </w:rPr>
        <w:t xml:space="preserve">% činí </w:t>
      </w:r>
      <w:r w:rsidR="00E03318">
        <w:rPr>
          <w:rFonts w:ascii="Calibri" w:hAnsi="Calibri"/>
          <w:b/>
        </w:rPr>
        <w:t xml:space="preserve">9 874 </w:t>
      </w:r>
      <w:r w:rsidR="00424C3D" w:rsidRPr="00424C3D">
        <w:rPr>
          <w:rFonts w:ascii="Calibri" w:hAnsi="Calibri"/>
          <w:b/>
        </w:rPr>
        <w:t>Kč</w:t>
      </w:r>
      <w:r w:rsidR="00424C3D" w:rsidRPr="00424C3D">
        <w:rPr>
          <w:rFonts w:ascii="Calibri" w:hAnsi="Calibri"/>
        </w:rPr>
        <w:t>.</w:t>
      </w:r>
      <w:r w:rsidR="001F59DB" w:rsidRPr="00873A16">
        <w:rPr>
          <w:rFonts w:ascii="Calibri" w:hAnsi="Calibri"/>
        </w:rPr>
        <w:t xml:space="preserve"> Celková cena včetně DPH je </w:t>
      </w:r>
      <w:r w:rsidR="00E03318">
        <w:rPr>
          <w:rFonts w:ascii="Calibri" w:hAnsi="Calibri"/>
          <w:b/>
          <w:bCs/>
        </w:rPr>
        <w:t xml:space="preserve">65 797 </w:t>
      </w:r>
      <w:r w:rsidR="00424C3D" w:rsidRPr="00424C3D">
        <w:rPr>
          <w:rFonts w:ascii="Calibri" w:hAnsi="Calibri"/>
          <w:b/>
          <w:bCs/>
        </w:rPr>
        <w:t>Kč</w:t>
      </w:r>
      <w:r w:rsidR="001F59DB" w:rsidRPr="00873A16">
        <w:rPr>
          <w:rFonts w:ascii="Calibri" w:hAnsi="Calibri"/>
          <w:bCs/>
        </w:rPr>
        <w:t>.</w:t>
      </w:r>
    </w:p>
    <w:p w14:paraId="574AFA1E" w14:textId="77777777" w:rsidR="001F59DB" w:rsidRPr="009330AA" w:rsidRDefault="001F59DB" w:rsidP="005667F4">
      <w:pPr>
        <w:numPr>
          <w:ilvl w:val="0"/>
          <w:numId w:val="5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326E2A">
        <w:rPr>
          <w:rFonts w:ascii="Calibri" w:hAnsi="Calibri"/>
        </w:rPr>
        <w:t xml:space="preserve">Sjednaná kupní cena je konečná a nepřekročitelná a zahrnuje veškeré náklady na splnění dodávky </w:t>
      </w:r>
      <w:r w:rsidRPr="009330AA">
        <w:rPr>
          <w:rFonts w:ascii="Calibri" w:hAnsi="Calibri"/>
        </w:rPr>
        <w:t xml:space="preserve">předmětu koupě dle této smlouvy, včetně nákladů na dopravu předmětu koupě na místo </w:t>
      </w:r>
      <w:r w:rsidR="00AA0097" w:rsidRPr="009330AA">
        <w:rPr>
          <w:rFonts w:ascii="Calibri" w:hAnsi="Calibri"/>
        </w:rPr>
        <w:t>převzetí</w:t>
      </w:r>
      <w:r w:rsidR="004E5C3A" w:rsidRPr="009330AA">
        <w:rPr>
          <w:rFonts w:ascii="Calibri" w:hAnsi="Calibri"/>
        </w:rPr>
        <w:t>.</w:t>
      </w:r>
    </w:p>
    <w:p w14:paraId="726A3E24" w14:textId="77777777" w:rsidR="00D8342B" w:rsidRPr="009330AA" w:rsidRDefault="00D8342B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 xml:space="preserve">Prodávající a kupující se dohodli, že kupní cena bude zaplacena po převzetí předmětu koupě kupujícím na základě faktury vystavené prodávajícím. Kupní cena bude zaplacena na bankovní účet prodávajícího uvedený na faktuře nejpozději </w:t>
      </w:r>
      <w:r w:rsidRPr="002425B0">
        <w:rPr>
          <w:rFonts w:ascii="Calibri" w:hAnsi="Calibri"/>
          <w:b/>
        </w:rPr>
        <w:t>do 21 dní od doručení</w:t>
      </w:r>
      <w:r w:rsidRPr="009330AA">
        <w:rPr>
          <w:rFonts w:ascii="Calibri" w:hAnsi="Calibri"/>
        </w:rPr>
        <w:t xml:space="preserve"> daňového dokladu (faktura), prodávající je oprávněn vystavit fakturu po převzetí předmětu koupě.</w:t>
      </w:r>
    </w:p>
    <w:p w14:paraId="70DEE4D5" w14:textId="77777777" w:rsidR="001F59DB" w:rsidRPr="009330AA" w:rsidRDefault="00917891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kupující oprávněn jej vrátit s tím, že prodávající je poté povinen vystavit nový s novým termínem splatnosti. V takovém případě není kupující v prodlení s úhradou.</w:t>
      </w:r>
    </w:p>
    <w:p w14:paraId="31FDC607" w14:textId="77777777" w:rsidR="001F59DB" w:rsidRPr="009330AA" w:rsidRDefault="00917891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>Kupující je oprávněn provést zajišťovací úhradu DPH na účet příslušného finančního úřadu, jestliže se prodávající stane ke dni uskutečnění zdanitelného plnění nespolehlivým plátcem dle zákona o dani z přidané hodnoty.</w:t>
      </w:r>
    </w:p>
    <w:p w14:paraId="6FA2BDC0" w14:textId="77777777" w:rsidR="00917891" w:rsidRPr="009330AA" w:rsidRDefault="00917891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 xml:space="preserve">Prodávající prohlašuje, že ke dni podpisu smlouvy není veden jako nespolehlivý plátce dle zákona č. 235/2004 Sb., o dani z přidané hodnoty, v platném znění, a zavazuje se, že se jím nestane po celou dobu trvání jakýchkoliv finančních závazků plynoucích z této smlouvy. Prodávající se dále zavazuje uvádět pro účely bezhotovostního převodu pouze účet či účty, které jsou správcem daně zveřejněny způsobem umožňujícím dálkový přístup dle zákona o dani z přidané hodnoty. V případě, že se přesto prodávající stane nespolehlivým plátcem, je povinen tuto skutečnost oznámit NPÚ </w:t>
      </w:r>
      <w:r w:rsidR="00E65587" w:rsidRPr="009330AA">
        <w:rPr>
          <w:rFonts w:ascii="Calibri" w:hAnsi="Calibri"/>
        </w:rPr>
        <w:t>neprodleně (</w:t>
      </w:r>
      <w:r w:rsidRPr="009330AA">
        <w:rPr>
          <w:rFonts w:ascii="Calibri" w:hAnsi="Calibri"/>
        </w:rPr>
        <w:t>nejpozději do 3 dnů ode dne, kdy se jím stal</w:t>
      </w:r>
      <w:r w:rsidR="00E65587" w:rsidRPr="009330AA">
        <w:rPr>
          <w:rFonts w:ascii="Calibri" w:hAnsi="Calibri"/>
        </w:rPr>
        <w:t>) na email</w:t>
      </w:r>
      <w:r w:rsidR="003867F0" w:rsidRPr="009330AA">
        <w:rPr>
          <w:rFonts w:ascii="Calibri" w:hAnsi="Calibri"/>
        </w:rPr>
        <w:t xml:space="preserve"> uvedený u kupujícího v hlavičce této smlouvy</w:t>
      </w:r>
      <w:r w:rsidRPr="009330AA">
        <w:rPr>
          <w:rFonts w:ascii="Calibri" w:hAnsi="Calibri"/>
        </w:rPr>
        <w:t xml:space="preserve">. V případě porušení oznamovací povinnosti je prodávající povinen uhradit kupujícímu jednorázovou smluvní pokutu ve výši </w:t>
      </w:r>
      <w:r w:rsidR="00167453" w:rsidRPr="009330AA">
        <w:rPr>
          <w:rFonts w:ascii="Calibri" w:hAnsi="Calibri"/>
        </w:rPr>
        <w:t>částky odpovídající výši DPH připočtené k ceně předmětu koupě</w:t>
      </w:r>
      <w:r w:rsidRPr="009330AA">
        <w:rPr>
          <w:rFonts w:ascii="Calibri" w:hAnsi="Calibri"/>
        </w:rPr>
        <w:t xml:space="preserve">. </w:t>
      </w:r>
    </w:p>
    <w:p w14:paraId="51566C54" w14:textId="77777777" w:rsidR="0076764D" w:rsidRPr="009330AA" w:rsidRDefault="0076764D" w:rsidP="0076764D">
      <w:pPr>
        <w:pStyle w:val="Nadpis41"/>
        <w:jc w:val="both"/>
        <w:rPr>
          <w:rFonts w:ascii="Calibri" w:hAnsi="Calibri"/>
          <w:b w:val="0"/>
          <w:szCs w:val="22"/>
        </w:rPr>
      </w:pPr>
    </w:p>
    <w:p w14:paraId="7B86BCD6" w14:textId="77777777" w:rsidR="0076764D" w:rsidRPr="00326E2A" w:rsidRDefault="002340D9" w:rsidP="002340D9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V.</w:t>
      </w:r>
    </w:p>
    <w:p w14:paraId="7B075447" w14:textId="77777777" w:rsidR="0076764D" w:rsidRPr="00EF3A6D" w:rsidRDefault="0076764D" w:rsidP="00EF3A6D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Odpovědnost za vady</w:t>
      </w:r>
      <w:r w:rsidR="00E0667C" w:rsidRPr="00326E2A">
        <w:rPr>
          <w:rFonts w:ascii="Calibri" w:hAnsi="Calibri"/>
          <w:szCs w:val="22"/>
        </w:rPr>
        <w:t xml:space="preserve"> a záruka za jakost</w:t>
      </w:r>
    </w:p>
    <w:p w14:paraId="63390F6B" w14:textId="77777777" w:rsidR="002340D9" w:rsidRPr="009330AA" w:rsidRDefault="0076764D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Prodávající výslovně </w:t>
      </w:r>
      <w:r w:rsidR="002340D9" w:rsidRPr="009330AA">
        <w:rPr>
          <w:rFonts w:ascii="Calibri" w:hAnsi="Calibri"/>
          <w:b w:val="0"/>
          <w:szCs w:val="22"/>
        </w:rPr>
        <w:t>prohlašuje, že předmět</w:t>
      </w:r>
      <w:r w:rsidRPr="009330AA">
        <w:rPr>
          <w:rFonts w:ascii="Calibri" w:hAnsi="Calibri"/>
          <w:b w:val="0"/>
          <w:szCs w:val="22"/>
        </w:rPr>
        <w:t xml:space="preserve"> koupě</w:t>
      </w:r>
      <w:r w:rsidR="002340D9" w:rsidRPr="009330AA">
        <w:rPr>
          <w:rFonts w:ascii="Calibri" w:hAnsi="Calibri"/>
          <w:b w:val="0"/>
          <w:szCs w:val="22"/>
        </w:rPr>
        <w:t xml:space="preserve"> je prostý </w:t>
      </w:r>
      <w:r w:rsidR="006663BD" w:rsidRPr="009330AA">
        <w:rPr>
          <w:rFonts w:ascii="Calibri" w:hAnsi="Calibri"/>
          <w:b w:val="0"/>
          <w:szCs w:val="22"/>
        </w:rPr>
        <w:t xml:space="preserve">faktických i právních </w:t>
      </w:r>
      <w:r w:rsidR="002340D9" w:rsidRPr="009330AA">
        <w:rPr>
          <w:rFonts w:ascii="Calibri" w:hAnsi="Calibri"/>
          <w:b w:val="0"/>
          <w:szCs w:val="22"/>
        </w:rPr>
        <w:t>vad a je způsobilý k užívání.</w:t>
      </w:r>
    </w:p>
    <w:p w14:paraId="1F115DCE" w14:textId="77777777" w:rsidR="00893345" w:rsidRPr="009330AA" w:rsidRDefault="0076764D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>Kupující prohlašuje, že se seznámil se stavem předmětu koupě</w:t>
      </w:r>
      <w:r w:rsidR="00893345" w:rsidRPr="009330AA">
        <w:rPr>
          <w:rFonts w:ascii="Calibri" w:hAnsi="Calibri"/>
          <w:b w:val="0"/>
          <w:szCs w:val="22"/>
        </w:rPr>
        <w:t>.</w:t>
      </w:r>
    </w:p>
    <w:p w14:paraId="78486AD2" w14:textId="77777777" w:rsidR="0076764D" w:rsidRPr="009330AA" w:rsidRDefault="00893345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Smluvní strany si sjednávají záruku za jakost v délce trvání </w:t>
      </w:r>
      <w:r w:rsidR="009330AA" w:rsidRPr="005C4D96">
        <w:rPr>
          <w:rFonts w:ascii="Calibri" w:hAnsi="Calibri"/>
          <w:szCs w:val="22"/>
        </w:rPr>
        <w:t>60</w:t>
      </w:r>
      <w:r w:rsidR="00167453" w:rsidRPr="005C4D96">
        <w:rPr>
          <w:rFonts w:ascii="Calibri" w:hAnsi="Calibri"/>
          <w:szCs w:val="22"/>
        </w:rPr>
        <w:t xml:space="preserve"> měsíců</w:t>
      </w:r>
      <w:r w:rsidR="00167453" w:rsidRPr="009330AA">
        <w:rPr>
          <w:rFonts w:ascii="Calibri" w:hAnsi="Calibri"/>
          <w:b w:val="0"/>
          <w:szCs w:val="22"/>
        </w:rPr>
        <w:t>.</w:t>
      </w:r>
      <w:r w:rsidR="009865D4">
        <w:rPr>
          <w:rFonts w:ascii="Calibri" w:hAnsi="Calibri"/>
          <w:b w:val="0"/>
          <w:szCs w:val="22"/>
        </w:rPr>
        <w:t xml:space="preserve"> </w:t>
      </w:r>
    </w:p>
    <w:p w14:paraId="0D36E2F8" w14:textId="2424C5F7" w:rsidR="0031619F" w:rsidRPr="009330AA" w:rsidRDefault="0031619F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Prodávající je povinen odstranit bez prodlení a bezplatně zjištěné vady předmětu koupě (nedohodnou-li se strany jinak, musí vady odstranit do </w:t>
      </w:r>
      <w:r w:rsidR="008C0B05">
        <w:rPr>
          <w:rFonts w:ascii="Calibri" w:hAnsi="Calibri"/>
          <w:szCs w:val="22"/>
        </w:rPr>
        <w:t>40</w:t>
      </w:r>
      <w:r w:rsidRPr="005C4D96">
        <w:rPr>
          <w:rFonts w:ascii="Calibri" w:hAnsi="Calibri"/>
          <w:szCs w:val="22"/>
        </w:rPr>
        <w:t xml:space="preserve"> pracovních dnů</w:t>
      </w:r>
      <w:r w:rsidRPr="009330AA">
        <w:rPr>
          <w:rFonts w:ascii="Calibri" w:hAnsi="Calibri"/>
          <w:b w:val="0"/>
          <w:szCs w:val="22"/>
        </w:rPr>
        <w:t xml:space="preserve">). </w:t>
      </w:r>
    </w:p>
    <w:p w14:paraId="0DADEE22" w14:textId="77777777" w:rsidR="0076764D" w:rsidRPr="00326E2A" w:rsidRDefault="0076764D" w:rsidP="0076764D">
      <w:pPr>
        <w:pStyle w:val="Nadpis41"/>
        <w:jc w:val="both"/>
        <w:rPr>
          <w:rFonts w:ascii="Calibri" w:hAnsi="Calibri"/>
          <w:b w:val="0"/>
          <w:szCs w:val="22"/>
        </w:rPr>
      </w:pPr>
    </w:p>
    <w:p w14:paraId="64953E01" w14:textId="77777777" w:rsidR="0076764D" w:rsidRPr="00326E2A" w:rsidRDefault="0076764D" w:rsidP="002340D9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VI.</w:t>
      </w:r>
    </w:p>
    <w:p w14:paraId="4C789A48" w14:textId="77777777" w:rsidR="0076764D" w:rsidRPr="00326E2A" w:rsidRDefault="0076764D" w:rsidP="002340D9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Závěrečná ustanovení</w:t>
      </w:r>
    </w:p>
    <w:p w14:paraId="49C3A7E7" w14:textId="77777777" w:rsidR="00801150" w:rsidRPr="009330AA" w:rsidRDefault="00801150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>Prodávající se vzdává svého práva namítat nepřiměřenou výši smluvní pokuty u soudu ve smyslu § 2051 zákona č. 89/2012 Sb., občanský zákoník, ve znění pozdějších předpisů.</w:t>
      </w:r>
      <w:r w:rsidR="00D9135D" w:rsidRPr="00326E2A">
        <w:rPr>
          <w:rFonts w:ascii="Calibri" w:hAnsi="Calibri"/>
        </w:rPr>
        <w:t xml:space="preserve"> </w:t>
      </w:r>
      <w:r w:rsidRPr="00326E2A">
        <w:rPr>
          <w:rFonts w:ascii="Calibri" w:hAnsi="Calibri"/>
        </w:rPr>
        <w:t xml:space="preserve">Smluvní pokuty dle této smlouvy jsou splatné do </w:t>
      </w:r>
      <w:r w:rsidR="00D9135D" w:rsidRPr="00326E2A">
        <w:rPr>
          <w:rFonts w:ascii="Calibri" w:hAnsi="Calibri"/>
        </w:rPr>
        <w:t>2</w:t>
      </w:r>
      <w:r w:rsidRPr="00326E2A">
        <w:rPr>
          <w:rFonts w:ascii="Calibri" w:hAnsi="Calibri"/>
        </w:rPr>
        <w:t xml:space="preserve">1 dnů od písemného vyúčtování odeslaného druhé smluvní straně. </w:t>
      </w:r>
      <w:r w:rsidR="00D9135D" w:rsidRPr="00326E2A">
        <w:rPr>
          <w:rFonts w:ascii="Calibri" w:hAnsi="Calibri"/>
          <w:color w:val="000000"/>
        </w:rPr>
        <w:t xml:space="preserve">Uhrazením smluvní pokuty </w:t>
      </w:r>
      <w:r w:rsidR="00D9135D" w:rsidRPr="009330AA">
        <w:rPr>
          <w:rFonts w:ascii="Calibri" w:hAnsi="Calibri"/>
          <w:color w:val="000000"/>
        </w:rPr>
        <w:t>není dotčen nárok na náhrad</w:t>
      </w:r>
      <w:r w:rsidR="00D9135D" w:rsidRPr="009330AA"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14:paraId="720D2A66" w14:textId="77777777" w:rsidR="00F87DDD" w:rsidRPr="009330AA" w:rsidRDefault="00F87DD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9330AA">
        <w:rPr>
          <w:rFonts w:ascii="Calibri" w:hAnsi="Calibri"/>
        </w:rPr>
        <w:t>Tato smlouva byla sepsána ve dvou vyhotoveních. Každá ze smluvních stran obdržela po jednom totožném vyhotovení.</w:t>
      </w:r>
    </w:p>
    <w:p w14:paraId="7E2070F4" w14:textId="132CF655" w:rsidR="00D9135D" w:rsidRPr="009330AA" w:rsidRDefault="00D9135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9330AA">
        <w:rPr>
          <w:rFonts w:ascii="Calibri" w:hAnsi="Calibri"/>
        </w:rPr>
        <w:t>Tato</w:t>
      </w:r>
      <w:r w:rsidR="00A32627">
        <w:rPr>
          <w:rFonts w:ascii="Calibri" w:hAnsi="Calibri" w:cs="Calibri"/>
          <w:color w:val="000000"/>
        </w:rPr>
        <w:t xml:space="preserve"> smlouva nabývá </w:t>
      </w:r>
      <w:r w:rsidR="00A32627" w:rsidRPr="00A32627">
        <w:rPr>
          <w:rFonts w:ascii="Calibri" w:hAnsi="Calibri" w:cs="Calibri"/>
          <w:b/>
          <w:color w:val="000000"/>
        </w:rPr>
        <w:t>platnosti</w:t>
      </w:r>
      <w:r w:rsidR="00A32627">
        <w:rPr>
          <w:rFonts w:ascii="Calibri" w:hAnsi="Calibri" w:cs="Calibri"/>
          <w:color w:val="000000"/>
        </w:rPr>
        <w:t xml:space="preserve"> </w:t>
      </w:r>
      <w:r w:rsidRPr="00A32627">
        <w:rPr>
          <w:rFonts w:ascii="Calibri" w:hAnsi="Calibri" w:cs="Calibri"/>
          <w:b/>
          <w:color w:val="000000"/>
        </w:rPr>
        <w:t>dnem podpisu</w:t>
      </w:r>
      <w:r w:rsidRPr="009330AA">
        <w:rPr>
          <w:rFonts w:ascii="Calibri" w:hAnsi="Calibri" w:cs="Calibri"/>
          <w:color w:val="000000"/>
        </w:rPr>
        <w:t xml:space="preserve"> oběma smluvními stranami. </w:t>
      </w:r>
      <w:r w:rsidR="007D260C">
        <w:rPr>
          <w:rFonts w:ascii="Calibri" w:hAnsi="Calibri" w:cs="Calibri"/>
          <w:color w:val="000000"/>
          <w:lang w:val="cs-CZ"/>
        </w:rPr>
        <w:t xml:space="preserve">Protože </w:t>
      </w:r>
      <w:r w:rsidRPr="009330AA">
        <w:rPr>
          <w:rFonts w:ascii="Calibri" w:hAnsi="Calibri" w:cs="Calibri"/>
          <w:color w:val="000000"/>
        </w:rPr>
        <w:t xml:space="preserve">smlouva podléhá povinnosti </w:t>
      </w:r>
      <w:r w:rsidR="007D260C">
        <w:rPr>
          <w:rFonts w:ascii="Calibri" w:hAnsi="Calibri" w:cs="Calibri"/>
          <w:color w:val="000000"/>
          <w:lang w:val="cs-CZ"/>
        </w:rPr>
        <w:t xml:space="preserve">i </w:t>
      </w:r>
      <w:r w:rsidRPr="009330AA">
        <w:rPr>
          <w:rFonts w:ascii="Calibri" w:hAnsi="Calibri" w:cs="Calibri"/>
          <w:color w:val="000000"/>
        </w:rPr>
        <w:t xml:space="preserve">uveřejnění </w:t>
      </w:r>
      <w:r w:rsidRPr="009330AA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9330AA">
        <w:rPr>
          <w:rFonts w:ascii="Calibri" w:hAnsi="Calibri" w:cs="Calibri"/>
          <w:color w:val="000000"/>
        </w:rPr>
        <w:t xml:space="preserve">, nabude </w:t>
      </w:r>
      <w:r w:rsidRPr="00A32627">
        <w:rPr>
          <w:rFonts w:ascii="Calibri" w:hAnsi="Calibri" w:cs="Calibri"/>
          <w:b/>
          <w:color w:val="000000"/>
        </w:rPr>
        <w:t>účinnosti</w:t>
      </w:r>
      <w:r w:rsidRPr="009330AA">
        <w:rPr>
          <w:rFonts w:ascii="Calibri" w:hAnsi="Calibri" w:cs="Calibri"/>
          <w:color w:val="000000"/>
        </w:rPr>
        <w:t xml:space="preserve"> </w:t>
      </w:r>
      <w:r w:rsidRPr="00A32627">
        <w:rPr>
          <w:rFonts w:ascii="Calibri" w:hAnsi="Calibri" w:cs="Calibri"/>
          <w:b/>
          <w:color w:val="000000"/>
        </w:rPr>
        <w:t>dnem uveřejnění</w:t>
      </w:r>
      <w:r w:rsidR="00580E68" w:rsidRPr="00A32627">
        <w:rPr>
          <w:rFonts w:ascii="Calibri" w:hAnsi="Calibri" w:cs="Calibri"/>
          <w:b/>
          <w:color w:val="000000"/>
        </w:rPr>
        <w:t xml:space="preserve"> </w:t>
      </w:r>
      <w:r w:rsidR="00580E68" w:rsidRPr="00A32627">
        <w:rPr>
          <w:rFonts w:ascii="Calibri" w:hAnsi="Calibri" w:cs="Calibri"/>
          <w:color w:val="000000"/>
        </w:rPr>
        <w:t>a</w:t>
      </w:r>
      <w:r w:rsidR="00580E68" w:rsidRPr="009330AA">
        <w:rPr>
          <w:rFonts w:ascii="Calibri" w:hAnsi="Calibri" w:cs="Calibri"/>
          <w:color w:val="000000"/>
        </w:rPr>
        <w:t xml:space="preserve"> její uveřejnění zajistí kupující</w:t>
      </w:r>
      <w:r w:rsidRPr="009330AA">
        <w:rPr>
          <w:rFonts w:ascii="Calibri" w:hAnsi="Calibri" w:cs="Calibri"/>
          <w:color w:val="000000"/>
        </w:rPr>
        <w:t>.</w:t>
      </w:r>
      <w:r w:rsidRPr="009330AA">
        <w:rPr>
          <w:rFonts w:ascii="Calibri" w:hAnsi="Calibri"/>
          <w:snapToGrid w:val="0"/>
        </w:rPr>
        <w:t xml:space="preserve"> Smluvní strany berou na vědomí, že tato smlouva může být předmětem zveřejnění i dle jiných právních předpisů.</w:t>
      </w:r>
    </w:p>
    <w:p w14:paraId="3D9A420B" w14:textId="77777777" w:rsidR="00F87DDD" w:rsidRPr="00326E2A" w:rsidRDefault="00F87DDD" w:rsidP="005667F4">
      <w:pPr>
        <w:pStyle w:val="Zkladntext"/>
        <w:numPr>
          <w:ilvl w:val="1"/>
          <w:numId w:val="1"/>
        </w:numPr>
        <w:rPr>
          <w:rFonts w:ascii="Calibri" w:hAnsi="Calibri" w:cs="Calibri"/>
          <w:color w:val="000000"/>
        </w:rPr>
      </w:pPr>
      <w:r w:rsidRPr="009330AA">
        <w:rPr>
          <w:rFonts w:ascii="Calibri" w:hAnsi="Calibri" w:cs="Calibri"/>
          <w:color w:val="000000"/>
        </w:rPr>
        <w:lastRenderedPageBreak/>
        <w:t>Smluvní strany se zavazují spolupůsobit jako osoba povinná v souladu se zákonem č. 320/2001 Sb., o finanční</w:t>
      </w:r>
      <w:r w:rsidRPr="00326E2A">
        <w:rPr>
          <w:rFonts w:ascii="Calibri" w:hAnsi="Calibri" w:cs="Calibri"/>
          <w:color w:val="000000"/>
        </w:rPr>
        <w:t xml:space="preserve"> kontrole ve veřejné správě a o změně některých zákonů (zákon o finanční kontrole), ve znění pozdějších předpisů.</w:t>
      </w:r>
    </w:p>
    <w:p w14:paraId="61E46E25" w14:textId="77777777" w:rsidR="00F87DDD" w:rsidRPr="00326E2A" w:rsidRDefault="00F87DD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9330AA">
        <w:rPr>
          <w:rFonts w:ascii="Calibri" w:hAnsi="Calibri" w:cs="Calibri"/>
          <w:color w:val="000000"/>
        </w:rPr>
        <w:t>Smlo</w:t>
      </w:r>
      <w:r w:rsidRPr="00326E2A">
        <w:rPr>
          <w:rFonts w:ascii="Calibri" w:hAnsi="Calibri"/>
        </w:rPr>
        <w:t xml:space="preserve">uvu je možno měnit či doplňovat výhradně písemnými číslovanými dodatky. </w:t>
      </w:r>
    </w:p>
    <w:p w14:paraId="13626C98" w14:textId="77777777" w:rsidR="00F87DDD" w:rsidRPr="00326E2A" w:rsidRDefault="00F87DD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41ECACF4" w14:textId="77777777" w:rsidR="006E1841" w:rsidRPr="00326E2A" w:rsidRDefault="006E1841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 w:rsidRPr="00326E2A">
          <w:rPr>
            <w:rStyle w:val="Hypertextovodkaz"/>
            <w:rFonts w:ascii="Calibri" w:hAnsi="Calibri"/>
            <w:iCs/>
          </w:rPr>
          <w:t>www.npu.cz</w:t>
        </w:r>
      </w:hyperlink>
      <w:r w:rsidRPr="00326E2A">
        <w:rPr>
          <w:rFonts w:ascii="Calibri" w:hAnsi="Calibri"/>
          <w:iCs/>
        </w:rPr>
        <w:t xml:space="preserve"> v sekci „Ochrana osobních údajů“.</w:t>
      </w:r>
    </w:p>
    <w:p w14:paraId="2FB3ED26" w14:textId="77777777" w:rsidR="00CE392A" w:rsidRDefault="00CE392A" w:rsidP="006E0904">
      <w:pPr>
        <w:pStyle w:val="Zkladntext"/>
        <w:rPr>
          <w:rFonts w:ascii="Calibri" w:hAnsi="Calibri"/>
        </w:rPr>
      </w:pPr>
    </w:p>
    <w:p w14:paraId="249DA2D9" w14:textId="77777777" w:rsidR="009330AA" w:rsidRDefault="009330AA" w:rsidP="006E0904">
      <w:pPr>
        <w:pStyle w:val="Zkladntext"/>
        <w:rPr>
          <w:rFonts w:ascii="Calibri" w:hAnsi="Calibri"/>
          <w:lang w:val="cs-CZ"/>
        </w:rPr>
      </w:pPr>
      <w:r w:rsidRPr="009A659F">
        <w:rPr>
          <w:rFonts w:ascii="Calibri" w:hAnsi="Calibri"/>
          <w:b/>
          <w:lang w:val="cs-CZ"/>
        </w:rPr>
        <w:t>Přílohy</w:t>
      </w:r>
      <w:r>
        <w:rPr>
          <w:rFonts w:ascii="Calibri" w:hAnsi="Calibri"/>
          <w:lang w:val="cs-CZ"/>
        </w:rPr>
        <w:t>:</w:t>
      </w:r>
    </w:p>
    <w:p w14:paraId="4E7D22B7" w14:textId="77777777" w:rsidR="00140253" w:rsidRDefault="00140253" w:rsidP="00140253">
      <w:pPr>
        <w:pStyle w:val="Zkladntext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Příloha č. 1: Specifikace zboží</w:t>
      </w:r>
    </w:p>
    <w:p w14:paraId="31A9B60D" w14:textId="77777777" w:rsidR="00140253" w:rsidRPr="003438FB" w:rsidRDefault="00140253" w:rsidP="00140253">
      <w:pPr>
        <w:pStyle w:val="Zkladntext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Příloha č. 2: Položkový rozpočet</w:t>
      </w:r>
    </w:p>
    <w:p w14:paraId="56B9D5F5" w14:textId="77777777" w:rsidR="009F59CC" w:rsidRPr="00326E2A" w:rsidRDefault="009F59CC" w:rsidP="006E0904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004F0" w:rsidRPr="00326E2A" w14:paraId="27CB821E" w14:textId="77777777" w:rsidTr="00245D5F">
        <w:trPr>
          <w:jc w:val="center"/>
        </w:trPr>
        <w:tc>
          <w:tcPr>
            <w:tcW w:w="4606" w:type="dxa"/>
          </w:tcPr>
          <w:p w14:paraId="3251EB8D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9330AA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elči"/>
                  </w:textInput>
                </w:ffData>
              </w:fldChar>
            </w:r>
            <w:bookmarkStart w:id="1" w:name="Text20"/>
            <w:r w:rsidR="009330AA">
              <w:rPr>
                <w:rFonts w:ascii="Calibri" w:hAnsi="Calibri"/>
              </w:rPr>
              <w:instrText xml:space="preserve"> FORMTEXT </w:instrText>
            </w:r>
            <w:r w:rsidR="009330AA">
              <w:rPr>
                <w:rFonts w:ascii="Calibri" w:hAnsi="Calibri"/>
              </w:rPr>
            </w:r>
            <w:r w:rsidR="009330AA">
              <w:rPr>
                <w:rFonts w:ascii="Calibri" w:hAnsi="Calibri"/>
              </w:rPr>
              <w:fldChar w:fldCharType="separate"/>
            </w:r>
            <w:r w:rsidR="009330AA">
              <w:rPr>
                <w:rFonts w:ascii="Calibri" w:hAnsi="Calibri"/>
                <w:noProof/>
              </w:rPr>
              <w:t>Telči</w:t>
            </w:r>
            <w:r w:rsidR="009330AA">
              <w:rPr>
                <w:rFonts w:ascii="Calibri" w:hAnsi="Calibri"/>
              </w:rPr>
              <w:fldChar w:fldCharType="end"/>
            </w:r>
            <w:bookmarkEnd w:id="1"/>
            <w:r w:rsidRPr="00326E2A">
              <w:rPr>
                <w:rFonts w:ascii="Calibri" w:hAnsi="Calibri"/>
              </w:rPr>
              <w:t xml:space="preserve">, dne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</w:p>
          <w:p w14:paraId="0BC64802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50C528A7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36B563CA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14:paraId="67C1FD0B" w14:textId="77777777" w:rsidR="009330AA" w:rsidRPr="00873A16" w:rsidRDefault="009330AA" w:rsidP="009330AA">
            <w:pPr>
              <w:jc w:val="center"/>
              <w:rPr>
                <w:rFonts w:ascii="Calibri" w:hAnsi="Calibri"/>
                <w:b/>
              </w:rPr>
            </w:pPr>
            <w:r w:rsidRPr="00873A16">
              <w:rPr>
                <w:rFonts w:ascii="Calibri" w:hAnsi="Calibri"/>
                <w:b/>
              </w:rPr>
              <w:t>Mgr. Pavel Macků</w:t>
            </w:r>
          </w:p>
          <w:p w14:paraId="181585D6" w14:textId="77777777" w:rsidR="009330AA" w:rsidRDefault="000A7AF5" w:rsidP="009330A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ř</w:t>
            </w:r>
            <w:r w:rsidR="009330AA">
              <w:rPr>
                <w:rFonts w:ascii="Calibri" w:hAnsi="Calibri"/>
              </w:rPr>
              <w:t>editel NPÚ, ÚOP v Telči</w:t>
            </w:r>
          </w:p>
          <w:p w14:paraId="0CBC195E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kupujícího)</w:t>
            </w:r>
          </w:p>
          <w:p w14:paraId="2725EE96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753EB63F" w14:textId="2BD9D7CB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11134C">
              <w:rPr>
                <w:rFonts w:ascii="Calibri" w:hAnsi="Calibri"/>
              </w:rPr>
              <w:t>Praze</w:t>
            </w:r>
            <w:r w:rsidRPr="00326E2A">
              <w:rPr>
                <w:rFonts w:ascii="Calibri" w:hAnsi="Calibri"/>
              </w:rPr>
              <w:t xml:space="preserve">, dne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</w:p>
          <w:p w14:paraId="01E29337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6C365010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7AAA60A9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14:paraId="754B250F" w14:textId="1CA05512" w:rsidR="00BB0BC3" w:rsidRPr="00BB0BC3" w:rsidRDefault="0011134C" w:rsidP="00BB0BC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Mgr. František Nadymáček</w:t>
            </w:r>
          </w:p>
          <w:p w14:paraId="5ED99F6B" w14:textId="4A031513" w:rsidR="00A12AB5" w:rsidRDefault="0011134C" w:rsidP="00BB0B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B2G </w:t>
            </w:r>
            <w:proofErr w:type="spellStart"/>
            <w:r>
              <w:rPr>
                <w:rFonts w:ascii="Calibri" w:hAnsi="Calibri"/>
              </w:rPr>
              <w:t>Teamleader</w:t>
            </w:r>
            <w:proofErr w:type="spellEnd"/>
          </w:p>
          <w:p w14:paraId="5DC5A628" w14:textId="77777777" w:rsidR="00873A16" w:rsidRPr="00326E2A" w:rsidRDefault="00873A16" w:rsidP="00BB0BC3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prodávajícího)</w:t>
            </w:r>
          </w:p>
          <w:p w14:paraId="02844804" w14:textId="77777777" w:rsidR="002004F0" w:rsidRPr="00326E2A" w:rsidRDefault="00873A16" w:rsidP="00873A16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</w:tr>
    </w:tbl>
    <w:p w14:paraId="454B8960" w14:textId="77777777" w:rsidR="00CE392A" w:rsidRDefault="00CE392A" w:rsidP="006E0904">
      <w:pPr>
        <w:rPr>
          <w:rFonts w:ascii="Calibri" w:hAnsi="Calibri"/>
        </w:rPr>
      </w:pPr>
    </w:p>
    <w:p w14:paraId="7DE1F57F" w14:textId="77777777" w:rsidR="007D260C" w:rsidRDefault="007D260C" w:rsidP="006E0904">
      <w:pPr>
        <w:rPr>
          <w:rFonts w:ascii="Calibri" w:hAnsi="Calibri"/>
        </w:rPr>
      </w:pPr>
    </w:p>
    <w:p w14:paraId="6094103B" w14:textId="77777777" w:rsidR="007D260C" w:rsidRDefault="007D260C" w:rsidP="006E0904">
      <w:pPr>
        <w:rPr>
          <w:rFonts w:ascii="Calibri" w:hAnsi="Calibri"/>
        </w:rPr>
      </w:pPr>
    </w:p>
    <w:p w14:paraId="77CC952A" w14:textId="77777777" w:rsidR="001B4B8A" w:rsidRDefault="001B4B8A">
      <w:pPr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EE56AA8" w14:textId="77777777" w:rsidR="001B4B8A" w:rsidRDefault="001B4B8A" w:rsidP="00140253">
      <w:pPr>
        <w:rPr>
          <w:rFonts w:ascii="Calibri" w:hAnsi="Calibri"/>
          <w:b/>
        </w:rPr>
      </w:pPr>
    </w:p>
    <w:p w14:paraId="44C59ED8" w14:textId="7E8351C8" w:rsidR="00C16829" w:rsidRDefault="00140253" w:rsidP="00140253">
      <w:pPr>
        <w:rPr>
          <w:rFonts w:ascii="Calibri" w:hAnsi="Calibri"/>
          <w:b/>
        </w:rPr>
      </w:pPr>
      <w:r w:rsidRPr="00F80515">
        <w:rPr>
          <w:rFonts w:ascii="Calibri" w:hAnsi="Calibri"/>
          <w:b/>
        </w:rPr>
        <w:t>Příloha č. 1 Specifikace zboží</w:t>
      </w:r>
    </w:p>
    <w:p w14:paraId="6FDCA7C8" w14:textId="588B581A" w:rsidR="009A659F" w:rsidRPr="0011134C" w:rsidRDefault="00735012" w:rsidP="001D1216">
      <w:pPr>
        <w:rPr>
          <w:rFonts w:ascii="Calibri" w:hAnsi="Calibri"/>
        </w:rPr>
      </w:pPr>
      <w:r>
        <w:rPr>
          <w:rFonts w:ascii="Calibri" w:hAnsi="Calibri" w:cs="Calibri"/>
          <w:bCs/>
        </w:rPr>
        <w:t>3</w:t>
      </w:r>
      <w:r w:rsidR="001D1216" w:rsidRPr="0011134C">
        <w:rPr>
          <w:rFonts w:ascii="Calibri" w:hAnsi="Calibri" w:cs="Calibri"/>
          <w:bCs/>
        </w:rPr>
        <w:t xml:space="preserve"> ks NTB </w:t>
      </w:r>
      <w:r w:rsidR="00A12AB5" w:rsidRPr="0011134C">
        <w:rPr>
          <w:rFonts w:ascii="Calibri" w:hAnsi="Calibri" w:cs="Calibri"/>
        </w:rPr>
        <w:t>v</w:t>
      </w:r>
      <w:r w:rsidR="00A12AB5" w:rsidRPr="0011134C">
        <w:rPr>
          <w:rFonts w:ascii="Calibri" w:hAnsi="Calibri" w:cs="Calibri"/>
          <w:bCs/>
        </w:rPr>
        <w:t>četně brašny</w:t>
      </w:r>
      <w:r w:rsidR="001D1216" w:rsidRPr="0011134C">
        <w:rPr>
          <w:rFonts w:ascii="Calibri" w:hAnsi="Calibri" w:cs="Calibri"/>
          <w:bCs/>
        </w:rPr>
        <w:t>, v</w:t>
      </w:r>
      <w:r w:rsidR="006121DC" w:rsidRPr="0011134C">
        <w:rPr>
          <w:rFonts w:ascii="Calibri" w:hAnsi="Calibri" w:cs="Calibri"/>
          <w:bCs/>
        </w:rPr>
        <w:t>elikost obrazovky – 17</w:t>
      </w:r>
      <w:r w:rsidR="002C19F1" w:rsidRPr="0011134C">
        <w:rPr>
          <w:rFonts w:ascii="Calibri" w:hAnsi="Calibri" w:cs="Calibri"/>
          <w:bCs/>
        </w:rPr>
        <w:t>,3</w:t>
      </w:r>
      <w:r w:rsidR="006121DC" w:rsidRPr="0011134C">
        <w:rPr>
          <w:rFonts w:ascii="Calibri" w:hAnsi="Calibri" w:cs="Calibri"/>
          <w:bCs/>
        </w:rPr>
        <w:t>´´</w:t>
      </w:r>
      <w:r w:rsidR="001D1216" w:rsidRPr="0011134C">
        <w:rPr>
          <w:rFonts w:ascii="Calibri" w:hAnsi="Calibri" w:cs="Calibri"/>
          <w:bCs/>
        </w:rPr>
        <w:t>, p</w:t>
      </w:r>
      <w:r w:rsidR="00A32627" w:rsidRPr="0011134C">
        <w:rPr>
          <w:rFonts w:ascii="Calibri" w:hAnsi="Calibri"/>
        </w:rPr>
        <w:t>rodloužená záruka</w:t>
      </w:r>
      <w:r w:rsidR="009A659F" w:rsidRPr="0011134C">
        <w:rPr>
          <w:rFonts w:ascii="Calibri" w:hAnsi="Calibri"/>
        </w:rPr>
        <w:t xml:space="preserve"> 5 let</w:t>
      </w:r>
    </w:p>
    <w:tbl>
      <w:tblPr>
        <w:tblW w:w="9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638"/>
        <w:gridCol w:w="3223"/>
        <w:gridCol w:w="22"/>
        <w:gridCol w:w="800"/>
        <w:gridCol w:w="2973"/>
        <w:gridCol w:w="7"/>
      </w:tblGrid>
      <w:tr w:rsidR="001D1216" w:rsidRPr="001D1216" w14:paraId="3E9A9166" w14:textId="77777777" w:rsidTr="00513FF5">
        <w:trPr>
          <w:trHeight w:val="375"/>
        </w:trPr>
        <w:tc>
          <w:tcPr>
            <w:tcW w:w="61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FDD1A0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D121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Funkcionalita / požadované parametry závazné pro dodavatele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7A5FB905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1D12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min. / max.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49E31C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D121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Sestava NB 03</w:t>
            </w:r>
          </w:p>
        </w:tc>
      </w:tr>
      <w:tr w:rsidR="001D1216" w:rsidRPr="001D1216" w14:paraId="09B0FFFF" w14:textId="77777777" w:rsidTr="00513FF5">
        <w:trPr>
          <w:trHeight w:val="315"/>
        </w:trPr>
        <w:tc>
          <w:tcPr>
            <w:tcW w:w="61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8C2E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2EB0C3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E414997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1D12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(15,6" a více)</w:t>
            </w:r>
          </w:p>
        </w:tc>
      </w:tr>
      <w:tr w:rsidR="001D1216" w:rsidRPr="001D1216" w14:paraId="5A790A7E" w14:textId="77777777" w:rsidTr="00513FF5">
        <w:trPr>
          <w:trHeight w:val="330"/>
        </w:trPr>
        <w:tc>
          <w:tcPr>
            <w:tcW w:w="61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9A0D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77B613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34C8AE3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1D12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Požadované parametry</w:t>
            </w:r>
          </w:p>
        </w:tc>
      </w:tr>
      <w:tr w:rsidR="001D1216" w:rsidRPr="001D1216" w14:paraId="581FBBA4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94707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CPU (procesor)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AC811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proofErr w:type="spellStart"/>
            <w:r w:rsidRPr="001D1216">
              <w:rPr>
                <w:rFonts w:ascii="Calibri" w:hAnsi="Calibri" w:cs="Calibri"/>
              </w:rPr>
              <w:t>Passmark</w:t>
            </w:r>
            <w:proofErr w:type="spellEnd"/>
            <w:r w:rsidRPr="001D1216">
              <w:rPr>
                <w:rFonts w:ascii="Calibri" w:hAnsi="Calibri" w:cs="Calibri"/>
              </w:rPr>
              <w:t xml:space="preserve"> CPU (www.passmark.com)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32BE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C16A82" w14:textId="10647BB8" w:rsidR="001D1216" w:rsidRPr="001D1216" w:rsidRDefault="00424A2D" w:rsidP="001D1216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13 </w:t>
            </w:r>
            <w:r w:rsidR="001D1216" w:rsidRPr="001D1216">
              <w:rPr>
                <w:rFonts w:ascii="Calibri" w:hAnsi="Calibri" w:cs="Calibri"/>
                <w:bCs/>
              </w:rPr>
              <w:t>000</w:t>
            </w:r>
          </w:p>
        </w:tc>
      </w:tr>
      <w:tr w:rsidR="001D1216" w:rsidRPr="001D1216" w14:paraId="5120E3FC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6E682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9F923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proofErr w:type="spellStart"/>
            <w:r w:rsidRPr="001D1216">
              <w:rPr>
                <w:rFonts w:ascii="Calibri" w:hAnsi="Calibri" w:cs="Calibri"/>
              </w:rPr>
              <w:t>Virtualizace</w:t>
            </w:r>
            <w:proofErr w:type="spellEnd"/>
            <w:r w:rsidRPr="001D1216">
              <w:rPr>
                <w:rFonts w:ascii="Calibri" w:hAnsi="Calibri" w:cs="Calibri"/>
              </w:rPr>
              <w:t xml:space="preserve"> procesoru a síťové karty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0CB8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86D18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65133757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D7205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1D6F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Technologie 64 bit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D443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ED9B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213E3701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3EFA1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Operační paměť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0D3D5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Typ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0009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263EA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DDR4</w:t>
            </w:r>
          </w:p>
        </w:tc>
      </w:tr>
      <w:tr w:rsidR="001D1216" w:rsidRPr="001D1216" w14:paraId="46CBEA6F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D0ECE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1CC44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Celková instalovaná velikost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2BA9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71CCD5" w14:textId="3E221292" w:rsidR="001D1216" w:rsidRPr="001D1216" w:rsidRDefault="00424A2D" w:rsidP="001D1216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16</w:t>
            </w:r>
            <w:r w:rsidR="001D1216" w:rsidRPr="001D1216">
              <w:rPr>
                <w:rFonts w:ascii="Calibri" w:hAnsi="Calibri" w:cs="Calibri"/>
                <w:bCs/>
              </w:rPr>
              <w:t xml:space="preserve"> GB</w:t>
            </w:r>
          </w:p>
        </w:tc>
      </w:tr>
      <w:tr w:rsidR="001D1216" w:rsidRPr="001D1216" w14:paraId="36B2BB57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D831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D121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CB9A6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Možnost doplnění na celkovou velikost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EAA2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C2FC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bCs/>
                <w:color w:val="000000"/>
              </w:rPr>
            </w:pPr>
            <w:r w:rsidRPr="001D1216">
              <w:rPr>
                <w:rFonts w:ascii="Calibri" w:hAnsi="Calibri" w:cs="Calibri"/>
                <w:bCs/>
                <w:color w:val="000000"/>
              </w:rPr>
              <w:t>nepožadováno</w:t>
            </w:r>
          </w:p>
        </w:tc>
      </w:tr>
      <w:tr w:rsidR="001D1216" w:rsidRPr="001D1216" w14:paraId="07690EDD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C9D9B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UEFI/BIOS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B2048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Identifikace UEFI (</w:t>
            </w:r>
            <w:proofErr w:type="spellStart"/>
            <w:r w:rsidRPr="001D1216">
              <w:rPr>
                <w:rFonts w:ascii="Calibri" w:hAnsi="Calibri" w:cs="Calibri"/>
              </w:rPr>
              <w:t>Unified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Extensible</w:t>
            </w:r>
            <w:proofErr w:type="spellEnd"/>
            <w:r w:rsidRPr="001D1216">
              <w:rPr>
                <w:rFonts w:ascii="Calibri" w:hAnsi="Calibri" w:cs="Calibri"/>
              </w:rPr>
              <w:t xml:space="preserve"> Firmware Interface) / BIOS musí obsahovat sériové číslo a informace o výrobci a modelu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11C7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67E28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552EAFDF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6BD6E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20329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Možnost zabezpečení heslem proti neoprávněnému přístupu do BIOS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6A95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FF9CC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76DC8FEC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1DEA9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45BD378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Možnost zablokování zavedení operačního systému z periferií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61B5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9158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3C6398B7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A387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FA3E32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Možnost zablokování vybraných zařízení (periferií) tak, aby s nimi nemohl pracovat OS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0710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1DE2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466DAAB7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E6809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Pevný disk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DF1D9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SSD M2 slot</w:t>
            </w:r>
          </w:p>
        </w:tc>
        <w:tc>
          <w:tcPr>
            <w:tcW w:w="82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ADFA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E52948" w14:textId="3634E3BA" w:rsidR="001D1216" w:rsidRPr="001D1216" w:rsidRDefault="00A758D4" w:rsidP="001D1216">
            <w:pPr>
              <w:jc w:val="left"/>
              <w:rPr>
                <w:rFonts w:ascii="Calibri" w:hAnsi="Calibri" w:cs="Calibri"/>
              </w:rPr>
            </w:pPr>
            <w:r w:rsidRPr="00424A2D">
              <w:rPr>
                <w:rFonts w:ascii="Calibri" w:hAnsi="Calibri" w:cs="Calibri"/>
              </w:rPr>
              <w:t>256</w:t>
            </w:r>
            <w:r w:rsidR="001D1216" w:rsidRPr="001D1216">
              <w:rPr>
                <w:rFonts w:ascii="Calibri" w:hAnsi="Calibri" w:cs="Calibri"/>
              </w:rPr>
              <w:t xml:space="preserve"> GB</w:t>
            </w:r>
          </w:p>
        </w:tc>
      </w:tr>
      <w:tr w:rsidR="001D1216" w:rsidRPr="001D1216" w14:paraId="0FB91305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AF61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0082E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Rychlost čtení / zápis MB / sec</w:t>
            </w:r>
          </w:p>
        </w:tc>
        <w:tc>
          <w:tcPr>
            <w:tcW w:w="822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A1BE6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D33C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424A2D">
              <w:rPr>
                <w:rFonts w:ascii="Calibri" w:hAnsi="Calibri" w:cs="Calibri"/>
              </w:rPr>
              <w:t>2000 / 2000</w:t>
            </w:r>
          </w:p>
        </w:tc>
      </w:tr>
      <w:tr w:rsidR="001D1216" w:rsidRPr="001D1216" w14:paraId="1D212FEE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1B6E9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Základní deska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6EBDE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Integrovaná síťová karta - 100/1000 </w:t>
            </w:r>
            <w:proofErr w:type="spellStart"/>
            <w:r w:rsidRPr="001D1216">
              <w:rPr>
                <w:rFonts w:ascii="Calibri" w:hAnsi="Calibri" w:cs="Calibri"/>
              </w:rPr>
              <w:t>Mbit</w:t>
            </w:r>
            <w:proofErr w:type="spellEnd"/>
            <w:r w:rsidRPr="001D1216">
              <w:rPr>
                <w:rFonts w:ascii="Calibri" w:hAnsi="Calibri" w:cs="Calibri"/>
              </w:rPr>
              <w:t xml:space="preserve">/sec, RJ45 (možno použít externí redukci USB na RJ45 avšak nesmí dojít ke snížení požadovaného počtu volných USB a zachování plné funkčnosti síťového prvku), </w:t>
            </w:r>
            <w:proofErr w:type="spellStart"/>
            <w:r w:rsidRPr="001D1216">
              <w:rPr>
                <w:rFonts w:ascii="Calibri" w:hAnsi="Calibri" w:cs="Calibri"/>
              </w:rPr>
              <w:t>Wake</w:t>
            </w:r>
            <w:proofErr w:type="spellEnd"/>
            <w:r w:rsidRPr="001D1216">
              <w:rPr>
                <w:rFonts w:ascii="Calibri" w:hAnsi="Calibri" w:cs="Calibri"/>
              </w:rPr>
              <w:t xml:space="preserve"> on LAN, podpora 802.1X, PXE (</w:t>
            </w:r>
            <w:proofErr w:type="spellStart"/>
            <w:r w:rsidRPr="001D1216">
              <w:rPr>
                <w:rFonts w:ascii="Calibri" w:hAnsi="Calibri" w:cs="Calibri"/>
              </w:rPr>
              <w:t>Preboot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eXecution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Environment</w:t>
            </w:r>
            <w:proofErr w:type="spellEnd"/>
            <w:r w:rsidRPr="001D1216">
              <w:rPr>
                <w:rFonts w:ascii="Calibri" w:hAnsi="Calibri" w:cs="Calibri"/>
              </w:rPr>
              <w:t>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E921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A7E0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71797D00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741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CA336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Integrovaná grafická karta</w:t>
            </w:r>
          </w:p>
        </w:tc>
        <w:tc>
          <w:tcPr>
            <w:tcW w:w="322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D23C8B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podpora práce více monitorů současně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18CD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3C684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2</w:t>
            </w:r>
          </w:p>
        </w:tc>
      </w:tr>
      <w:tr w:rsidR="001D1216" w:rsidRPr="001D1216" w14:paraId="61EFFE94" w14:textId="77777777" w:rsidTr="00513FF5">
        <w:trPr>
          <w:gridAfter w:val="1"/>
          <w:wAfter w:w="7" w:type="dxa"/>
          <w:trHeight w:val="9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BD69F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6996805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4DC68D7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rozhraní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7588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5FD80A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1x digitální připojení k externímu monitoru (DP/HDMI standard/mini/</w:t>
            </w:r>
            <w:proofErr w:type="spellStart"/>
            <w:r w:rsidRPr="001D1216">
              <w:rPr>
                <w:rFonts w:ascii="Calibri" w:hAnsi="Calibri" w:cs="Calibri"/>
              </w:rPr>
              <w:t>micro</w:t>
            </w:r>
            <w:proofErr w:type="spellEnd"/>
            <w:r w:rsidRPr="001D1216">
              <w:rPr>
                <w:rFonts w:ascii="Calibri" w:hAnsi="Calibri" w:cs="Calibri"/>
              </w:rPr>
              <w:t>)</w:t>
            </w:r>
          </w:p>
        </w:tc>
      </w:tr>
      <w:tr w:rsidR="001D1216" w:rsidRPr="001D1216" w14:paraId="068DEB13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0652D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A53BE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Integrovaná zvuková karta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8DEEC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8CC5D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63ECE1E0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7FED0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FB4F71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TPM (</w:t>
            </w:r>
            <w:proofErr w:type="spellStart"/>
            <w:r w:rsidRPr="001D1216">
              <w:rPr>
                <w:rFonts w:ascii="Calibri" w:hAnsi="Calibri" w:cs="Calibri"/>
              </w:rPr>
              <w:t>Trusted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Platform</w:t>
            </w:r>
            <w:proofErr w:type="spellEnd"/>
            <w:r w:rsidRPr="001D1216">
              <w:rPr>
                <w:rFonts w:ascii="Calibri" w:hAnsi="Calibri" w:cs="Calibri"/>
              </w:rPr>
              <w:t xml:space="preserve"> Module) </w:t>
            </w:r>
            <w:proofErr w:type="spellStart"/>
            <w:r w:rsidRPr="001D1216">
              <w:rPr>
                <w:rFonts w:ascii="Calibri" w:hAnsi="Calibri" w:cs="Calibri"/>
              </w:rPr>
              <w:t>chip</w:t>
            </w:r>
            <w:proofErr w:type="spellEnd"/>
            <w:r w:rsidRPr="001D1216">
              <w:rPr>
                <w:rFonts w:ascii="Calibri" w:hAnsi="Calibri" w:cs="Calibri"/>
              </w:rPr>
              <w:t xml:space="preserve"> verze TPM 2.0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12A1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12810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14993BAF" w14:textId="77777777" w:rsidTr="00513FF5">
        <w:trPr>
          <w:gridAfter w:val="1"/>
          <w:wAfter w:w="7" w:type="dxa"/>
          <w:trHeight w:val="9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A243A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A85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Integrovaná konektivita</w:t>
            </w:r>
          </w:p>
        </w:tc>
        <w:tc>
          <w:tcPr>
            <w:tcW w:w="322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28B1F0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D1216">
              <w:rPr>
                <w:rFonts w:ascii="Calibri" w:hAnsi="Calibri" w:cs="Calibri"/>
                <w:sz w:val="20"/>
                <w:szCs w:val="20"/>
              </w:rPr>
              <w:t>USB 2.0, USB 3.2 (nebo vyšší)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A6E3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92DA8" w14:textId="7CD333F8" w:rsidR="001D1216" w:rsidRPr="001D1216" w:rsidRDefault="00A758D4" w:rsidP="001D1216">
            <w:pPr>
              <w:jc w:val="left"/>
              <w:rPr>
                <w:rFonts w:ascii="Calibri" w:hAnsi="Calibri" w:cs="Calibri"/>
              </w:rPr>
            </w:pPr>
            <w:r w:rsidRPr="00A758D4">
              <w:rPr>
                <w:rFonts w:ascii="Calibri" w:hAnsi="Calibri" w:cs="Calibri"/>
              </w:rPr>
              <w:t>3</w:t>
            </w:r>
            <w:r w:rsidR="001D1216" w:rsidRPr="001D1216">
              <w:rPr>
                <w:rFonts w:ascii="Calibri" w:hAnsi="Calibri" w:cs="Calibri"/>
              </w:rPr>
              <w:t xml:space="preserve"> - z toho min. </w:t>
            </w:r>
            <w:r w:rsidR="006B5135" w:rsidRPr="006B5135">
              <w:rPr>
                <w:rFonts w:ascii="Calibri" w:hAnsi="Calibri" w:cs="Calibri"/>
              </w:rPr>
              <w:t>2</w:t>
            </w:r>
            <w:r w:rsidR="001D1216" w:rsidRPr="001D1216">
              <w:rPr>
                <w:rFonts w:ascii="Calibri" w:hAnsi="Calibri" w:cs="Calibri"/>
              </w:rPr>
              <w:t>x USB 3.2 (nebo vyšší) min. 1x konektor typ C, min. 2x konektor typ A</w:t>
            </w:r>
          </w:p>
        </w:tc>
      </w:tr>
      <w:tr w:rsidR="001D1216" w:rsidRPr="001D1216" w14:paraId="17670A7F" w14:textId="77777777" w:rsidTr="00513FF5">
        <w:trPr>
          <w:gridAfter w:val="1"/>
          <w:wAfter w:w="7" w:type="dxa"/>
          <w:trHeight w:val="6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935E2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FACC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4010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bezdrátové připojení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7F587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633EA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proofErr w:type="spellStart"/>
            <w:r w:rsidRPr="001D1216">
              <w:rPr>
                <w:rFonts w:ascii="Calibri" w:hAnsi="Calibri" w:cs="Calibri"/>
              </w:rPr>
              <w:t>Wireles</w:t>
            </w:r>
            <w:proofErr w:type="spellEnd"/>
            <w:r w:rsidRPr="001D1216">
              <w:rPr>
                <w:rFonts w:ascii="Calibri" w:hAnsi="Calibri" w:cs="Calibri"/>
              </w:rPr>
              <w:t xml:space="preserve"> LAN 802.11 a/b/g/n/</w:t>
            </w:r>
            <w:proofErr w:type="spellStart"/>
            <w:r w:rsidRPr="001D1216">
              <w:rPr>
                <w:rFonts w:ascii="Calibri" w:hAnsi="Calibri" w:cs="Calibri"/>
              </w:rPr>
              <w:t>ac</w:t>
            </w:r>
            <w:proofErr w:type="spellEnd"/>
            <w:r w:rsidRPr="001D1216">
              <w:rPr>
                <w:rFonts w:ascii="Calibri" w:hAnsi="Calibri" w:cs="Calibri"/>
              </w:rPr>
              <w:t>/</w:t>
            </w:r>
            <w:proofErr w:type="spellStart"/>
            <w:r w:rsidRPr="001D1216">
              <w:rPr>
                <w:rFonts w:ascii="Calibri" w:hAnsi="Calibri" w:cs="Calibri"/>
              </w:rPr>
              <w:t>ax</w:t>
            </w:r>
            <w:proofErr w:type="spellEnd"/>
            <w:r w:rsidRPr="001D1216">
              <w:rPr>
                <w:rFonts w:ascii="Calibri" w:hAnsi="Calibri" w:cs="Calibri"/>
              </w:rPr>
              <w:t xml:space="preserve">, </w:t>
            </w:r>
            <w:proofErr w:type="spellStart"/>
            <w:r w:rsidRPr="001D1216">
              <w:rPr>
                <w:rFonts w:ascii="Calibri" w:hAnsi="Calibri" w:cs="Calibri"/>
              </w:rPr>
              <w:t>BlueTooth</w:t>
            </w:r>
            <w:proofErr w:type="spellEnd"/>
            <w:r w:rsidRPr="001D1216">
              <w:rPr>
                <w:rFonts w:ascii="Calibri" w:hAnsi="Calibri" w:cs="Calibri"/>
              </w:rPr>
              <w:t xml:space="preserve"> 5.0 LE</w:t>
            </w:r>
          </w:p>
        </w:tc>
      </w:tr>
      <w:tr w:rsidR="001D1216" w:rsidRPr="001D1216" w14:paraId="6A35ED44" w14:textId="77777777" w:rsidTr="00513FF5">
        <w:trPr>
          <w:gridAfter w:val="1"/>
          <w:wAfter w:w="7" w:type="dxa"/>
          <w:trHeight w:val="6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0A79B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C113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D132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interní modul LTE (podpora pro 4G sítě), SIM karta není součástí dodávky</w:t>
            </w:r>
          </w:p>
        </w:tc>
        <w:tc>
          <w:tcPr>
            <w:tcW w:w="822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33B4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0623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color w:val="000000"/>
              </w:rPr>
            </w:pPr>
            <w:r w:rsidRPr="001D1216">
              <w:rPr>
                <w:rFonts w:ascii="Calibri" w:hAnsi="Calibri" w:cs="Calibri"/>
                <w:color w:val="000000"/>
              </w:rPr>
              <w:t>nepožadováno</w:t>
            </w:r>
          </w:p>
        </w:tc>
      </w:tr>
      <w:tr w:rsidR="001D1216" w:rsidRPr="001D1216" w14:paraId="30CD1005" w14:textId="77777777" w:rsidTr="00513FF5">
        <w:trPr>
          <w:gridAfter w:val="1"/>
          <w:wAfter w:w="7" w:type="dxa"/>
          <w:trHeight w:val="61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DC368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39C7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35BA5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1x Jack konektor 3,5mm audio </w:t>
            </w:r>
            <w:proofErr w:type="spellStart"/>
            <w:r w:rsidRPr="001D1216">
              <w:rPr>
                <w:rFonts w:ascii="Calibri" w:hAnsi="Calibri" w:cs="Calibri"/>
              </w:rPr>
              <w:t>out</w:t>
            </w:r>
            <w:proofErr w:type="spellEnd"/>
            <w:r w:rsidRPr="001D1216">
              <w:rPr>
                <w:rFonts w:ascii="Calibri" w:hAnsi="Calibri" w:cs="Calibri"/>
              </w:rPr>
              <w:t xml:space="preserve"> a 1x Jack konektor 3,5mm audio in (může být  společný)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C89D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F188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1</w:t>
            </w:r>
          </w:p>
        </w:tc>
      </w:tr>
      <w:tr w:rsidR="001D1216" w:rsidRPr="001D1216" w14:paraId="7AF1C666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5EC57E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Display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F4E25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Velikost úhlopříčky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C81B1" w14:textId="77777777" w:rsidR="001D1216" w:rsidRPr="0011134C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1134C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284BD3" w14:textId="77777777" w:rsidR="001D1216" w:rsidRPr="0011134C" w:rsidRDefault="001D1216" w:rsidP="001D1216">
            <w:pPr>
              <w:jc w:val="left"/>
              <w:rPr>
                <w:rFonts w:ascii="Calibri" w:hAnsi="Calibri" w:cs="Calibri"/>
                <w:bCs/>
              </w:rPr>
            </w:pPr>
            <w:r w:rsidRPr="0011134C">
              <w:rPr>
                <w:rFonts w:ascii="Calibri" w:hAnsi="Calibri" w:cs="Calibri"/>
                <w:bCs/>
              </w:rPr>
              <w:t>17,3"</w:t>
            </w:r>
          </w:p>
        </w:tc>
      </w:tr>
      <w:tr w:rsidR="001D1216" w:rsidRPr="001D1216" w14:paraId="3251AF3D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85534B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D3F51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LCD barevný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F7948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8CA2E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547DB5D5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2BC89A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F9CB5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Pracovní rozlišení bodů (š x v)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ADC98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D73B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1920x1080</w:t>
            </w:r>
          </w:p>
        </w:tc>
      </w:tr>
      <w:tr w:rsidR="001D1216" w:rsidRPr="001D1216" w14:paraId="31941E70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5B5919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D05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Provedení povrchu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9265F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1F94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matný</w:t>
            </w:r>
          </w:p>
        </w:tc>
      </w:tr>
      <w:tr w:rsidR="001D1216" w:rsidRPr="001D1216" w14:paraId="47477168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6070C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Baterie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0D33DB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Deklarovaná výdrž baterie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4A88" w14:textId="77777777" w:rsidR="001D1216" w:rsidRPr="00424A2D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424A2D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F0DF7" w14:textId="77777777" w:rsidR="001D1216" w:rsidRPr="00424A2D" w:rsidRDefault="001D1216" w:rsidP="001D1216">
            <w:pPr>
              <w:jc w:val="left"/>
              <w:rPr>
                <w:rFonts w:ascii="Calibri" w:hAnsi="Calibri" w:cs="Calibri"/>
              </w:rPr>
            </w:pPr>
            <w:r w:rsidRPr="00424A2D">
              <w:rPr>
                <w:rFonts w:ascii="Calibri" w:hAnsi="Calibri" w:cs="Calibri"/>
              </w:rPr>
              <w:t>8 hodin</w:t>
            </w:r>
          </w:p>
        </w:tc>
      </w:tr>
      <w:tr w:rsidR="001D1216" w:rsidRPr="001D1216" w14:paraId="104FF094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D670D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Skříň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B465B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Zabezpečení - slot pro mechanický bezpečnostní zámek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FD7E1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F9B2E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5E202FD2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D0FE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E78B8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Hmotnost, včetně hlavní baterie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06A85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max.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35E29" w14:textId="77777777" w:rsidR="001D1216" w:rsidRPr="00CD34A0" w:rsidRDefault="001D1216" w:rsidP="001D1216">
            <w:pPr>
              <w:jc w:val="left"/>
              <w:rPr>
                <w:rFonts w:ascii="Calibri" w:hAnsi="Calibri" w:cs="Calibri"/>
                <w:bCs/>
                <w:color w:val="FF0000"/>
              </w:rPr>
            </w:pPr>
            <w:r w:rsidRPr="00424A2D">
              <w:rPr>
                <w:rFonts w:ascii="Calibri" w:hAnsi="Calibri" w:cs="Calibri"/>
                <w:bCs/>
              </w:rPr>
              <w:t>2,8 kg</w:t>
            </w:r>
          </w:p>
        </w:tc>
      </w:tr>
      <w:tr w:rsidR="001D1216" w:rsidRPr="001D1216" w14:paraId="319F8C93" w14:textId="77777777" w:rsidTr="0011134C">
        <w:trPr>
          <w:gridAfter w:val="1"/>
          <w:wAfter w:w="7" w:type="dxa"/>
          <w:trHeight w:val="708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D77EE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Další integrované vybavení notebooku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2C482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Klávesnice: CZ, klávesy F1-F12, české rozložení kláves, podsvícená LED, ochrana proti polití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99B2C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22C2F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ano </w:t>
            </w:r>
          </w:p>
        </w:tc>
      </w:tr>
      <w:tr w:rsidR="001D1216" w:rsidRPr="001D1216" w14:paraId="7BDC1154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E0B85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80DED9A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Numerická klávesnice integrovaná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105AA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2300A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62DEF140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91B27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79195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Polohový ovladač - </w:t>
            </w:r>
            <w:proofErr w:type="spellStart"/>
            <w:r w:rsidRPr="001D1216">
              <w:rPr>
                <w:rFonts w:ascii="Calibri" w:hAnsi="Calibri" w:cs="Calibri"/>
              </w:rPr>
              <w:t>Touch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Pad</w:t>
            </w:r>
            <w:proofErr w:type="spellEnd"/>
            <w:r w:rsidRPr="001D1216">
              <w:rPr>
                <w:rFonts w:ascii="Calibri" w:hAnsi="Calibri" w:cs="Calibri"/>
              </w:rPr>
              <w:t xml:space="preserve"> s podporou </w:t>
            </w:r>
            <w:proofErr w:type="spellStart"/>
            <w:r w:rsidRPr="001D1216">
              <w:rPr>
                <w:rFonts w:ascii="Calibri" w:hAnsi="Calibri" w:cs="Calibri"/>
              </w:rPr>
              <w:t>vícedotykových</w:t>
            </w:r>
            <w:proofErr w:type="spellEnd"/>
            <w:r w:rsidRPr="001D1216">
              <w:rPr>
                <w:rFonts w:ascii="Calibri" w:hAnsi="Calibri" w:cs="Calibri"/>
              </w:rPr>
              <w:t xml:space="preserve"> gest, včetně levého a pravého tlačítka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DCD5C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4C297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4E8D04B6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DA016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F74045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Webkamera s rozlišením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73B1F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03F2F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HD</w:t>
            </w:r>
          </w:p>
        </w:tc>
      </w:tr>
      <w:tr w:rsidR="001D1216" w:rsidRPr="001D1216" w14:paraId="757132D2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FA942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138F4A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Audio: mikrofon + reproduktor (stereo)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CD6E9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7D77F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16BA6FAD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B7A3B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0F8B7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Zabezpečení pomocí funkcionality rozpoznávání obličeje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5A5ED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9B4533" w14:textId="2FB57F61" w:rsidR="001D1216" w:rsidRPr="001D1216" w:rsidRDefault="001D2E3D" w:rsidP="001D121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1847351C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AF18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F08BE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Integrovaná čtečka otisku prstů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4F2AB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4E4F5B" w14:textId="77777777" w:rsidR="001D1216" w:rsidRPr="00A758D4" w:rsidRDefault="001D1216" w:rsidP="001D1216">
            <w:pPr>
              <w:jc w:val="left"/>
              <w:rPr>
                <w:rFonts w:ascii="Calibri" w:hAnsi="Calibri" w:cs="Calibri"/>
                <w:bCs/>
              </w:rPr>
            </w:pPr>
            <w:r w:rsidRPr="00A758D4">
              <w:rPr>
                <w:rFonts w:ascii="Calibri" w:hAnsi="Calibri" w:cs="Calibri"/>
                <w:bCs/>
              </w:rPr>
              <w:t>ne</w:t>
            </w:r>
          </w:p>
        </w:tc>
      </w:tr>
      <w:tr w:rsidR="001D1216" w:rsidRPr="001D1216" w14:paraId="5FF0FDC4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CD233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CDB5D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Interní čtečka čipových karet, kompatibilní s ISO IEC 7810 ID-1 a ISO IEC 7816, CCID, PC/SC. Řešení umístění čtečky čipových karet z přední strany je možné jen v případě, že při použití čipové karty dojde k jejímu úplnému zasunutí a nebude tedy hrozit její poškození či nechtěná manipulace s kartou. 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6A14C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26BB6C" w14:textId="59AF6FAD" w:rsidR="001D1216" w:rsidRPr="001D1216" w:rsidRDefault="00A758D4" w:rsidP="001D1216">
            <w:pPr>
              <w:jc w:val="left"/>
              <w:rPr>
                <w:rFonts w:ascii="Calibri" w:hAnsi="Calibri" w:cs="Calibri"/>
              </w:rPr>
            </w:pPr>
            <w:r w:rsidRPr="001D2E3D"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13E56F7D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438B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341CA7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Čtečka paměťových karet Media </w:t>
            </w:r>
            <w:proofErr w:type="spellStart"/>
            <w:r w:rsidRPr="001D1216">
              <w:rPr>
                <w:rFonts w:ascii="Calibri" w:hAnsi="Calibri" w:cs="Calibri"/>
              </w:rPr>
              <w:t>Card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Reader</w:t>
            </w:r>
            <w:proofErr w:type="spellEnd"/>
            <w:r w:rsidRPr="001D1216">
              <w:rPr>
                <w:rFonts w:ascii="Calibri" w:hAnsi="Calibri" w:cs="Calibri"/>
              </w:rPr>
              <w:t xml:space="preserve"> - podpora min. standard / mini / </w:t>
            </w:r>
            <w:proofErr w:type="spellStart"/>
            <w:r w:rsidRPr="001D1216">
              <w:rPr>
                <w:rFonts w:ascii="Calibri" w:hAnsi="Calibri" w:cs="Calibri"/>
              </w:rPr>
              <w:t>micro</w:t>
            </w:r>
            <w:proofErr w:type="spellEnd"/>
            <w:r w:rsidRPr="001D1216">
              <w:rPr>
                <w:rFonts w:ascii="Calibri" w:hAnsi="Calibri" w:cs="Calibri"/>
              </w:rPr>
              <w:t xml:space="preserve"> SD, SDXC, SDHC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1BB62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E6B4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757C5FF7" w14:textId="77777777" w:rsidTr="00513FF5">
        <w:trPr>
          <w:gridAfter w:val="1"/>
          <w:wAfter w:w="7" w:type="dxa"/>
          <w:trHeight w:val="61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F2BDD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Další příslušenství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69BA1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Adaptér napájecí 100 - 240V, 50-60 Hz - výkon odpovídající stabilnímu chodu sestavy, včetně síťového kabelu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60902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64722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56CAB746" w14:textId="77777777" w:rsidTr="0011134C">
        <w:trPr>
          <w:gridAfter w:val="1"/>
          <w:wAfter w:w="7" w:type="dxa"/>
          <w:trHeight w:val="2611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A751A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proofErr w:type="spellStart"/>
            <w:r w:rsidRPr="001D1216">
              <w:rPr>
                <w:rFonts w:ascii="Calibri" w:hAnsi="Calibri" w:cs="Calibri"/>
              </w:rPr>
              <w:t>Dokovací</w:t>
            </w:r>
            <w:proofErr w:type="spellEnd"/>
            <w:r w:rsidRPr="001D1216">
              <w:rPr>
                <w:rFonts w:ascii="Calibri" w:hAnsi="Calibri" w:cs="Calibri"/>
              </w:rPr>
              <w:t xml:space="preserve"> stanice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EB2F59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Rozhraní: 4x USB - z toho min.2x USB-A 3.2, min. 1x USB-C volné i v případě připojení NB k </w:t>
            </w:r>
            <w:proofErr w:type="spellStart"/>
            <w:r w:rsidRPr="001D1216">
              <w:rPr>
                <w:rFonts w:ascii="Calibri" w:hAnsi="Calibri" w:cs="Calibri"/>
              </w:rPr>
              <w:t>dokovací</w:t>
            </w:r>
            <w:proofErr w:type="spellEnd"/>
            <w:r w:rsidRPr="001D1216">
              <w:rPr>
                <w:rFonts w:ascii="Calibri" w:hAnsi="Calibri" w:cs="Calibri"/>
              </w:rPr>
              <w:t xml:space="preserve"> stanici, 2 x digitální port pro současné připojení externích monitorů, </w:t>
            </w:r>
            <w:proofErr w:type="spellStart"/>
            <w:r w:rsidRPr="001D1216">
              <w:rPr>
                <w:rFonts w:ascii="Calibri" w:hAnsi="Calibri" w:cs="Calibri"/>
              </w:rPr>
              <w:t>Ethernet</w:t>
            </w:r>
            <w:proofErr w:type="spellEnd"/>
            <w:r w:rsidRPr="001D1216">
              <w:rPr>
                <w:rFonts w:ascii="Calibri" w:hAnsi="Calibri" w:cs="Calibri"/>
              </w:rPr>
              <w:t xml:space="preserve"> (100/1000 </w:t>
            </w:r>
            <w:proofErr w:type="spellStart"/>
            <w:r w:rsidRPr="001D1216">
              <w:rPr>
                <w:rFonts w:ascii="Calibri" w:hAnsi="Calibri" w:cs="Calibri"/>
              </w:rPr>
              <w:t>Mbit</w:t>
            </w:r>
            <w:proofErr w:type="spellEnd"/>
            <w:r w:rsidRPr="001D1216">
              <w:rPr>
                <w:rFonts w:ascii="Calibri" w:hAnsi="Calibri" w:cs="Calibri"/>
              </w:rPr>
              <w:t xml:space="preserve">/sec, RJ45, </w:t>
            </w:r>
            <w:proofErr w:type="spellStart"/>
            <w:r w:rsidRPr="001D1216">
              <w:rPr>
                <w:rFonts w:ascii="Calibri" w:hAnsi="Calibri" w:cs="Calibri"/>
              </w:rPr>
              <w:t>Wake</w:t>
            </w:r>
            <w:proofErr w:type="spellEnd"/>
            <w:r w:rsidRPr="001D1216">
              <w:rPr>
                <w:rFonts w:ascii="Calibri" w:hAnsi="Calibri" w:cs="Calibri"/>
              </w:rPr>
              <w:t xml:space="preserve"> on LAN, podpora 802.1X, PXE (</w:t>
            </w:r>
            <w:proofErr w:type="spellStart"/>
            <w:r w:rsidRPr="001D1216">
              <w:rPr>
                <w:rFonts w:ascii="Calibri" w:hAnsi="Calibri" w:cs="Calibri"/>
              </w:rPr>
              <w:t>Preboot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eXecution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Environment</w:t>
            </w:r>
            <w:proofErr w:type="spellEnd"/>
            <w:r w:rsidRPr="001D1216">
              <w:rPr>
                <w:rFonts w:ascii="Calibri" w:hAnsi="Calibri" w:cs="Calibri"/>
              </w:rPr>
              <w:t xml:space="preserve">)), 1x Jack konektor 3,5mm audio </w:t>
            </w:r>
            <w:proofErr w:type="spellStart"/>
            <w:r w:rsidRPr="001D1216">
              <w:rPr>
                <w:rFonts w:ascii="Calibri" w:hAnsi="Calibri" w:cs="Calibri"/>
              </w:rPr>
              <w:t>out</w:t>
            </w:r>
            <w:proofErr w:type="spellEnd"/>
            <w:r w:rsidRPr="001D1216">
              <w:rPr>
                <w:rFonts w:ascii="Calibri" w:hAnsi="Calibri" w:cs="Calibri"/>
              </w:rPr>
              <w:t>, 1x Jack konektor 3,5mm audio in (může být společný, ale vždy shodný s NB), napájecí adapter, napájení NB, stejný výrobce jako výrobce NB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45F6B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4D6FE7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2E002EEF" w14:textId="77777777" w:rsidTr="00513FF5">
        <w:trPr>
          <w:gridAfter w:val="1"/>
          <w:wAfter w:w="7" w:type="dxa"/>
          <w:trHeight w:val="9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5E7C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Mechanika paměťových médií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3F96D9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Mechanika optických disků - externí BD DL ± RW (USB), včetně propojovacího kabelu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F4CAB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D2924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355034D0" w14:textId="77777777" w:rsidTr="0011134C">
        <w:trPr>
          <w:gridAfter w:val="1"/>
          <w:wAfter w:w="7" w:type="dxa"/>
          <w:trHeight w:val="632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154D0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lastRenderedPageBreak/>
              <w:t xml:space="preserve">Externí </w:t>
            </w:r>
            <w:proofErr w:type="spellStart"/>
            <w:r w:rsidRPr="001D1216">
              <w:rPr>
                <w:rFonts w:ascii="Calibri" w:hAnsi="Calibri" w:cs="Calibri"/>
              </w:rPr>
              <w:t>kursorový</w:t>
            </w:r>
            <w:proofErr w:type="spellEnd"/>
            <w:r w:rsidRPr="001D1216">
              <w:rPr>
                <w:rFonts w:ascii="Calibri" w:hAnsi="Calibri" w:cs="Calibri"/>
              </w:rPr>
              <w:t xml:space="preserve"> ovladač (myš)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390D5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USB: min. 3 tlačítka, délka kabelu min. 1,5 m, symetrické provedení (pro praváky i leváky), rolovací kolečko, senzor laser nebo </w:t>
            </w:r>
            <w:proofErr w:type="spellStart"/>
            <w:r w:rsidRPr="001D1216">
              <w:rPr>
                <w:rFonts w:ascii="Calibri" w:hAnsi="Calibri" w:cs="Calibri"/>
              </w:rPr>
              <w:t>BlueTrack</w:t>
            </w:r>
            <w:proofErr w:type="spellEnd"/>
            <w:r w:rsidRPr="001D1216">
              <w:rPr>
                <w:rFonts w:ascii="Calibri" w:hAnsi="Calibri" w:cs="Calibri"/>
              </w:rPr>
              <w:t xml:space="preserve"> min. 1000 DPI, klasická velikost od 10 do 12 cm (ne malé notebookové)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094FF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20D9C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2FCE3321" w14:textId="77777777" w:rsidTr="00513FF5">
        <w:trPr>
          <w:gridAfter w:val="1"/>
          <w:wAfter w:w="7" w:type="dxa"/>
          <w:trHeight w:val="31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6D0E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8F06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Bezdrátová: min. 3 tlačítka, symetrické provedení (pro praváky i leváky), rolovací kolečko, senzor laser nebo </w:t>
            </w:r>
            <w:proofErr w:type="spellStart"/>
            <w:r w:rsidRPr="001D1216">
              <w:rPr>
                <w:rFonts w:ascii="Calibri" w:hAnsi="Calibri" w:cs="Calibri"/>
              </w:rPr>
              <w:t>BlueTrack</w:t>
            </w:r>
            <w:proofErr w:type="spellEnd"/>
            <w:r w:rsidRPr="001D1216">
              <w:rPr>
                <w:rFonts w:ascii="Calibri" w:hAnsi="Calibri" w:cs="Calibri"/>
              </w:rPr>
              <w:t xml:space="preserve"> min. 1000 DPI, klasická velikost od 10 do 12 cm (ne malé notebookové)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7A977F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2D04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ne</w:t>
            </w:r>
          </w:p>
        </w:tc>
      </w:tr>
      <w:tr w:rsidR="001D1216" w:rsidRPr="001D1216" w14:paraId="5EFE4482" w14:textId="77777777" w:rsidTr="00513FF5">
        <w:trPr>
          <w:gridAfter w:val="1"/>
          <w:wAfter w:w="7" w:type="dxa"/>
          <w:trHeight w:val="61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8C36F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Externí klávesnice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22510C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USB:  klasické rozložení CZ, klávesy F1-F12 a numerická klávesnice (tlačítko Enter a Shift zvětšené), české rozložení kláves, délka kabelu min. 1,5 m, klávesy s nízkým zdvihem, min. 101 kláves, protiskluzová úprava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3A00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7EE5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D1216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1D1216" w:rsidRPr="001D1216" w14:paraId="4E878557" w14:textId="77777777" w:rsidTr="00513FF5">
        <w:trPr>
          <w:gridAfter w:val="1"/>
          <w:wAfter w:w="7" w:type="dxa"/>
          <w:trHeight w:val="615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971A1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Jednotná vzdálená správa 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D0257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Vzdálená správa NB prostřednictvím MSSC</w:t>
            </w:r>
          </w:p>
        </w:tc>
        <w:tc>
          <w:tcPr>
            <w:tcW w:w="8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B1D67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3CEF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D1216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1D1216" w:rsidRPr="001D1216" w14:paraId="3A2C1DF8" w14:textId="77777777" w:rsidTr="00CD34A0">
        <w:trPr>
          <w:trHeight w:val="315"/>
        </w:trPr>
        <w:tc>
          <w:tcPr>
            <w:tcW w:w="9919" w:type="dxa"/>
            <w:gridSpan w:val="7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92D050"/>
            <w:hideMark/>
          </w:tcPr>
          <w:p w14:paraId="4013298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Společné parametry</w:t>
            </w:r>
          </w:p>
        </w:tc>
      </w:tr>
      <w:tr w:rsidR="001D1216" w:rsidRPr="001D1216" w14:paraId="6DB430D3" w14:textId="77777777" w:rsidTr="00513FF5">
        <w:trPr>
          <w:gridAfter w:val="1"/>
          <w:wAfter w:w="7" w:type="dxa"/>
          <w:trHeight w:val="61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868058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Systémová platforma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F69439" w14:textId="7BA8573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Základní předinstalované programové vybavení (image na disku) - OS OEM MS </w:t>
            </w:r>
            <w:r w:rsidRPr="004B52DA">
              <w:rPr>
                <w:rFonts w:ascii="Calibri" w:hAnsi="Calibri" w:cs="Calibri"/>
              </w:rPr>
              <w:t>Windows 1</w:t>
            </w:r>
            <w:r w:rsidR="00A758D4" w:rsidRPr="004B52DA">
              <w:rPr>
                <w:rFonts w:ascii="Calibri" w:hAnsi="Calibri" w:cs="Calibri"/>
              </w:rPr>
              <w:t>1</w:t>
            </w:r>
            <w:r w:rsidRPr="004B52DA">
              <w:rPr>
                <w:rFonts w:ascii="Calibri" w:hAnsi="Calibri" w:cs="Calibri"/>
              </w:rPr>
              <w:t xml:space="preserve"> </w:t>
            </w:r>
            <w:r w:rsidRPr="001D1216">
              <w:rPr>
                <w:rFonts w:ascii="Calibri" w:hAnsi="Calibri" w:cs="Calibri"/>
              </w:rPr>
              <w:t>Professional CZ  64 bit.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129E5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D11235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6F5E7DE9" w14:textId="77777777" w:rsidTr="00513FF5">
        <w:trPr>
          <w:gridAfter w:val="1"/>
          <w:wAfter w:w="7" w:type="dxa"/>
          <w:trHeight w:val="67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209F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305E1CA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Ostatní SW v ceně - instalační CD nebo DVD s ovladači a managementem na vyžádání při nákupu nebo na USB </w:t>
            </w:r>
            <w:proofErr w:type="spellStart"/>
            <w:r w:rsidRPr="001D1216">
              <w:rPr>
                <w:rFonts w:ascii="Calibri" w:hAnsi="Calibri" w:cs="Calibri"/>
              </w:rPr>
              <w:t>flash</w:t>
            </w:r>
            <w:proofErr w:type="spellEnd"/>
            <w:r w:rsidRPr="001D1216">
              <w:rPr>
                <w:rFonts w:ascii="Calibri" w:hAnsi="Calibri" w:cs="Calibri"/>
              </w:rPr>
              <w:t xml:space="preserve"> disku.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B3C2AB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0147C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bCs/>
              </w:rPr>
            </w:pPr>
            <w:r w:rsidRPr="001D1216">
              <w:rPr>
                <w:rFonts w:ascii="Calibri" w:hAnsi="Calibri" w:cs="Calibri"/>
                <w:bCs/>
              </w:rPr>
              <w:t>ne</w:t>
            </w:r>
          </w:p>
        </w:tc>
      </w:tr>
      <w:tr w:rsidR="001D1216" w:rsidRPr="001D1216" w14:paraId="3EC9ACA1" w14:textId="77777777" w:rsidTr="0011134C">
        <w:trPr>
          <w:gridAfter w:val="1"/>
          <w:wAfter w:w="7" w:type="dxa"/>
          <w:trHeight w:val="535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113B93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Záruka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273E69" w14:textId="523C9B8C" w:rsidR="001D1216" w:rsidRPr="001D1216" w:rsidRDefault="001D1216" w:rsidP="00EA38D6">
            <w:pPr>
              <w:jc w:val="left"/>
              <w:rPr>
                <w:rFonts w:ascii="Calibri" w:hAnsi="Calibri" w:cs="Calibri"/>
                <w:bCs/>
              </w:rPr>
            </w:pPr>
            <w:r w:rsidRPr="001D1216">
              <w:rPr>
                <w:rFonts w:ascii="Calibri" w:hAnsi="Calibri" w:cs="Calibri"/>
                <w:bCs/>
              </w:rPr>
              <w:t>Záruka notebooku v ČR</w:t>
            </w:r>
            <w:r w:rsidR="00EA38D6">
              <w:rPr>
                <w:rFonts w:ascii="Calibri" w:hAnsi="Calibri" w:cs="Calibri"/>
                <w:bCs/>
              </w:rPr>
              <w:t>,</w:t>
            </w:r>
            <w:r w:rsidRPr="001D1216">
              <w:rPr>
                <w:rFonts w:ascii="Calibri" w:hAnsi="Calibri" w:cs="Calibri"/>
                <w:bCs/>
              </w:rPr>
              <w:t xml:space="preserve"> ponechání vadného disku zákazníkovi.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20AF9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BBE194" w14:textId="77777777" w:rsidR="001D1216" w:rsidRPr="0011134C" w:rsidRDefault="001D1216" w:rsidP="001D1216">
            <w:pPr>
              <w:jc w:val="left"/>
              <w:rPr>
                <w:rFonts w:ascii="Calibri" w:hAnsi="Calibri" w:cs="Calibri"/>
              </w:rPr>
            </w:pPr>
            <w:r w:rsidRPr="0011134C">
              <w:rPr>
                <w:rFonts w:ascii="Calibri" w:hAnsi="Calibri" w:cs="Calibri"/>
              </w:rPr>
              <w:t>5 let</w:t>
            </w:r>
          </w:p>
        </w:tc>
      </w:tr>
      <w:tr w:rsidR="001D1216" w:rsidRPr="001D1216" w14:paraId="270F2A71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F0695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06FC8F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Záruka baterie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3E9BE" w14:textId="77777777" w:rsidR="001D1216" w:rsidRPr="0011134C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1134C">
              <w:rPr>
                <w:rFonts w:ascii="Calibri" w:hAnsi="Calibri" w:cs="Calibri"/>
              </w:rPr>
              <w:t>min.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AF82A" w14:textId="6E0853C9" w:rsidR="001D1216" w:rsidRPr="0011134C" w:rsidRDefault="00147A38" w:rsidP="001D1216">
            <w:pPr>
              <w:jc w:val="left"/>
              <w:rPr>
                <w:rFonts w:ascii="Calibri" w:hAnsi="Calibri" w:cs="Calibri"/>
              </w:rPr>
            </w:pPr>
            <w:r w:rsidRPr="0011134C">
              <w:rPr>
                <w:rFonts w:ascii="Calibri" w:hAnsi="Calibri" w:cs="Calibri"/>
              </w:rPr>
              <w:t>0,5</w:t>
            </w:r>
            <w:r w:rsidR="002077E3" w:rsidRPr="0011134C">
              <w:rPr>
                <w:rFonts w:ascii="Calibri" w:hAnsi="Calibri" w:cs="Calibri"/>
              </w:rPr>
              <w:t xml:space="preserve"> rok</w:t>
            </w:r>
            <w:r w:rsidRPr="0011134C">
              <w:rPr>
                <w:rFonts w:ascii="Calibri" w:hAnsi="Calibri" w:cs="Calibri"/>
              </w:rPr>
              <w:t>u</w:t>
            </w:r>
          </w:p>
        </w:tc>
      </w:tr>
      <w:tr w:rsidR="001D1216" w:rsidRPr="001D1216" w14:paraId="2BDCCD72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BF9F6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10FBB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Záruka na notebook a baterie mimo ČR - definice oblastí.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5F299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8C43B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  <w:color w:val="000000"/>
              </w:rPr>
            </w:pPr>
            <w:r w:rsidRPr="001D1216">
              <w:rPr>
                <w:rFonts w:ascii="Calibri" w:hAnsi="Calibri" w:cs="Calibri"/>
                <w:color w:val="000000"/>
              </w:rPr>
              <w:t>nepožadováno</w:t>
            </w:r>
          </w:p>
        </w:tc>
      </w:tr>
      <w:tr w:rsidR="001D1216" w:rsidRPr="001D1216" w14:paraId="5DC882A2" w14:textId="77777777" w:rsidTr="00513FF5">
        <w:trPr>
          <w:gridAfter w:val="1"/>
          <w:wAfter w:w="7" w:type="dxa"/>
          <w:trHeight w:val="3563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2693A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4BB59A" w14:textId="37B0CE1E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</w:t>
            </w:r>
            <w:r w:rsidR="00EA38D6">
              <w:rPr>
                <w:rFonts w:ascii="Calibri" w:hAnsi="Calibri" w:cs="Calibri"/>
              </w:rPr>
              <w:t>ý účastni</w:t>
            </w:r>
            <w:r w:rsidR="006A64D1">
              <w:rPr>
                <w:rFonts w:ascii="Calibri" w:hAnsi="Calibri" w:cs="Calibri"/>
              </w:rPr>
              <w:t>cký tarif) v českém</w:t>
            </w:r>
            <w:r w:rsidR="00790979">
              <w:rPr>
                <w:rFonts w:ascii="Calibri" w:hAnsi="Calibri" w:cs="Calibri"/>
              </w:rPr>
              <w:t>/s</w:t>
            </w:r>
            <w:r w:rsidRPr="001D1216">
              <w:rPr>
                <w:rFonts w:ascii="Calibri" w:hAnsi="Calibri" w:cs="Calibri"/>
              </w:rPr>
              <w:t xml:space="preserve">lovenském jazyce musí být dostupná v pracovní dny minimálně v době od 8:00 do 17:00 hod. Podpora prostřednictvím internetu musí umožňovat stahování ovladačů a manuálů z internetu adresně pro konkrétní zadané sériové číslo zařízení nebo jiný </w:t>
            </w:r>
            <w:proofErr w:type="spellStart"/>
            <w:r w:rsidRPr="001D1216">
              <w:rPr>
                <w:rFonts w:ascii="Calibri" w:hAnsi="Calibri" w:cs="Calibri"/>
              </w:rPr>
              <w:t>unkátní</w:t>
            </w:r>
            <w:proofErr w:type="spellEnd"/>
            <w:r w:rsidRPr="001D1216">
              <w:rPr>
                <w:rFonts w:ascii="Calibri" w:hAnsi="Calibri" w:cs="Calibri"/>
              </w:rPr>
              <w:t xml:space="preserve"> identifikátor na zařízení.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2C57C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DF1F81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50AD50DF" w14:textId="77777777" w:rsidTr="00513FF5">
        <w:trPr>
          <w:gridAfter w:val="1"/>
          <w:wAfter w:w="7" w:type="dxa"/>
          <w:trHeight w:val="300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487AE8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Ostatní 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A0125D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1D1216">
              <w:rPr>
                <w:rFonts w:ascii="Calibri" w:hAnsi="Calibri" w:cs="Calibri"/>
              </w:rPr>
              <w:t>RoHS</w:t>
            </w:r>
            <w:proofErr w:type="spellEnd"/>
            <w:r w:rsidRPr="001D1216">
              <w:rPr>
                <w:rFonts w:ascii="Calibri" w:hAnsi="Calibri" w:cs="Calibri"/>
              </w:rPr>
              <w:t xml:space="preserve"> (</w:t>
            </w:r>
            <w:proofErr w:type="spellStart"/>
            <w:r w:rsidRPr="001D1216">
              <w:rPr>
                <w:rFonts w:ascii="Calibri" w:hAnsi="Calibri" w:cs="Calibri"/>
              </w:rPr>
              <w:t>Restriction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of</w:t>
            </w:r>
            <w:proofErr w:type="spellEnd"/>
            <w:r w:rsidRPr="001D1216">
              <w:rPr>
                <w:rFonts w:ascii="Calibri" w:hAnsi="Calibri" w:cs="Calibri"/>
              </w:rPr>
              <w:t xml:space="preserve"> Use </w:t>
            </w:r>
            <w:proofErr w:type="spellStart"/>
            <w:r w:rsidRPr="001D1216">
              <w:rPr>
                <w:rFonts w:ascii="Calibri" w:hAnsi="Calibri" w:cs="Calibri"/>
              </w:rPr>
              <w:t>of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Certain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Hazardous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Substances</w:t>
            </w:r>
            <w:proofErr w:type="spellEnd"/>
            <w:r w:rsidRPr="001D1216">
              <w:rPr>
                <w:rFonts w:ascii="Calibri" w:hAnsi="Calibri" w:cs="Calibri"/>
              </w:rPr>
              <w:t>), certifikát EPEAT (</w:t>
            </w:r>
            <w:proofErr w:type="spellStart"/>
            <w:r w:rsidRPr="001D1216">
              <w:rPr>
                <w:rFonts w:ascii="Calibri" w:hAnsi="Calibri" w:cs="Calibri"/>
              </w:rPr>
              <w:t>Electronic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Product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Environmental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Assessment</w:t>
            </w:r>
            <w:proofErr w:type="spellEnd"/>
            <w:r w:rsidRPr="001D1216">
              <w:rPr>
                <w:rFonts w:ascii="Calibri" w:hAnsi="Calibri" w:cs="Calibri"/>
              </w:rPr>
              <w:t xml:space="preserve"> </w:t>
            </w:r>
            <w:proofErr w:type="spellStart"/>
            <w:r w:rsidRPr="001D1216">
              <w:rPr>
                <w:rFonts w:ascii="Calibri" w:hAnsi="Calibri" w:cs="Calibri"/>
              </w:rPr>
              <w:t>Tool</w:t>
            </w:r>
            <w:proofErr w:type="spellEnd"/>
            <w:r w:rsidRPr="001D1216">
              <w:rPr>
                <w:rFonts w:ascii="Calibri" w:hAnsi="Calibri" w:cs="Calibri"/>
              </w:rPr>
              <w:t xml:space="preserve">), </w:t>
            </w:r>
            <w:proofErr w:type="spellStart"/>
            <w:r w:rsidRPr="001D1216">
              <w:rPr>
                <w:rFonts w:ascii="Calibri" w:hAnsi="Calibri" w:cs="Calibri"/>
              </w:rPr>
              <w:t>Energy</w:t>
            </w:r>
            <w:proofErr w:type="spellEnd"/>
            <w:r w:rsidRPr="001D1216">
              <w:rPr>
                <w:rFonts w:ascii="Calibri" w:hAnsi="Calibri" w:cs="Calibri"/>
              </w:rPr>
              <w:t xml:space="preserve"> Star min. 6.1.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D4BD5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830040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  <w:tr w:rsidR="001D1216" w:rsidRPr="001D1216" w14:paraId="05D82988" w14:textId="77777777" w:rsidTr="00513FF5">
        <w:trPr>
          <w:gridAfter w:val="1"/>
          <w:wAfter w:w="7" w:type="dxa"/>
          <w:trHeight w:val="162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448A4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4861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375F2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Barva v odstínech a kombinacích barev černá, šedá, bílá, stříbrná.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0B1DD" w14:textId="77777777" w:rsidR="001D1216" w:rsidRPr="001D1216" w:rsidRDefault="001D1216" w:rsidP="001D1216">
            <w:pPr>
              <w:jc w:val="center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 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A422CE" w14:textId="77777777" w:rsidR="001D1216" w:rsidRPr="001D1216" w:rsidRDefault="001D1216" w:rsidP="001D1216">
            <w:pPr>
              <w:jc w:val="left"/>
              <w:rPr>
                <w:rFonts w:ascii="Calibri" w:hAnsi="Calibri" w:cs="Calibri"/>
              </w:rPr>
            </w:pPr>
            <w:r w:rsidRPr="001D1216">
              <w:rPr>
                <w:rFonts w:ascii="Calibri" w:hAnsi="Calibri" w:cs="Calibri"/>
              </w:rPr>
              <w:t>ano</w:t>
            </w:r>
          </w:p>
        </w:tc>
      </w:tr>
    </w:tbl>
    <w:p w14:paraId="13F0492F" w14:textId="1CF465E1" w:rsidR="00513FF5" w:rsidRDefault="00513FF5">
      <w:pPr>
        <w:jc w:val="left"/>
        <w:rPr>
          <w:rFonts w:ascii="Calibri" w:hAnsi="Calibri"/>
        </w:rPr>
      </w:pPr>
    </w:p>
    <w:p w14:paraId="7F6F027E" w14:textId="77777777" w:rsidR="001D1216" w:rsidRDefault="001D1216">
      <w:pPr>
        <w:jc w:val="left"/>
        <w:rPr>
          <w:rFonts w:ascii="Calibri" w:hAnsi="Calibri"/>
        </w:rPr>
      </w:pPr>
    </w:p>
    <w:p w14:paraId="78B9B4D6" w14:textId="60BF96CE" w:rsidR="00140253" w:rsidRPr="003216D3" w:rsidRDefault="00140253" w:rsidP="00140253">
      <w:pPr>
        <w:rPr>
          <w:rFonts w:ascii="Calibri" w:hAnsi="Calibri"/>
          <w:b/>
        </w:rPr>
      </w:pPr>
      <w:r w:rsidRPr="003216D3">
        <w:rPr>
          <w:rFonts w:ascii="Calibri" w:hAnsi="Calibri"/>
          <w:b/>
        </w:rPr>
        <w:t>Příloha č. 2: Položkový rozpočet</w:t>
      </w:r>
      <w:r w:rsidR="00513FF5">
        <w:rPr>
          <w:rFonts w:ascii="Calibri" w:hAnsi="Calibri"/>
          <w:b/>
        </w:rPr>
        <w:t xml:space="preserve"> </w:t>
      </w:r>
    </w:p>
    <w:bookmarkStart w:id="2" w:name="_MON_1648462212"/>
    <w:bookmarkEnd w:id="2"/>
    <w:p w14:paraId="075B75CC" w14:textId="794F1737" w:rsidR="00CE392A" w:rsidRPr="00326E2A" w:rsidRDefault="0011134C" w:rsidP="006E0904">
      <w:pPr>
        <w:rPr>
          <w:rFonts w:ascii="Calibri" w:hAnsi="Calibri"/>
        </w:rPr>
      </w:pPr>
      <w:r>
        <w:rPr>
          <w:rFonts w:ascii="Calibri" w:hAnsi="Calibri"/>
        </w:rPr>
        <w:object w:dxaOrig="10544" w:dyaOrig="3243" w14:anchorId="5AC2D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162pt" o:ole="">
            <v:imagedata r:id="rId9" o:title=""/>
          </v:shape>
          <o:OLEObject Type="Embed" ProgID="Excel.Sheet.12" ShapeID="_x0000_i1025" DrawAspect="Content" ObjectID="_1715406947" r:id="rId10"/>
        </w:object>
      </w:r>
    </w:p>
    <w:sectPr w:rsidR="00CE392A" w:rsidRPr="00326E2A" w:rsidSect="00513FF5">
      <w:headerReference w:type="default" r:id="rId11"/>
      <w:pgSz w:w="11906" w:h="16838"/>
      <w:pgMar w:top="1418" w:right="1134" w:bottom="720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A15C" w14:textId="77777777" w:rsidR="005F7AF9" w:rsidRDefault="005F7AF9" w:rsidP="006E0904">
      <w:r>
        <w:separator/>
      </w:r>
    </w:p>
  </w:endnote>
  <w:endnote w:type="continuationSeparator" w:id="0">
    <w:p w14:paraId="67627DF8" w14:textId="77777777" w:rsidR="005F7AF9" w:rsidRDefault="005F7AF9" w:rsidP="006E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3DB7" w14:textId="77777777" w:rsidR="005F7AF9" w:rsidRDefault="005F7AF9" w:rsidP="006E0904">
      <w:r>
        <w:separator/>
      </w:r>
    </w:p>
  </w:footnote>
  <w:footnote w:type="continuationSeparator" w:id="0">
    <w:p w14:paraId="0FBA4630" w14:textId="77777777" w:rsidR="005F7AF9" w:rsidRDefault="005F7AF9" w:rsidP="006E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C3C0" w14:textId="77777777" w:rsidR="00A817E8" w:rsidRDefault="00A817E8" w:rsidP="00BE16AF">
    <w:r>
      <w:rPr>
        <w:noProof/>
      </w:rPr>
      <w:drawing>
        <wp:anchor distT="0" distB="0" distL="114300" distR="114300" simplePos="0" relativeHeight="251658240" behindDoc="0" locked="0" layoutInCell="1" allowOverlap="1" wp14:anchorId="5F4C9E28" wp14:editId="195C5CA5">
          <wp:simplePos x="0" y="0"/>
          <wp:positionH relativeFrom="margin">
            <wp:posOffset>-23083</wp:posOffset>
          </wp:positionH>
          <wp:positionV relativeFrom="paragraph">
            <wp:posOffset>6985</wp:posOffset>
          </wp:positionV>
          <wp:extent cx="1612265" cy="600710"/>
          <wp:effectExtent l="0" t="0" r="6985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B9BA68B" w14:textId="77777777" w:rsidR="00A817E8" w:rsidRDefault="00A817E8" w:rsidP="00BE16AF"/>
  <w:p w14:paraId="0D50FDD6" w14:textId="77777777" w:rsidR="00A817E8" w:rsidRDefault="00A817E8" w:rsidP="00BE16AF">
    <w:pPr>
      <w:rPr>
        <w:rFonts w:ascii="Calibri" w:hAnsi="Calibri"/>
        <w:bCs/>
      </w:rPr>
    </w:pPr>
  </w:p>
  <w:p w14:paraId="7726BE53" w14:textId="77777777" w:rsidR="00A817E8" w:rsidRPr="00D432D5" w:rsidRDefault="00A817E8" w:rsidP="00BE16AF">
    <w:pPr>
      <w:rPr>
        <w:rFonts w:ascii="Calibri" w:hAnsi="Calibri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4CD"/>
    <w:multiLevelType w:val="hybridMultilevel"/>
    <w:tmpl w:val="BBF2D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8BA"/>
    <w:multiLevelType w:val="hybridMultilevel"/>
    <w:tmpl w:val="A7ECA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D03603"/>
    <w:multiLevelType w:val="hybridMultilevel"/>
    <w:tmpl w:val="C854E1F2"/>
    <w:lvl w:ilvl="0" w:tplc="8DBCE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284D90">
      <w:start w:val="1"/>
      <w:numFmt w:val="lowerLetter"/>
      <w:lvlText w:val="%2."/>
      <w:lvlJc w:val="left"/>
      <w:pPr>
        <w:ind w:left="1080" w:hanging="360"/>
      </w:pPr>
    </w:lvl>
    <w:lvl w:ilvl="2" w:tplc="DE2E3C74" w:tentative="1">
      <w:start w:val="1"/>
      <w:numFmt w:val="lowerRoman"/>
      <w:lvlText w:val="%3."/>
      <w:lvlJc w:val="right"/>
      <w:pPr>
        <w:ind w:left="1800" w:hanging="180"/>
      </w:pPr>
    </w:lvl>
    <w:lvl w:ilvl="3" w:tplc="901603FA" w:tentative="1">
      <w:start w:val="1"/>
      <w:numFmt w:val="decimal"/>
      <w:lvlText w:val="%4."/>
      <w:lvlJc w:val="left"/>
      <w:pPr>
        <w:ind w:left="2520" w:hanging="360"/>
      </w:pPr>
    </w:lvl>
    <w:lvl w:ilvl="4" w:tplc="FA0057FA" w:tentative="1">
      <w:start w:val="1"/>
      <w:numFmt w:val="lowerLetter"/>
      <w:lvlText w:val="%5."/>
      <w:lvlJc w:val="left"/>
      <w:pPr>
        <w:ind w:left="3240" w:hanging="360"/>
      </w:pPr>
    </w:lvl>
    <w:lvl w:ilvl="5" w:tplc="7FA672CE" w:tentative="1">
      <w:start w:val="1"/>
      <w:numFmt w:val="lowerRoman"/>
      <w:lvlText w:val="%6."/>
      <w:lvlJc w:val="right"/>
      <w:pPr>
        <w:ind w:left="3960" w:hanging="180"/>
      </w:pPr>
    </w:lvl>
    <w:lvl w:ilvl="6" w:tplc="E26E47BC" w:tentative="1">
      <w:start w:val="1"/>
      <w:numFmt w:val="decimal"/>
      <w:lvlText w:val="%7."/>
      <w:lvlJc w:val="left"/>
      <w:pPr>
        <w:ind w:left="4680" w:hanging="360"/>
      </w:pPr>
    </w:lvl>
    <w:lvl w:ilvl="7" w:tplc="561611EC" w:tentative="1">
      <w:start w:val="1"/>
      <w:numFmt w:val="lowerLetter"/>
      <w:lvlText w:val="%8."/>
      <w:lvlJc w:val="left"/>
      <w:pPr>
        <w:ind w:left="5400" w:hanging="360"/>
      </w:pPr>
    </w:lvl>
    <w:lvl w:ilvl="8" w:tplc="FD50A6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0156E"/>
    <w:multiLevelType w:val="hybridMultilevel"/>
    <w:tmpl w:val="A106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D4DEC"/>
    <w:multiLevelType w:val="hybridMultilevel"/>
    <w:tmpl w:val="F79C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0E6853"/>
    <w:multiLevelType w:val="hybridMultilevel"/>
    <w:tmpl w:val="FFF061F4"/>
    <w:lvl w:ilvl="0" w:tplc="1730D9B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B6"/>
    <w:rsid w:val="00001E96"/>
    <w:rsid w:val="00010CEE"/>
    <w:rsid w:val="00042861"/>
    <w:rsid w:val="00063BFE"/>
    <w:rsid w:val="00085655"/>
    <w:rsid w:val="000A077D"/>
    <w:rsid w:val="000A67A9"/>
    <w:rsid w:val="000A7AF5"/>
    <w:rsid w:val="000B4E1A"/>
    <w:rsid w:val="000D0B97"/>
    <w:rsid w:val="00101BD0"/>
    <w:rsid w:val="0011134C"/>
    <w:rsid w:val="00140253"/>
    <w:rsid w:val="001409BB"/>
    <w:rsid w:val="00147A38"/>
    <w:rsid w:val="00150241"/>
    <w:rsid w:val="00156D48"/>
    <w:rsid w:val="00157E8C"/>
    <w:rsid w:val="0016199B"/>
    <w:rsid w:val="00161FD9"/>
    <w:rsid w:val="00164223"/>
    <w:rsid w:val="00167453"/>
    <w:rsid w:val="001763A1"/>
    <w:rsid w:val="00183492"/>
    <w:rsid w:val="001862F1"/>
    <w:rsid w:val="00190BB4"/>
    <w:rsid w:val="001A189D"/>
    <w:rsid w:val="001A3F29"/>
    <w:rsid w:val="001B4B8A"/>
    <w:rsid w:val="001C4176"/>
    <w:rsid w:val="001C46E8"/>
    <w:rsid w:val="001C6AF5"/>
    <w:rsid w:val="001D1216"/>
    <w:rsid w:val="001D2E3D"/>
    <w:rsid w:val="001E174D"/>
    <w:rsid w:val="001F2FE8"/>
    <w:rsid w:val="001F59DB"/>
    <w:rsid w:val="002004F0"/>
    <w:rsid w:val="00205E27"/>
    <w:rsid w:val="002077E3"/>
    <w:rsid w:val="002274A8"/>
    <w:rsid w:val="002340D9"/>
    <w:rsid w:val="002425B0"/>
    <w:rsid w:val="00245D5F"/>
    <w:rsid w:val="00251A85"/>
    <w:rsid w:val="002601FF"/>
    <w:rsid w:val="002626FB"/>
    <w:rsid w:val="0026461B"/>
    <w:rsid w:val="002718CA"/>
    <w:rsid w:val="002731AD"/>
    <w:rsid w:val="002A134D"/>
    <w:rsid w:val="002B28E8"/>
    <w:rsid w:val="002C19F1"/>
    <w:rsid w:val="002C6681"/>
    <w:rsid w:val="002D49F3"/>
    <w:rsid w:val="002E476E"/>
    <w:rsid w:val="002E689F"/>
    <w:rsid w:val="00301553"/>
    <w:rsid w:val="00314923"/>
    <w:rsid w:val="0031619F"/>
    <w:rsid w:val="003216D3"/>
    <w:rsid w:val="00326E2A"/>
    <w:rsid w:val="00334233"/>
    <w:rsid w:val="00346675"/>
    <w:rsid w:val="00351C2F"/>
    <w:rsid w:val="00352E2B"/>
    <w:rsid w:val="003537B7"/>
    <w:rsid w:val="00354AF6"/>
    <w:rsid w:val="00356CD7"/>
    <w:rsid w:val="003676DB"/>
    <w:rsid w:val="00372112"/>
    <w:rsid w:val="00375A30"/>
    <w:rsid w:val="00377D58"/>
    <w:rsid w:val="003867F0"/>
    <w:rsid w:val="00396AFF"/>
    <w:rsid w:val="003A02F2"/>
    <w:rsid w:val="003A0CF0"/>
    <w:rsid w:val="003B3E8C"/>
    <w:rsid w:val="003B5C46"/>
    <w:rsid w:val="003E2A30"/>
    <w:rsid w:val="003E50DB"/>
    <w:rsid w:val="003F17DF"/>
    <w:rsid w:val="003F3654"/>
    <w:rsid w:val="003F50B7"/>
    <w:rsid w:val="004032DE"/>
    <w:rsid w:val="00410DDC"/>
    <w:rsid w:val="004212C1"/>
    <w:rsid w:val="00424A2D"/>
    <w:rsid w:val="00424C3D"/>
    <w:rsid w:val="004301EC"/>
    <w:rsid w:val="00431B66"/>
    <w:rsid w:val="00434EDA"/>
    <w:rsid w:val="00440E19"/>
    <w:rsid w:val="00446F62"/>
    <w:rsid w:val="004646C8"/>
    <w:rsid w:val="004704A8"/>
    <w:rsid w:val="004754D6"/>
    <w:rsid w:val="004772D6"/>
    <w:rsid w:val="004A7ABE"/>
    <w:rsid w:val="004B0DD3"/>
    <w:rsid w:val="004B516A"/>
    <w:rsid w:val="004B52DA"/>
    <w:rsid w:val="004D014A"/>
    <w:rsid w:val="004D36FC"/>
    <w:rsid w:val="004D4D5B"/>
    <w:rsid w:val="004D6B36"/>
    <w:rsid w:val="004E50E6"/>
    <w:rsid w:val="004E5C3A"/>
    <w:rsid w:val="004F131C"/>
    <w:rsid w:val="004F2419"/>
    <w:rsid w:val="004F3844"/>
    <w:rsid w:val="004F6A79"/>
    <w:rsid w:val="004F6ECF"/>
    <w:rsid w:val="00511E13"/>
    <w:rsid w:val="00513FF5"/>
    <w:rsid w:val="00517BCA"/>
    <w:rsid w:val="00530BA8"/>
    <w:rsid w:val="005417E9"/>
    <w:rsid w:val="00560A23"/>
    <w:rsid w:val="00563275"/>
    <w:rsid w:val="005635C9"/>
    <w:rsid w:val="005667F4"/>
    <w:rsid w:val="005708C5"/>
    <w:rsid w:val="00573B70"/>
    <w:rsid w:val="00580881"/>
    <w:rsid w:val="00580E68"/>
    <w:rsid w:val="00585458"/>
    <w:rsid w:val="005910D3"/>
    <w:rsid w:val="005B0610"/>
    <w:rsid w:val="005B3E6C"/>
    <w:rsid w:val="005C4D96"/>
    <w:rsid w:val="005C7A6F"/>
    <w:rsid w:val="005D6542"/>
    <w:rsid w:val="005E4F25"/>
    <w:rsid w:val="005F5F29"/>
    <w:rsid w:val="005F7AF9"/>
    <w:rsid w:val="006055DD"/>
    <w:rsid w:val="006121DC"/>
    <w:rsid w:val="00620B32"/>
    <w:rsid w:val="0065165F"/>
    <w:rsid w:val="00663ACE"/>
    <w:rsid w:val="006663BD"/>
    <w:rsid w:val="006A5C71"/>
    <w:rsid w:val="006A64D1"/>
    <w:rsid w:val="006B5135"/>
    <w:rsid w:val="006D2945"/>
    <w:rsid w:val="006D5C16"/>
    <w:rsid w:val="006E0904"/>
    <w:rsid w:val="006E0D4F"/>
    <w:rsid w:val="006E1841"/>
    <w:rsid w:val="006E29E7"/>
    <w:rsid w:val="006E7B47"/>
    <w:rsid w:val="006E7E97"/>
    <w:rsid w:val="007021E1"/>
    <w:rsid w:val="00702CDB"/>
    <w:rsid w:val="00711EE2"/>
    <w:rsid w:val="007346AF"/>
    <w:rsid w:val="00735012"/>
    <w:rsid w:val="00753431"/>
    <w:rsid w:val="0076047A"/>
    <w:rsid w:val="007658F6"/>
    <w:rsid w:val="0076764D"/>
    <w:rsid w:val="00790979"/>
    <w:rsid w:val="00795757"/>
    <w:rsid w:val="007A78C9"/>
    <w:rsid w:val="007B3D9C"/>
    <w:rsid w:val="007C2A80"/>
    <w:rsid w:val="007C64F8"/>
    <w:rsid w:val="007D260C"/>
    <w:rsid w:val="007D639D"/>
    <w:rsid w:val="007E37F0"/>
    <w:rsid w:val="007E5BEB"/>
    <w:rsid w:val="00801150"/>
    <w:rsid w:val="00803F9B"/>
    <w:rsid w:val="00806B92"/>
    <w:rsid w:val="00811CC6"/>
    <w:rsid w:val="008209B1"/>
    <w:rsid w:val="008312DA"/>
    <w:rsid w:val="008373F3"/>
    <w:rsid w:val="00840CCE"/>
    <w:rsid w:val="008410C9"/>
    <w:rsid w:val="00846B94"/>
    <w:rsid w:val="0086603D"/>
    <w:rsid w:val="008704FD"/>
    <w:rsid w:val="008724F7"/>
    <w:rsid w:val="00873A16"/>
    <w:rsid w:val="00873D08"/>
    <w:rsid w:val="00884147"/>
    <w:rsid w:val="00893345"/>
    <w:rsid w:val="008A450C"/>
    <w:rsid w:val="008B22A2"/>
    <w:rsid w:val="008C0993"/>
    <w:rsid w:val="008C0B05"/>
    <w:rsid w:val="008D3B5E"/>
    <w:rsid w:val="008D67EE"/>
    <w:rsid w:val="00916B00"/>
    <w:rsid w:val="00917891"/>
    <w:rsid w:val="009330AA"/>
    <w:rsid w:val="00937C17"/>
    <w:rsid w:val="009423BA"/>
    <w:rsid w:val="00943FB6"/>
    <w:rsid w:val="0094779B"/>
    <w:rsid w:val="00951708"/>
    <w:rsid w:val="00956CD2"/>
    <w:rsid w:val="009671AD"/>
    <w:rsid w:val="00967EC7"/>
    <w:rsid w:val="0097437D"/>
    <w:rsid w:val="00977E39"/>
    <w:rsid w:val="009865D4"/>
    <w:rsid w:val="00991DEA"/>
    <w:rsid w:val="00996F72"/>
    <w:rsid w:val="009A0F0F"/>
    <w:rsid w:val="009A4F7D"/>
    <w:rsid w:val="009A659F"/>
    <w:rsid w:val="009B2C48"/>
    <w:rsid w:val="009B61B9"/>
    <w:rsid w:val="009C15B6"/>
    <w:rsid w:val="009D392A"/>
    <w:rsid w:val="009F1B78"/>
    <w:rsid w:val="009F48F7"/>
    <w:rsid w:val="009F59CC"/>
    <w:rsid w:val="00A005FD"/>
    <w:rsid w:val="00A00A8F"/>
    <w:rsid w:val="00A03E21"/>
    <w:rsid w:val="00A12AB5"/>
    <w:rsid w:val="00A17EED"/>
    <w:rsid w:val="00A22D3A"/>
    <w:rsid w:val="00A25A95"/>
    <w:rsid w:val="00A32627"/>
    <w:rsid w:val="00A65F88"/>
    <w:rsid w:val="00A758D4"/>
    <w:rsid w:val="00A817E8"/>
    <w:rsid w:val="00A82910"/>
    <w:rsid w:val="00A966D1"/>
    <w:rsid w:val="00AA0097"/>
    <w:rsid w:val="00AA23D6"/>
    <w:rsid w:val="00AA63EB"/>
    <w:rsid w:val="00AD33BB"/>
    <w:rsid w:val="00B215E1"/>
    <w:rsid w:val="00B45CED"/>
    <w:rsid w:val="00B63E3F"/>
    <w:rsid w:val="00B648DF"/>
    <w:rsid w:val="00B71E2A"/>
    <w:rsid w:val="00B85B37"/>
    <w:rsid w:val="00B866E4"/>
    <w:rsid w:val="00BB0855"/>
    <w:rsid w:val="00BB0BC3"/>
    <w:rsid w:val="00BE16AF"/>
    <w:rsid w:val="00BE6AE6"/>
    <w:rsid w:val="00BE728C"/>
    <w:rsid w:val="00BF2FFF"/>
    <w:rsid w:val="00BF4436"/>
    <w:rsid w:val="00BF601C"/>
    <w:rsid w:val="00C0000C"/>
    <w:rsid w:val="00C04B58"/>
    <w:rsid w:val="00C04E7E"/>
    <w:rsid w:val="00C16829"/>
    <w:rsid w:val="00C20BD7"/>
    <w:rsid w:val="00C60E2D"/>
    <w:rsid w:val="00C70C74"/>
    <w:rsid w:val="00C8735F"/>
    <w:rsid w:val="00C918E7"/>
    <w:rsid w:val="00C95DC9"/>
    <w:rsid w:val="00CA090B"/>
    <w:rsid w:val="00CA1B0E"/>
    <w:rsid w:val="00CB1626"/>
    <w:rsid w:val="00CB1F09"/>
    <w:rsid w:val="00CB3AB6"/>
    <w:rsid w:val="00CB5C9E"/>
    <w:rsid w:val="00CB6D7E"/>
    <w:rsid w:val="00CC351D"/>
    <w:rsid w:val="00CD34A0"/>
    <w:rsid w:val="00CE392A"/>
    <w:rsid w:val="00CF3D52"/>
    <w:rsid w:val="00D11D7A"/>
    <w:rsid w:val="00D212EB"/>
    <w:rsid w:val="00D24BFE"/>
    <w:rsid w:val="00D261C5"/>
    <w:rsid w:val="00D432D5"/>
    <w:rsid w:val="00D8342B"/>
    <w:rsid w:val="00D8658B"/>
    <w:rsid w:val="00D9135D"/>
    <w:rsid w:val="00D978FE"/>
    <w:rsid w:val="00DA5F3A"/>
    <w:rsid w:val="00DB73DA"/>
    <w:rsid w:val="00DC1755"/>
    <w:rsid w:val="00DE25C1"/>
    <w:rsid w:val="00DF7E1C"/>
    <w:rsid w:val="00E03318"/>
    <w:rsid w:val="00E0667C"/>
    <w:rsid w:val="00E150E9"/>
    <w:rsid w:val="00E16F6C"/>
    <w:rsid w:val="00E36E12"/>
    <w:rsid w:val="00E61179"/>
    <w:rsid w:val="00E65587"/>
    <w:rsid w:val="00E675C7"/>
    <w:rsid w:val="00E72518"/>
    <w:rsid w:val="00E81F83"/>
    <w:rsid w:val="00E85494"/>
    <w:rsid w:val="00E95275"/>
    <w:rsid w:val="00EA38D6"/>
    <w:rsid w:val="00EA52F7"/>
    <w:rsid w:val="00EB2C28"/>
    <w:rsid w:val="00EB3D93"/>
    <w:rsid w:val="00EC5965"/>
    <w:rsid w:val="00EC635A"/>
    <w:rsid w:val="00ED5452"/>
    <w:rsid w:val="00EF3A6D"/>
    <w:rsid w:val="00F136B2"/>
    <w:rsid w:val="00F2180C"/>
    <w:rsid w:val="00F30864"/>
    <w:rsid w:val="00F31290"/>
    <w:rsid w:val="00F36C36"/>
    <w:rsid w:val="00F402B5"/>
    <w:rsid w:val="00F41C84"/>
    <w:rsid w:val="00F617F5"/>
    <w:rsid w:val="00F673CE"/>
    <w:rsid w:val="00F75BDF"/>
    <w:rsid w:val="00F87DDD"/>
    <w:rsid w:val="00F87EDB"/>
    <w:rsid w:val="00F96369"/>
    <w:rsid w:val="00F97682"/>
    <w:rsid w:val="00FA4EB6"/>
    <w:rsid w:val="00FA5BDF"/>
    <w:rsid w:val="00FB05CA"/>
    <w:rsid w:val="00FC4D64"/>
    <w:rsid w:val="00FE44DC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CA3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542"/>
    <w:pPr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uiPriority w:val="9"/>
    <w:qFormat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pPr>
      <w:widowControl w:val="0"/>
    </w:pPr>
    <w:rPr>
      <w:szCs w:val="20"/>
    </w:rPr>
  </w:style>
  <w:style w:type="character" w:customStyle="1" w:styleId="CharChar">
    <w:name w:val="Char Char"/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Cs w:val="20"/>
    </w:rPr>
  </w:style>
  <w:style w:type="character" w:customStyle="1" w:styleId="CharChar2">
    <w:name w:val="Char Char2"/>
    <w:rPr>
      <w:sz w:val="24"/>
      <w:szCs w:val="24"/>
    </w:rPr>
  </w:style>
  <w:style w:type="paragraph" w:styleId="Zkladntext">
    <w:name w:val="Body Text"/>
    <w:basedOn w:val="Normln"/>
    <w:link w:val="ZkladntextChar"/>
    <w:semiHidden/>
    <w:rPr>
      <w:rFonts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E0904"/>
    <w:pPr>
      <w:ind w:left="708"/>
    </w:pPr>
  </w:style>
  <w:style w:type="character" w:styleId="Odkaznakoment">
    <w:name w:val="annotation reference"/>
    <w:uiPriority w:val="99"/>
    <w:semiHidden/>
    <w:unhideWhenUsed/>
    <w:rsid w:val="004F38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84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F384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8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3844"/>
    <w:rPr>
      <w:rFonts w:ascii="Arial" w:hAnsi="Arial" w:cs="Arial"/>
      <w:b/>
      <w:bCs/>
    </w:rPr>
  </w:style>
  <w:style w:type="table" w:styleId="Mkatabulky">
    <w:name w:val="Table Grid"/>
    <w:basedOn w:val="Normlntabulka"/>
    <w:uiPriority w:val="59"/>
    <w:rsid w:val="0020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F6A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59DB"/>
    <w:rPr>
      <w:sz w:val="24"/>
      <w:szCs w:val="24"/>
    </w:rPr>
  </w:style>
  <w:style w:type="paragraph" w:customStyle="1" w:styleId="Pododstavec">
    <w:name w:val="Pododstavec"/>
    <w:basedOn w:val="Normln"/>
    <w:qFormat/>
    <w:rsid w:val="00801150"/>
    <w:pPr>
      <w:spacing w:after="120"/>
      <w:ind w:left="851" w:hanging="284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Nadpis2Char">
    <w:name w:val="Nadpis 2 Char"/>
    <w:link w:val="Nadpis2"/>
    <w:rsid w:val="00996F72"/>
    <w:rPr>
      <w:rFonts w:ascii="Cambria" w:hAnsi="Cambria"/>
      <w:b/>
      <w:bCs/>
      <w:i/>
      <w:iCs/>
      <w:sz w:val="28"/>
      <w:szCs w:val="28"/>
    </w:rPr>
  </w:style>
  <w:style w:type="character" w:customStyle="1" w:styleId="ZpatChar">
    <w:name w:val="Zápatí Char"/>
    <w:link w:val="Zpat"/>
    <w:semiHidden/>
    <w:rsid w:val="00956CD2"/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semiHidden/>
    <w:unhideWhenUsed/>
    <w:rsid w:val="006E1841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6E1841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0B4E1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9C89-4707-428B-9447-5963925D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13533</CharactersWithSpaces>
  <SharedDoc>false</SharedDoc>
  <HLinks>
    <vt:vector size="18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24372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24746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2022-05-30T07:09:00Z</dcterms:created>
  <dcterms:modified xsi:type="dcterms:W3CDTF">2022-05-30T07:09:00Z</dcterms:modified>
</cp:coreProperties>
</file>