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3C" w:rsidRDefault="00366EAC">
      <w:pPr>
        <w:framePr w:w="1094" w:h="730" w:hSpace="1742" w:vSpace="48" w:wrap="notBeside" w:vAnchor="text" w:hAnchor="text" w:x="-565" w:y="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4690" cy="4635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469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3C" w:rsidRDefault="00366EA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4377055" simplePos="0" relativeHeight="12582937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984250" cy="52705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243C" w:rsidRDefault="00366EAC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NÁRODNÍ PAMÁTKOVÝ ÚSTAV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.pt;margin-top:0;width:77.5pt;height:41.5pt;z-index:-125829375;mso-wrap-distance-left:0;mso-wrap-distance-right:344.64999999999998pt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NÁRODNÍ PAMÁTKOVÝ ÚSTAV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2243C" w:rsidRDefault="00366EAC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 xml:space="preserve">Smlouva na zajištění podpory migrace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bookmarkEnd w:id="0"/>
      <w:bookmarkEnd w:id="1"/>
      <w:proofErr w:type="spellEnd"/>
    </w:p>
    <w:p w:rsidR="0032243C" w:rsidRDefault="00366EAC">
      <w:pPr>
        <w:pStyle w:val="Zkladntext1"/>
        <w:shd w:val="clear" w:color="auto" w:fill="auto"/>
        <w:spacing w:after="100" w:line="254" w:lineRule="auto"/>
      </w:pPr>
      <w:r>
        <w:rPr>
          <w:sz w:val="22"/>
          <w:szCs w:val="22"/>
        </w:rPr>
        <w:t xml:space="preserve">Národní památkový ústav, </w:t>
      </w:r>
      <w:r>
        <w:t>státní příspěvková organizace</w:t>
      </w:r>
    </w:p>
    <w:p w:rsidR="0032243C" w:rsidRDefault="00366EAC">
      <w:pPr>
        <w:pStyle w:val="Zkladntext1"/>
        <w:shd w:val="clear" w:color="auto" w:fill="auto"/>
        <w:spacing w:after="100"/>
      </w:pPr>
      <w:r>
        <w:t>IČO: 750 32 333, DIČ CZ75032333</w:t>
      </w:r>
    </w:p>
    <w:p w:rsidR="0032243C" w:rsidRDefault="00366EAC">
      <w:pPr>
        <w:pStyle w:val="Zkladntext1"/>
        <w:shd w:val="clear" w:color="auto" w:fill="auto"/>
        <w:spacing w:after="100"/>
      </w:pPr>
      <w:r>
        <w:t>se sídlem: Valdštejnské nám. 162/3, 118 01 Praha 1 - Malá Strana</w:t>
      </w:r>
    </w:p>
    <w:p w:rsidR="0032243C" w:rsidRDefault="00366EAC">
      <w:pPr>
        <w:pStyle w:val="Zkladntext1"/>
        <w:shd w:val="clear" w:color="auto" w:fill="auto"/>
        <w:spacing w:after="100"/>
      </w:pPr>
      <w:r>
        <w:t xml:space="preserve">zastoupen: Ing. </w:t>
      </w:r>
      <w:r>
        <w:t>arch. Naděždou Goryczkovou, generální ředitelkou</w:t>
      </w:r>
    </w:p>
    <w:p w:rsidR="0032243C" w:rsidRDefault="00366EAC">
      <w:pPr>
        <w:pStyle w:val="Zkladntext1"/>
        <w:shd w:val="clear" w:color="auto" w:fill="auto"/>
        <w:spacing w:after="100"/>
      </w:pPr>
      <w:r>
        <w:t xml:space="preserve">kontaktní osoba Objednatele: </w:t>
      </w:r>
      <w:proofErr w:type="spellStart"/>
      <w:r w:rsidR="00324F69">
        <w:t>xxx</w:t>
      </w:r>
      <w:proofErr w:type="spellEnd"/>
      <w:r>
        <w:t xml:space="preserve">, systémový inženýr, tel.: </w:t>
      </w:r>
      <w:proofErr w:type="spellStart"/>
      <w:r w:rsidR="00324F69">
        <w:t>xxx</w:t>
      </w:r>
      <w:proofErr w:type="spellEnd"/>
      <w:r>
        <w:t xml:space="preserve">, e-mail: </w:t>
      </w:r>
      <w:proofErr w:type="spellStart"/>
      <w:r w:rsidR="00324F69">
        <w:t>xxx</w:t>
      </w:r>
      <w:proofErr w:type="spellEnd"/>
    </w:p>
    <w:p w:rsidR="0032243C" w:rsidRDefault="00366EAC">
      <w:pPr>
        <w:pStyle w:val="Zkladntext1"/>
        <w:shd w:val="clear" w:color="auto" w:fill="auto"/>
        <w:spacing w:after="100"/>
        <w:rPr>
          <w:sz w:val="22"/>
          <w:szCs w:val="22"/>
        </w:rPr>
      </w:pPr>
      <w:r>
        <w:t>(dále jako „O</w:t>
      </w:r>
      <w:r>
        <w:rPr>
          <w:sz w:val="22"/>
          <w:szCs w:val="22"/>
        </w:rPr>
        <w:t>bjednatel</w:t>
      </w:r>
      <w:r>
        <w:t>“</w:t>
      </w:r>
      <w:r>
        <w:rPr>
          <w:sz w:val="22"/>
          <w:szCs w:val="22"/>
        </w:rPr>
        <w:t>)</w:t>
      </w:r>
    </w:p>
    <w:p w:rsidR="0032243C" w:rsidRDefault="00366EAC">
      <w:pPr>
        <w:pStyle w:val="Zkladntext1"/>
        <w:shd w:val="clear" w:color="auto" w:fill="auto"/>
        <w:spacing w:after="100"/>
      </w:pPr>
      <w:r>
        <w:t>a</w:t>
      </w:r>
    </w:p>
    <w:p w:rsidR="0032243C" w:rsidRDefault="00366EAC">
      <w:pPr>
        <w:pStyle w:val="Zkladntext1"/>
        <w:shd w:val="clear" w:color="auto" w:fill="auto"/>
        <w:spacing w:after="100" w:line="254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SoftwareONE</w:t>
      </w:r>
      <w:proofErr w:type="spellEnd"/>
      <w:r>
        <w:rPr>
          <w:sz w:val="22"/>
          <w:szCs w:val="22"/>
        </w:rPr>
        <w:t xml:space="preserve"> Czech Repu</w:t>
      </w:r>
      <w:r>
        <w:rPr>
          <w:sz w:val="22"/>
          <w:szCs w:val="22"/>
        </w:rPr>
        <w:t>blic s.r.o.</w:t>
      </w:r>
    </w:p>
    <w:p w:rsidR="0032243C" w:rsidRDefault="00366EAC">
      <w:pPr>
        <w:pStyle w:val="Zkladntext1"/>
        <w:shd w:val="clear" w:color="auto" w:fill="auto"/>
        <w:spacing w:after="100"/>
      </w:pPr>
      <w:r>
        <w:t>IČO: 24207519</w:t>
      </w:r>
    </w:p>
    <w:p w:rsidR="0032243C" w:rsidRDefault="00366EAC">
      <w:pPr>
        <w:pStyle w:val="Zkladntext1"/>
        <w:shd w:val="clear" w:color="auto" w:fill="auto"/>
        <w:spacing w:after="100"/>
      </w:pPr>
      <w:r>
        <w:t>DIČ: CZ24207519</w:t>
      </w:r>
    </w:p>
    <w:p w:rsidR="0032243C" w:rsidRDefault="00366EAC">
      <w:pPr>
        <w:pStyle w:val="Zkladntext1"/>
        <w:shd w:val="clear" w:color="auto" w:fill="auto"/>
        <w:spacing w:after="100"/>
      </w:pPr>
      <w:r>
        <w:t>se sídlem: Vyskočilova 1410/1, 140 00 Praha 4</w:t>
      </w:r>
    </w:p>
    <w:p w:rsidR="0032243C" w:rsidRDefault="00366EAC">
      <w:pPr>
        <w:pStyle w:val="Zkladntext1"/>
        <w:shd w:val="clear" w:color="auto" w:fill="auto"/>
        <w:spacing w:after="100"/>
      </w:pPr>
      <w:r>
        <w:t xml:space="preserve">zastoupen: Petrem Pánkem a Janem </w:t>
      </w:r>
      <w:proofErr w:type="spellStart"/>
      <w:r>
        <w:t>Knyttlem</w:t>
      </w:r>
      <w:proofErr w:type="spellEnd"/>
      <w:r>
        <w:t>, prokuristy</w:t>
      </w:r>
    </w:p>
    <w:p w:rsidR="0032243C" w:rsidRDefault="00366EAC">
      <w:pPr>
        <w:pStyle w:val="Zkladntext1"/>
        <w:shd w:val="clear" w:color="auto" w:fill="auto"/>
        <w:spacing w:after="100"/>
      </w:pPr>
      <w:r>
        <w:t>zápis v obchodním rejstříku: Městského soudu v Praze, oddíl C, vložka 188674</w:t>
      </w:r>
    </w:p>
    <w:p w:rsidR="0032243C" w:rsidRDefault="00366EAC">
      <w:pPr>
        <w:pStyle w:val="Zkladntext1"/>
        <w:shd w:val="clear" w:color="auto" w:fill="auto"/>
        <w:spacing w:after="100"/>
      </w:pPr>
      <w:r>
        <w:t>id datové schránky: 8fc9a92</w:t>
      </w:r>
    </w:p>
    <w:p w:rsidR="0032243C" w:rsidRDefault="00366EAC">
      <w:pPr>
        <w:pStyle w:val="Zkladntext1"/>
        <w:shd w:val="clear" w:color="auto" w:fill="auto"/>
        <w:spacing w:after="0" w:line="343" w:lineRule="auto"/>
      </w:pPr>
      <w:r>
        <w:t xml:space="preserve">bankovní spojení, č. účtu: </w:t>
      </w:r>
      <w:proofErr w:type="spellStart"/>
      <w:r>
        <w:t>UniCredit</w:t>
      </w:r>
      <w:proofErr w:type="spellEnd"/>
      <w:r>
        <w:t xml:space="preserve"> Bank Czech Republic and Slovakia, a.s., 1161811001/2700 </w:t>
      </w:r>
      <w:bookmarkStart w:id="2" w:name="_GoBack"/>
      <w:r>
        <w:t>kontakt</w:t>
      </w:r>
      <w:bookmarkEnd w:id="2"/>
      <w:r>
        <w:t>ní osoba Zhotovitele: jméno, email, tel.:</w:t>
      </w:r>
      <w:r>
        <w:t xml:space="preserve"> </w:t>
      </w:r>
      <w:proofErr w:type="spellStart"/>
      <w:r w:rsidR="00324F69">
        <w:t>xxx</w:t>
      </w:r>
      <w:proofErr w:type="spellEnd"/>
      <w:r w:rsidR="00324F69">
        <w:rPr>
          <w:color w:val="0000FF"/>
          <w:u w:val="single"/>
          <w:lang w:eastAsia="en-US" w:bidi="en-US"/>
        </w:rPr>
        <w:t xml:space="preserve"> </w:t>
      </w:r>
      <w:proofErr w:type="spellStart"/>
      <w:r w:rsidR="00324F69">
        <w:t>xxx</w:t>
      </w:r>
      <w:proofErr w:type="spellEnd"/>
      <w:r w:rsidRPr="00324F69">
        <w:rPr>
          <w:u w:val="single"/>
          <w:lang w:eastAsia="en-US" w:bidi="en-US"/>
        </w:rPr>
        <w:t xml:space="preserve"> </w:t>
      </w:r>
      <w:r>
        <w:t xml:space="preserve">+420 </w:t>
      </w:r>
      <w:proofErr w:type="spellStart"/>
      <w:r w:rsidR="00324F69">
        <w:t>xxx</w:t>
      </w:r>
      <w:proofErr w:type="spellEnd"/>
    </w:p>
    <w:p w:rsidR="0032243C" w:rsidRDefault="00366EAC">
      <w:pPr>
        <w:pStyle w:val="Zkladntext1"/>
        <w:shd w:val="clear" w:color="auto" w:fill="auto"/>
        <w:spacing w:after="100"/>
        <w:rPr>
          <w:sz w:val="22"/>
          <w:szCs w:val="22"/>
        </w:rPr>
      </w:pPr>
      <w:r>
        <w:t>(dále jako „</w:t>
      </w:r>
      <w:r>
        <w:rPr>
          <w:sz w:val="22"/>
          <w:szCs w:val="22"/>
        </w:rPr>
        <w:t>Zhotovitel“)</w:t>
      </w:r>
    </w:p>
    <w:p w:rsidR="0032243C" w:rsidRDefault="00366EAC">
      <w:pPr>
        <w:pStyle w:val="Zkladntext1"/>
        <w:shd w:val="clear" w:color="auto" w:fill="auto"/>
        <w:spacing w:after="100"/>
      </w:pPr>
      <w:r>
        <w:t>dále jednotlivě jako „Smluvní strana“ nebo společně jako „Smluvní strany“</w:t>
      </w:r>
    </w:p>
    <w:p w:rsidR="0032243C" w:rsidRDefault="00366EAC">
      <w:pPr>
        <w:pStyle w:val="Zkladntext1"/>
        <w:shd w:val="clear" w:color="auto" w:fill="auto"/>
        <w:spacing w:after="480"/>
        <w:ind w:left="940" w:hanging="940"/>
      </w:pPr>
      <w:r>
        <w:t xml:space="preserve">spolu uzavírají níže uvedeného dne, měsíce a roku podle </w:t>
      </w:r>
      <w:proofErr w:type="spellStart"/>
      <w:r>
        <w:t>ust</w:t>
      </w:r>
      <w:proofErr w:type="spellEnd"/>
      <w:r>
        <w:t xml:space="preserve">. § 2358 a násl. a podle </w:t>
      </w:r>
      <w:proofErr w:type="spellStart"/>
      <w:r>
        <w:t>ust</w:t>
      </w:r>
      <w:proofErr w:type="spellEnd"/>
      <w:r>
        <w:t>. § 2586 a násl. zákona č. 89/2012 Sb., občanského zákoníku, tuto smlo</w:t>
      </w:r>
      <w:r>
        <w:t>uvu (dále jen „Smlouva“):</w:t>
      </w:r>
    </w:p>
    <w:p w:rsidR="0032243C" w:rsidRDefault="00366EAC">
      <w:pPr>
        <w:pStyle w:val="Zkladntext1"/>
        <w:shd w:val="clear" w:color="auto" w:fill="auto"/>
        <w:spacing w:after="100" w:line="25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Preambule</w:t>
      </w:r>
    </w:p>
    <w:p w:rsidR="0032243C" w:rsidRDefault="00366EAC">
      <w:pPr>
        <w:pStyle w:val="Zkladntext1"/>
        <w:shd w:val="clear" w:color="auto" w:fill="auto"/>
        <w:spacing w:after="480"/>
      </w:pPr>
      <w:r>
        <w:t>Tuto Smlouvu uzavírá Objednatel se Zhotovitelem na základě výsledku veřejné zakázky malého rozsahu zadávané Objednatelem mimo režim zákona č. 134/2016 Sb., o zadávání veřejných zakázek, v platném a účinném znění (dále je</w:t>
      </w:r>
      <w:r>
        <w:t>n „ZZVZ“), pod názvem „</w:t>
      </w:r>
      <w:r>
        <w:rPr>
          <w:sz w:val="22"/>
          <w:szCs w:val="22"/>
        </w:rPr>
        <w:t xml:space="preserve">Podpora migrace </w:t>
      </w:r>
      <w:proofErr w:type="spellStart"/>
      <w:r>
        <w:rPr>
          <w:sz w:val="22"/>
          <w:szCs w:val="22"/>
        </w:rPr>
        <w:t>Active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Directory</w:t>
      </w:r>
      <w:proofErr w:type="spellEnd"/>
      <w:r>
        <w:t xml:space="preserve">“, systémové číslo NEN: </w:t>
      </w:r>
      <w:r>
        <w:rPr>
          <w:b/>
          <w:bCs/>
        </w:rPr>
        <w:t xml:space="preserve">N006/22/V00010523 </w:t>
      </w: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  <w:sz w:val="19"/>
          <w:szCs w:val="19"/>
        </w:rPr>
        <w:t>Veřejná zakázka</w:t>
      </w:r>
      <w:r>
        <w:rPr>
          <w:i/>
          <w:iCs/>
        </w:rPr>
        <w:t>“).</w:t>
      </w:r>
    </w:p>
    <w:p w:rsidR="0032243C" w:rsidRDefault="00366EAC">
      <w:pPr>
        <w:pStyle w:val="Zkladntext1"/>
        <w:numPr>
          <w:ilvl w:val="0"/>
          <w:numId w:val="1"/>
        </w:numPr>
        <w:shd w:val="clear" w:color="auto" w:fill="auto"/>
        <w:tabs>
          <w:tab w:val="left" w:pos="840"/>
        </w:tabs>
        <w:spacing w:after="100" w:line="25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Předmět smlouvy</w:t>
      </w:r>
    </w:p>
    <w:p w:rsidR="0032243C" w:rsidRDefault="00366EAC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100"/>
        <w:ind w:left="380" w:hanging="380"/>
      </w:pPr>
      <w:r>
        <w:t xml:space="preserve">Předmětem této Smlouvy je závazek Zhotovitele provádět pro Objednatele dle jeho aktuálních potřeb na základě </w:t>
      </w:r>
      <w:r>
        <w:t xml:space="preserve">jednotlivých požadavků kontaktní osoby Objednatele činnosti technické podpory migrace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a splnění dalších s tím souvisejících závazků; činnosti technické podpory jsou specifikované podrobněji v dalších částech této Smlouvy, zejména v Příloze</w:t>
      </w:r>
      <w:r>
        <w:t xml:space="preserve"> 1 - Technické zadání (dále jen „</w:t>
      </w:r>
      <w:r>
        <w:rPr>
          <w:b/>
          <w:bCs/>
          <w:i/>
          <w:iCs/>
          <w:sz w:val="19"/>
          <w:szCs w:val="19"/>
        </w:rPr>
        <w:t>Činnosti technické podpory</w:t>
      </w:r>
      <w:r>
        <w:t>“).</w:t>
      </w:r>
    </w:p>
    <w:p w:rsidR="0032243C" w:rsidRDefault="00366EAC">
      <w:pPr>
        <w:pStyle w:val="Zkladntext1"/>
        <w:numPr>
          <w:ilvl w:val="0"/>
          <w:numId w:val="2"/>
        </w:numPr>
        <w:shd w:val="clear" w:color="auto" w:fill="auto"/>
        <w:tabs>
          <w:tab w:val="left" w:pos="447"/>
        </w:tabs>
        <w:ind w:left="380" w:hanging="380"/>
        <w:jc w:val="both"/>
      </w:pPr>
      <w:r>
        <w:t>Objednatel se za provádění Činností technické podpory zavazuje Zhotoviteli zaplatit sjednanou odměnu dle čl. V Smlouvy.</w:t>
      </w:r>
    </w:p>
    <w:p w:rsidR="0032243C" w:rsidRDefault="00366EAC">
      <w:pPr>
        <w:pStyle w:val="Zkladntext1"/>
        <w:numPr>
          <w:ilvl w:val="0"/>
          <w:numId w:val="2"/>
        </w:numPr>
        <w:shd w:val="clear" w:color="auto" w:fill="auto"/>
        <w:tabs>
          <w:tab w:val="left" w:pos="447"/>
        </w:tabs>
        <w:spacing w:after="480"/>
        <w:ind w:left="380" w:hanging="380"/>
        <w:jc w:val="both"/>
      </w:pPr>
      <w:r>
        <w:t xml:space="preserve">Místem plnění je centrální lokalita datového centra Objednatele na </w:t>
      </w:r>
      <w:r>
        <w:t xml:space="preserve">adrese: Praha 3, Mahlerovy sady 2699/1, a dále na jednotlivých pracovištích Objednatele, jejichž seznam je uveden v příloze č. 3 </w:t>
      </w:r>
      <w:proofErr w:type="gramStart"/>
      <w:r>
        <w:t>této</w:t>
      </w:r>
      <w:proofErr w:type="gramEnd"/>
      <w:r>
        <w:t xml:space="preserve"> Smlouvy.</w:t>
      </w:r>
    </w:p>
    <w:p w:rsidR="0032243C" w:rsidRDefault="00366EAC">
      <w:pPr>
        <w:pStyle w:val="Zkladntext1"/>
        <w:numPr>
          <w:ilvl w:val="0"/>
          <w:numId w:val="1"/>
        </w:numPr>
        <w:shd w:val="clear" w:color="auto" w:fill="auto"/>
        <w:tabs>
          <w:tab w:val="left" w:pos="447"/>
        </w:tabs>
        <w:spacing w:line="254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Podmínky plnění</w:t>
      </w:r>
    </w:p>
    <w:p w:rsidR="0032243C" w:rsidRDefault="00366EAC">
      <w:pPr>
        <w:pStyle w:val="Zkladntext1"/>
        <w:numPr>
          <w:ilvl w:val="0"/>
          <w:numId w:val="3"/>
        </w:numPr>
        <w:shd w:val="clear" w:color="auto" w:fill="auto"/>
        <w:tabs>
          <w:tab w:val="left" w:pos="447"/>
        </w:tabs>
        <w:ind w:left="580" w:hanging="580"/>
        <w:jc w:val="both"/>
      </w:pPr>
      <w:r>
        <w:t>Činnosti technické podpory budou realizovány na základě jednotlivých požadavků kontaktní osoby Ob</w:t>
      </w:r>
      <w:r>
        <w:t>jednatele učiněných prostřednictvím emailu kontaktních osob nebo jiného domluveného komunikačního kanálu, ve shodě s Časovým plánem, nebude-li mezi stranami sjednáno jinak (dále jen „Požadavek“). Doručením Požadavku Zhotoviteli je závazek Zhotovitele prové</w:t>
      </w:r>
      <w:r>
        <w:t>st konkrétní požadované Činnosti technické podpory účinný.</w:t>
      </w:r>
    </w:p>
    <w:p w:rsidR="0032243C" w:rsidRDefault="00366EAC">
      <w:pPr>
        <w:pStyle w:val="Zkladntext1"/>
        <w:numPr>
          <w:ilvl w:val="0"/>
          <w:numId w:val="3"/>
        </w:numPr>
        <w:shd w:val="clear" w:color="auto" w:fill="auto"/>
        <w:tabs>
          <w:tab w:val="left" w:pos="447"/>
        </w:tabs>
      </w:pPr>
      <w:r>
        <w:t>V Požadavku Objednatel vždy uvede alespoň:</w:t>
      </w:r>
    </w:p>
    <w:p w:rsidR="0032243C" w:rsidRDefault="00366EAC">
      <w:pPr>
        <w:pStyle w:val="Zkladntext1"/>
        <w:numPr>
          <w:ilvl w:val="0"/>
          <w:numId w:val="4"/>
        </w:numPr>
        <w:shd w:val="clear" w:color="auto" w:fill="auto"/>
        <w:tabs>
          <w:tab w:val="left" w:pos="1007"/>
        </w:tabs>
        <w:ind w:firstLine="580"/>
      </w:pPr>
      <w:r>
        <w:t>označení a číslo Smlouvy,</w:t>
      </w:r>
    </w:p>
    <w:p w:rsidR="0032243C" w:rsidRDefault="00366EAC">
      <w:pPr>
        <w:pStyle w:val="Zkladntext1"/>
        <w:numPr>
          <w:ilvl w:val="0"/>
          <w:numId w:val="4"/>
        </w:numPr>
        <w:shd w:val="clear" w:color="auto" w:fill="auto"/>
        <w:tabs>
          <w:tab w:val="left" w:pos="1014"/>
        </w:tabs>
        <w:ind w:firstLine="580"/>
      </w:pPr>
      <w:r>
        <w:t>označení Smluvních stran,</w:t>
      </w:r>
    </w:p>
    <w:p w:rsidR="0032243C" w:rsidRDefault="00366EAC">
      <w:pPr>
        <w:pStyle w:val="Zkladntext1"/>
        <w:numPr>
          <w:ilvl w:val="0"/>
          <w:numId w:val="4"/>
        </w:numPr>
        <w:shd w:val="clear" w:color="auto" w:fill="auto"/>
        <w:tabs>
          <w:tab w:val="left" w:pos="1062"/>
        </w:tabs>
        <w:ind w:firstLine="580"/>
      </w:pPr>
      <w:r>
        <w:t>datum vystavení Požadavku a číslo Požadavku,</w:t>
      </w:r>
    </w:p>
    <w:p w:rsidR="0032243C" w:rsidRDefault="00366EAC">
      <w:pPr>
        <w:pStyle w:val="Zkladntext1"/>
        <w:numPr>
          <w:ilvl w:val="0"/>
          <w:numId w:val="4"/>
        </w:numPr>
        <w:shd w:val="clear" w:color="auto" w:fill="auto"/>
        <w:tabs>
          <w:tab w:val="left" w:pos="1062"/>
        </w:tabs>
        <w:ind w:firstLine="580"/>
      </w:pPr>
      <w:r>
        <w:t>specifikaci Činností technické podpory,</w:t>
      </w:r>
    </w:p>
    <w:p w:rsidR="0032243C" w:rsidRDefault="00366EAC">
      <w:pPr>
        <w:pStyle w:val="Zkladntext1"/>
        <w:numPr>
          <w:ilvl w:val="0"/>
          <w:numId w:val="4"/>
        </w:numPr>
        <w:shd w:val="clear" w:color="auto" w:fill="auto"/>
        <w:tabs>
          <w:tab w:val="left" w:pos="1014"/>
        </w:tabs>
        <w:ind w:firstLine="580"/>
        <w:jc w:val="both"/>
      </w:pPr>
      <w:r>
        <w:t>Místo plnění,</w:t>
      </w:r>
    </w:p>
    <w:p w:rsidR="0032243C" w:rsidRDefault="00366EAC">
      <w:pPr>
        <w:pStyle w:val="Zkladntext1"/>
        <w:numPr>
          <w:ilvl w:val="0"/>
          <w:numId w:val="4"/>
        </w:numPr>
        <w:shd w:val="clear" w:color="auto" w:fill="auto"/>
        <w:tabs>
          <w:tab w:val="left" w:pos="1062"/>
        </w:tabs>
        <w:ind w:firstLine="580"/>
        <w:jc w:val="both"/>
      </w:pPr>
      <w:r>
        <w:t>Čas</w:t>
      </w:r>
      <w:r>
        <w:t xml:space="preserve"> plnění.</w:t>
      </w:r>
    </w:p>
    <w:p w:rsidR="0032243C" w:rsidRDefault="00366EAC">
      <w:pPr>
        <w:pStyle w:val="Zkladntext1"/>
        <w:numPr>
          <w:ilvl w:val="0"/>
          <w:numId w:val="3"/>
        </w:numPr>
        <w:shd w:val="clear" w:color="auto" w:fill="auto"/>
        <w:tabs>
          <w:tab w:val="left" w:pos="447"/>
        </w:tabs>
        <w:spacing w:after="480"/>
      </w:pPr>
      <w:r>
        <w:t>Požadavek je Objednatel oprávněn doručit Zhotoviteli kdykoli v průběhu účinnosti Smlouvy.</w:t>
      </w:r>
    </w:p>
    <w:p w:rsidR="0032243C" w:rsidRDefault="00366EAC">
      <w:pPr>
        <w:pStyle w:val="Zkladntext1"/>
        <w:numPr>
          <w:ilvl w:val="0"/>
          <w:numId w:val="1"/>
        </w:numPr>
        <w:shd w:val="clear" w:color="auto" w:fill="auto"/>
        <w:tabs>
          <w:tab w:val="left" w:pos="447"/>
        </w:tabs>
        <w:spacing w:line="25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Práva a povinnosti smluvních stran</w:t>
      </w:r>
    </w:p>
    <w:p w:rsidR="0032243C" w:rsidRDefault="00366EAC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ind w:left="440" w:hanging="440"/>
        <w:jc w:val="both"/>
      </w:pPr>
      <w:r>
        <w:t>Strany musí při realizaci Činností technické podpory jednat poctivě a s řádnou odbornou péčí, s potřebnou znalostí a pečli</w:t>
      </w:r>
      <w:r>
        <w:t>vostí. Strany musí vzájemně v dobré víře spolupracovat a poskytnout si maximální součinnost k dosažení účelu této Smlouvy. Řádnou odbornou péčí je provádění činnosti způsobem odborným, pečlivým, poctivým a na základě potřebných znalostí a schopností, které</w:t>
      </w:r>
      <w:r>
        <w:t xml:space="preserve"> lze očekávat od osoby se zkušenostmi na zakázce obdobného rozsahu, povahy a složitosti.</w:t>
      </w:r>
    </w:p>
    <w:p w:rsidR="0032243C" w:rsidRDefault="00366EAC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ind w:left="440" w:hanging="440"/>
        <w:jc w:val="both"/>
      </w:pPr>
      <w:r>
        <w:t>Zhotovitel je povinen spolupracovat při provádění Činností technické podpory s kontaktní osobou Objednatele, jakož i s dalšími odpovědnými pracovníky Objednatele.</w:t>
      </w:r>
    </w:p>
    <w:p w:rsidR="0032243C" w:rsidRDefault="00366EAC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ind w:left="440" w:hanging="440"/>
        <w:jc w:val="both"/>
      </w:pPr>
      <w:r>
        <w:t>Zhot</w:t>
      </w:r>
      <w:r>
        <w:t>ovitel musí provádět Činnosti technické podpory v rozsahu specifikovaném ve Smlouvě a v Požadavku. Musí přitom postupovat v souladu s touto Smlouvou, s právními předpisy, technickými normami a pokyny kontaktní osoby Objednatele.</w:t>
      </w:r>
    </w:p>
    <w:p w:rsidR="0032243C" w:rsidRDefault="00366EAC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ind w:left="440" w:hanging="440"/>
        <w:jc w:val="both"/>
      </w:pPr>
      <w:r>
        <w:t>Zhotovitel musí zajistit ve</w:t>
      </w:r>
      <w:r>
        <w:t>škeré práce a výstupy specifikované ve Smlouvě nebo Technickém zadání a zajistit jiné služby potřebné pro provedení Činností technické podpory.</w:t>
      </w:r>
    </w:p>
    <w:p w:rsidR="0032243C" w:rsidRDefault="00366EAC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ind w:left="440" w:hanging="440"/>
        <w:jc w:val="both"/>
      </w:pPr>
      <w:r>
        <w:t>Tam, kde to povaha realizovaných činností umožňuje, může Zhotovitel provádět Činnosti technické podpory formou v</w:t>
      </w:r>
      <w:r>
        <w:t>zdáleného přístupu.</w:t>
      </w:r>
    </w:p>
    <w:p w:rsidR="0032243C" w:rsidRDefault="00366EAC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ind w:left="440" w:hanging="440"/>
        <w:jc w:val="both"/>
      </w:pPr>
      <w:r>
        <w:t>Postupy realizace plnění, jejich přiměřenost a odbornost jsou odpovědností a rizikem Zhotovitele.</w:t>
      </w:r>
    </w:p>
    <w:p w:rsidR="0032243C" w:rsidRDefault="00366EAC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ind w:left="440" w:hanging="440"/>
        <w:jc w:val="both"/>
      </w:pPr>
      <w:r>
        <w:t>Dle ustanovení § 1765 občanského zákoníku na sebe Zhotovitel přebírá nebezpečí změny okolností.</w:t>
      </w:r>
    </w:p>
    <w:p w:rsidR="0032243C" w:rsidRDefault="00366EAC">
      <w:pPr>
        <w:pStyle w:val="Zkladntext1"/>
        <w:numPr>
          <w:ilvl w:val="0"/>
          <w:numId w:val="5"/>
        </w:numPr>
        <w:shd w:val="clear" w:color="auto" w:fill="auto"/>
        <w:tabs>
          <w:tab w:val="left" w:pos="414"/>
        </w:tabs>
        <w:spacing w:after="100"/>
        <w:ind w:left="380" w:hanging="380"/>
        <w:jc w:val="both"/>
      </w:pPr>
      <w:r>
        <w:t xml:space="preserve">Zhotovitel je v plné míře odpovědný za </w:t>
      </w:r>
      <w:r>
        <w:t>škody způsobené Objednateli nebo třetím stranám svojí činností nebo činností jiných osob, které k plnění podle této smlouvy použil. Zhotovitel je povinen mít po celou dobu trvání Smlouvy sjednané platné pojištění odpovědnosti za škodu způsobenou Zhotovitel</w:t>
      </w:r>
      <w:r>
        <w:t>em třetím osobám při výkonu podnikatelské činnosti v min. výši 1.000.000,- Kč. Zhotovitel je povinen na základě výzvy Objednatele předložit do 5 pracovních dnů pojistnou smlouvu nebo jiný obdobný doklad, ze kterého bude zřejmá existence takového pojištění.</w:t>
      </w:r>
    </w:p>
    <w:p w:rsidR="0032243C" w:rsidRDefault="00366EAC">
      <w:pPr>
        <w:pStyle w:val="Zkladntext1"/>
        <w:numPr>
          <w:ilvl w:val="0"/>
          <w:numId w:val="5"/>
        </w:numPr>
        <w:shd w:val="clear" w:color="auto" w:fill="auto"/>
        <w:tabs>
          <w:tab w:val="left" w:pos="414"/>
        </w:tabs>
        <w:spacing w:after="100"/>
        <w:ind w:left="380" w:hanging="380"/>
        <w:jc w:val="both"/>
      </w:pPr>
      <w:r>
        <w:t xml:space="preserve">Kontaktní osoba Objednatele může kontrolovat provádění Činností technické podpory. Zhotovitel musí bez zbytečného odkladu tuto kontrolu umožnit, poskytnout kontaktní osobě Objednatele při provádění kontroly nezbytnou součinnost a seznámit kontaktní osobu </w:t>
      </w:r>
      <w:r>
        <w:t>Objednatele s postupem provádění činností.</w:t>
      </w:r>
    </w:p>
    <w:p w:rsidR="0032243C" w:rsidRDefault="00366EAC">
      <w:pPr>
        <w:pStyle w:val="Zkladntext1"/>
        <w:numPr>
          <w:ilvl w:val="0"/>
          <w:numId w:val="5"/>
        </w:numPr>
        <w:shd w:val="clear" w:color="auto" w:fill="auto"/>
        <w:tabs>
          <w:tab w:val="left" w:pos="431"/>
        </w:tabs>
        <w:spacing w:after="100"/>
        <w:ind w:left="380" w:hanging="380"/>
        <w:jc w:val="both"/>
      </w:pPr>
      <w:r>
        <w:t>Zhotovitel musí kontaktní osobu Objednatele vyzvat ke kontrole vždy před každým dokončením příslušné Činnosti technické podpory, k níž byl vyzván na základě Požadavku, vyplývá-li to z povahy prováděných činností n</w:t>
      </w:r>
      <w:r>
        <w:t>ebo dohodnou-li se na tom kontaktní osoby Smluvních stran, případně se mohou dohodnout na konání zkoušek nezbytných pro ověření funkčnosti výsledku Činností technické podpory včetně toto, že se dohodnou na místu a času jejich konání.</w:t>
      </w:r>
    </w:p>
    <w:p w:rsidR="0032243C" w:rsidRDefault="00366EAC">
      <w:pPr>
        <w:pStyle w:val="Zkladntext1"/>
        <w:numPr>
          <w:ilvl w:val="0"/>
          <w:numId w:val="5"/>
        </w:numPr>
        <w:shd w:val="clear" w:color="auto" w:fill="auto"/>
        <w:tabs>
          <w:tab w:val="left" w:pos="431"/>
        </w:tabs>
        <w:spacing w:after="100"/>
        <w:ind w:left="380" w:hanging="380"/>
        <w:jc w:val="both"/>
      </w:pPr>
      <w:r>
        <w:lastRenderedPageBreak/>
        <w:t>Je-li to vhodné nebo v</w:t>
      </w:r>
      <w:r>
        <w:t>yplývá-li tak z povahy Činností technické podpory, sepíší Smluvní strany o řádném provedení a předání plnění předávací protokol.</w:t>
      </w:r>
    </w:p>
    <w:p w:rsidR="0032243C" w:rsidRDefault="00366EAC">
      <w:pPr>
        <w:pStyle w:val="Zkladntext1"/>
        <w:numPr>
          <w:ilvl w:val="0"/>
          <w:numId w:val="5"/>
        </w:numPr>
        <w:shd w:val="clear" w:color="auto" w:fill="auto"/>
        <w:tabs>
          <w:tab w:val="left" w:pos="431"/>
        </w:tabs>
        <w:spacing w:after="480"/>
        <w:ind w:left="380" w:hanging="380"/>
        <w:jc w:val="both"/>
      </w:pPr>
      <w:r>
        <w:t>Zhotovitel není oprávněn postoupit práva a povinnosti vzniklé z této Smlouvy nebo v souvislosti s ní, případně postoupit Smlouv</w:t>
      </w:r>
      <w:r>
        <w:t>u jako celek, třetí osobě nebo jiným osobám bez předchozího písemného souhlasu Objednatele.</w:t>
      </w:r>
    </w:p>
    <w:p w:rsidR="0032243C" w:rsidRDefault="00366EAC">
      <w:pPr>
        <w:pStyle w:val="Zkladntext1"/>
        <w:numPr>
          <w:ilvl w:val="0"/>
          <w:numId w:val="1"/>
        </w:numPr>
        <w:shd w:val="clear" w:color="auto" w:fill="auto"/>
        <w:tabs>
          <w:tab w:val="left" w:pos="610"/>
        </w:tabs>
        <w:spacing w:after="100" w:line="25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Doba plnění</w:t>
      </w:r>
    </w:p>
    <w:p w:rsidR="0032243C" w:rsidRDefault="00366EAC">
      <w:pPr>
        <w:pStyle w:val="Zkladntext1"/>
        <w:numPr>
          <w:ilvl w:val="0"/>
          <w:numId w:val="6"/>
        </w:numPr>
        <w:shd w:val="clear" w:color="auto" w:fill="auto"/>
        <w:tabs>
          <w:tab w:val="left" w:pos="414"/>
        </w:tabs>
        <w:spacing w:after="100"/>
        <w:ind w:left="440" w:hanging="440"/>
        <w:jc w:val="both"/>
      </w:pPr>
      <w:r>
        <w:t>Zhotovitel se zavazuje provádět Činnosti technické podpory ihned po nabytí účinnosti Smlouvy po celou dobu trvání Smlouvy.</w:t>
      </w:r>
    </w:p>
    <w:p w:rsidR="0032243C" w:rsidRDefault="00366EAC">
      <w:pPr>
        <w:pStyle w:val="Zkladntext1"/>
        <w:numPr>
          <w:ilvl w:val="0"/>
          <w:numId w:val="6"/>
        </w:numPr>
        <w:shd w:val="clear" w:color="auto" w:fill="auto"/>
        <w:tabs>
          <w:tab w:val="left" w:pos="414"/>
        </w:tabs>
        <w:spacing w:after="100"/>
        <w:ind w:left="440" w:hanging="440"/>
        <w:jc w:val="both"/>
      </w:pPr>
      <w:r>
        <w:t>Zhotovitel je povinen nejpozd</w:t>
      </w:r>
      <w:r>
        <w:t xml:space="preserve">ěji do 10 dnů ode dne zadání Požadavku Objednatele na migraci určeného pracoviště předložit Objednateli časový a operační plán migrace do centrální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(v elektronické verzi v editovatelné podobě), který bude obsahovat zejména:</w:t>
      </w:r>
    </w:p>
    <w:p w:rsidR="0032243C" w:rsidRDefault="00366EAC">
      <w:pPr>
        <w:pStyle w:val="Zkladntext1"/>
        <w:shd w:val="clear" w:color="auto" w:fill="auto"/>
        <w:spacing w:after="100"/>
        <w:ind w:left="580" w:firstLine="20"/>
        <w:jc w:val="both"/>
      </w:pPr>
      <w:r>
        <w:t>- zajištění pří</w:t>
      </w:r>
      <w:r>
        <w:t>pravy serverového prostředí, postup migrace jednotlivých objektů určených pro migraci a jejich načasování, požadavky na součinnost Objednatele (dále jen „Časový plán“). Načasování je odpovědností a rizikem Zhotovitele.</w:t>
      </w:r>
    </w:p>
    <w:p w:rsidR="0032243C" w:rsidRDefault="00366EAC">
      <w:pPr>
        <w:pStyle w:val="Zkladntext1"/>
        <w:numPr>
          <w:ilvl w:val="0"/>
          <w:numId w:val="6"/>
        </w:numPr>
        <w:shd w:val="clear" w:color="auto" w:fill="auto"/>
        <w:tabs>
          <w:tab w:val="left" w:pos="414"/>
        </w:tabs>
        <w:spacing w:after="100"/>
        <w:ind w:left="440" w:hanging="440"/>
        <w:jc w:val="both"/>
      </w:pPr>
      <w:r>
        <w:t xml:space="preserve">Objednatel je oprávněn uplatnit k </w:t>
      </w:r>
      <w:r>
        <w:t>Časovému plánu připomínky do 5 pracovních dnů od jejich předložení, které je Zhotovitel povinen do plánu zapracovat.</w:t>
      </w:r>
    </w:p>
    <w:p w:rsidR="0032243C" w:rsidRDefault="00366EAC">
      <w:pPr>
        <w:pStyle w:val="Zkladntext1"/>
        <w:numPr>
          <w:ilvl w:val="0"/>
          <w:numId w:val="6"/>
        </w:numPr>
        <w:shd w:val="clear" w:color="auto" w:fill="auto"/>
        <w:tabs>
          <w:tab w:val="left" w:pos="414"/>
        </w:tabs>
        <w:spacing w:after="100"/>
        <w:ind w:left="440" w:hanging="440"/>
        <w:jc w:val="both"/>
      </w:pPr>
      <w:r>
        <w:t>Zhotovitel musí postupovat ve shodě s tímto Časovým plánem a ve shodě s Požadavky Objednatele.</w:t>
      </w:r>
    </w:p>
    <w:p w:rsidR="0032243C" w:rsidRDefault="00366EAC">
      <w:pPr>
        <w:pStyle w:val="Zkladntext1"/>
        <w:numPr>
          <w:ilvl w:val="0"/>
          <w:numId w:val="6"/>
        </w:numPr>
        <w:shd w:val="clear" w:color="auto" w:fill="auto"/>
        <w:tabs>
          <w:tab w:val="left" w:pos="414"/>
        </w:tabs>
        <w:spacing w:after="60"/>
        <w:ind w:left="380" w:hanging="380"/>
        <w:jc w:val="both"/>
      </w:pPr>
      <w:r>
        <w:t>Po dobu migrace realizované Objednatelem kaž</w:t>
      </w:r>
      <w:r>
        <w:t xml:space="preserve">dého jednotlivého pracoviště zajišťuje Zhotovitel Činnosti technické podpory při migraci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(„AD“). Zhotovitele je povinen v této fázi operativně řešit technické problémy vzniklé v rámci migrace objektů, např. následující situace:</w:t>
      </w:r>
    </w:p>
    <w:p w:rsidR="0032243C" w:rsidRDefault="00366EAC">
      <w:pPr>
        <w:pStyle w:val="Zkladntext1"/>
        <w:numPr>
          <w:ilvl w:val="0"/>
          <w:numId w:val="7"/>
        </w:numPr>
        <w:shd w:val="clear" w:color="auto" w:fill="auto"/>
        <w:tabs>
          <w:tab w:val="left" w:pos="1002"/>
        </w:tabs>
        <w:spacing w:after="100" w:line="166" w:lineRule="auto"/>
        <w:ind w:firstLine="580"/>
        <w:jc w:val="both"/>
      </w:pPr>
      <w:r>
        <w:t>Nekonzisten</w:t>
      </w:r>
      <w:r>
        <w:t xml:space="preserve">tní stav na </w:t>
      </w:r>
      <w:proofErr w:type="spellStart"/>
      <w:r>
        <w:t>zmigrovaných</w:t>
      </w:r>
      <w:proofErr w:type="spellEnd"/>
      <w:r>
        <w:t xml:space="preserve"> stanicích</w:t>
      </w:r>
    </w:p>
    <w:p w:rsidR="0032243C" w:rsidRDefault="00366EAC">
      <w:pPr>
        <w:pStyle w:val="Zkladntext1"/>
        <w:numPr>
          <w:ilvl w:val="0"/>
          <w:numId w:val="7"/>
        </w:numPr>
        <w:shd w:val="clear" w:color="auto" w:fill="auto"/>
        <w:tabs>
          <w:tab w:val="left" w:pos="1002"/>
        </w:tabs>
        <w:spacing w:after="100" w:line="166" w:lineRule="auto"/>
        <w:ind w:firstLine="580"/>
        <w:jc w:val="both"/>
      </w:pPr>
      <w:r>
        <w:t>Chybné nastavení v migračních serverech</w:t>
      </w:r>
    </w:p>
    <w:p w:rsidR="0032243C" w:rsidRDefault="00366EAC">
      <w:pPr>
        <w:pStyle w:val="Zkladntext1"/>
        <w:numPr>
          <w:ilvl w:val="0"/>
          <w:numId w:val="7"/>
        </w:numPr>
        <w:shd w:val="clear" w:color="auto" w:fill="auto"/>
        <w:tabs>
          <w:tab w:val="left" w:pos="1002"/>
        </w:tabs>
        <w:spacing w:after="100" w:line="166" w:lineRule="auto"/>
        <w:ind w:firstLine="580"/>
        <w:jc w:val="both"/>
      </w:pPr>
      <w:r>
        <w:t>Chybné nastavení v nových skupinových politikách</w:t>
      </w:r>
    </w:p>
    <w:p w:rsidR="0032243C" w:rsidRDefault="00366EAC">
      <w:pPr>
        <w:pStyle w:val="Zkladntext1"/>
        <w:numPr>
          <w:ilvl w:val="0"/>
          <w:numId w:val="7"/>
        </w:numPr>
        <w:shd w:val="clear" w:color="auto" w:fill="auto"/>
        <w:tabs>
          <w:tab w:val="left" w:pos="1002"/>
        </w:tabs>
        <w:spacing w:after="60" w:line="166" w:lineRule="auto"/>
        <w:ind w:firstLine="580"/>
      </w:pPr>
      <w:r>
        <w:t xml:space="preserve">Chybné nastavení v nových objektech </w:t>
      </w:r>
      <w:r>
        <w:rPr>
          <w:lang w:val="en-US" w:eastAsia="en-US" w:bidi="en-US"/>
        </w:rPr>
        <w:t xml:space="preserve">Active Directory, </w:t>
      </w:r>
      <w:r>
        <w:t>vzniklých během migrace</w:t>
      </w:r>
    </w:p>
    <w:p w:rsidR="0032243C" w:rsidRDefault="00366EAC">
      <w:pPr>
        <w:pStyle w:val="Zkladntext1"/>
        <w:numPr>
          <w:ilvl w:val="0"/>
          <w:numId w:val="7"/>
        </w:numPr>
        <w:shd w:val="clear" w:color="auto" w:fill="auto"/>
        <w:tabs>
          <w:tab w:val="left" w:pos="1002"/>
        </w:tabs>
        <w:spacing w:after="100" w:line="209" w:lineRule="auto"/>
        <w:ind w:left="1020" w:hanging="420"/>
        <w:jc w:val="both"/>
      </w:pPr>
      <w:r>
        <w:t xml:space="preserve">Jiné neočekávané stavy vzniklé během migrace, které s </w:t>
      </w:r>
      <w:r>
        <w:t>ním mají z pohledu zadavatele souvislost</w:t>
      </w:r>
    </w:p>
    <w:p w:rsidR="0032243C" w:rsidRDefault="00366EAC">
      <w:pPr>
        <w:pStyle w:val="Zkladntext1"/>
        <w:numPr>
          <w:ilvl w:val="0"/>
          <w:numId w:val="6"/>
        </w:numPr>
        <w:shd w:val="clear" w:color="auto" w:fill="auto"/>
        <w:tabs>
          <w:tab w:val="left" w:pos="394"/>
        </w:tabs>
        <w:spacing w:after="0"/>
        <w:jc w:val="both"/>
      </w:pPr>
      <w:r>
        <w:t>Jednotlivé vzniklé situace jsou definovány důležitostí/dopadem na tři úrovně:</w:t>
      </w:r>
    </w:p>
    <w:p w:rsidR="0032243C" w:rsidRDefault="00366EAC">
      <w:pPr>
        <w:pStyle w:val="Zkladntext1"/>
        <w:numPr>
          <w:ilvl w:val="0"/>
          <w:numId w:val="7"/>
        </w:numPr>
        <w:shd w:val="clear" w:color="auto" w:fill="auto"/>
        <w:tabs>
          <w:tab w:val="left" w:pos="1030"/>
        </w:tabs>
        <w:spacing w:after="0" w:line="228" w:lineRule="auto"/>
        <w:ind w:left="1020" w:hanging="420"/>
        <w:jc w:val="both"/>
      </w:pPr>
      <w:r>
        <w:t xml:space="preserve">Kritická - za kritickou úroveň se považuje stav celkové nefunkčnosti prostředí </w:t>
      </w:r>
      <w:proofErr w:type="spellStart"/>
      <w:r w:rsidRPr="00324F69">
        <w:rPr>
          <w:lang w:eastAsia="en-US" w:bidi="en-US"/>
        </w:rPr>
        <w:t>Active</w:t>
      </w:r>
      <w:proofErr w:type="spellEnd"/>
      <w:r w:rsidRPr="00324F69">
        <w:rPr>
          <w:lang w:eastAsia="en-US" w:bidi="en-US"/>
        </w:rPr>
        <w:t xml:space="preserve"> </w:t>
      </w:r>
      <w:proofErr w:type="spellStart"/>
      <w:r w:rsidRPr="00324F69">
        <w:rPr>
          <w:lang w:eastAsia="en-US" w:bidi="en-US"/>
        </w:rPr>
        <w:t>Directory</w:t>
      </w:r>
      <w:proofErr w:type="spellEnd"/>
      <w:r w:rsidRPr="00324F69">
        <w:rPr>
          <w:lang w:eastAsia="en-US" w:bidi="en-US"/>
        </w:rPr>
        <w:t xml:space="preserve"> nebo </w:t>
      </w:r>
      <w:r>
        <w:t xml:space="preserve">nemožnosti využívat </w:t>
      </w:r>
      <w:r w:rsidRPr="00324F69">
        <w:rPr>
          <w:lang w:eastAsia="en-US" w:bidi="en-US"/>
        </w:rPr>
        <w:t xml:space="preserve">jeho </w:t>
      </w:r>
      <w:r>
        <w:t xml:space="preserve">klíčové </w:t>
      </w:r>
      <w:r w:rsidRPr="00324F69">
        <w:rPr>
          <w:lang w:eastAsia="en-US" w:bidi="en-US"/>
        </w:rPr>
        <w:t xml:space="preserve">funkcionality </w:t>
      </w:r>
      <w:r>
        <w:t xml:space="preserve">nadpolovičním počtem uživatelů dané </w:t>
      </w:r>
      <w:r w:rsidRPr="00324F69">
        <w:rPr>
          <w:lang w:eastAsia="en-US" w:bidi="en-US"/>
        </w:rPr>
        <w:t>lokality</w:t>
      </w:r>
    </w:p>
    <w:p w:rsidR="0032243C" w:rsidRDefault="00366EAC">
      <w:pPr>
        <w:pStyle w:val="Zkladntext1"/>
        <w:numPr>
          <w:ilvl w:val="0"/>
          <w:numId w:val="7"/>
        </w:numPr>
        <w:shd w:val="clear" w:color="auto" w:fill="auto"/>
        <w:tabs>
          <w:tab w:val="left" w:pos="1030"/>
        </w:tabs>
        <w:spacing w:after="0" w:line="209" w:lineRule="auto"/>
        <w:ind w:left="1020" w:hanging="420"/>
        <w:jc w:val="both"/>
      </w:pPr>
      <w:r>
        <w:t xml:space="preserve">Významná - za významnou úroveň se považuje stav, kdy je omezena část funkcionalit prostředí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s dopadem na méně než polovinu uživatelů dané lokality</w:t>
      </w:r>
    </w:p>
    <w:p w:rsidR="0032243C" w:rsidRDefault="00366EAC">
      <w:pPr>
        <w:pStyle w:val="Zkladntext1"/>
        <w:numPr>
          <w:ilvl w:val="0"/>
          <w:numId w:val="7"/>
        </w:numPr>
        <w:shd w:val="clear" w:color="auto" w:fill="auto"/>
        <w:tabs>
          <w:tab w:val="left" w:pos="1030"/>
        </w:tabs>
        <w:spacing w:line="228" w:lineRule="auto"/>
        <w:ind w:left="1020" w:hanging="420"/>
        <w:jc w:val="both"/>
      </w:pPr>
      <w:r>
        <w:t xml:space="preserve">Normální - za normální úroveň se </w:t>
      </w:r>
      <w:r>
        <w:t>považuje stav, při kterém nedochází k přímému omezení činnosti uživatelů, anebo je možné pro řešení daného technického problému použít dočasně náhradní postup.</w:t>
      </w:r>
    </w:p>
    <w:p w:rsidR="0032243C" w:rsidRDefault="00366EAC">
      <w:pPr>
        <w:pStyle w:val="Zkladntext1"/>
        <w:shd w:val="clear" w:color="auto" w:fill="auto"/>
        <w:ind w:left="1020"/>
        <w:jc w:val="both"/>
      </w:pPr>
      <w:r>
        <w:t xml:space="preserve">Pro hlášení vzniklých situací dle jednotlivých kategorií a pro komunikaci ohledně jejich řešení </w:t>
      </w:r>
      <w:r>
        <w:t>budou využity emaily kontaktních osob, nedohodnou-li se strany jinak.</w:t>
      </w:r>
    </w:p>
    <w:p w:rsidR="0032243C" w:rsidRDefault="00366EAC">
      <w:pPr>
        <w:pStyle w:val="Zkladntext1"/>
        <w:numPr>
          <w:ilvl w:val="0"/>
          <w:numId w:val="6"/>
        </w:numPr>
        <w:shd w:val="clear" w:color="auto" w:fill="auto"/>
        <w:tabs>
          <w:tab w:val="left" w:pos="394"/>
        </w:tabs>
        <w:jc w:val="both"/>
      </w:pPr>
      <w:r>
        <w:t>Zhotovitel je povinen k jednotlivým kategoriím situací přistupovat následně:</w:t>
      </w:r>
    </w:p>
    <w:p w:rsidR="0032243C" w:rsidRDefault="00366EAC">
      <w:pPr>
        <w:pStyle w:val="Zkladntext1"/>
        <w:numPr>
          <w:ilvl w:val="1"/>
          <w:numId w:val="6"/>
        </w:numPr>
        <w:shd w:val="clear" w:color="auto" w:fill="auto"/>
        <w:tabs>
          <w:tab w:val="left" w:pos="1094"/>
        </w:tabs>
        <w:ind w:left="880" w:hanging="280"/>
        <w:jc w:val="both"/>
      </w:pPr>
      <w:r>
        <w:t>Kritická událost bude vyřešena (resp. budou odstraněny její dopady) maximálně do 4 hodin (v rámci stanovené p</w:t>
      </w:r>
      <w:r>
        <w:t>racovní doby 8:00 hod až 16:00 hodin).</w:t>
      </w:r>
    </w:p>
    <w:p w:rsidR="0032243C" w:rsidRDefault="00366EAC">
      <w:pPr>
        <w:pStyle w:val="Zkladntext1"/>
        <w:numPr>
          <w:ilvl w:val="1"/>
          <w:numId w:val="6"/>
        </w:numPr>
        <w:shd w:val="clear" w:color="auto" w:fill="auto"/>
        <w:tabs>
          <w:tab w:val="left" w:pos="1094"/>
        </w:tabs>
        <w:ind w:left="880" w:hanging="280"/>
        <w:jc w:val="both"/>
      </w:pPr>
      <w:r>
        <w:t>Významná událost bude vyřešena (resp. budou odstraněny její dopady) maximálně do následujícího pracovního dne (v rámci stanovené pracovní doby 8:00 hod až 16:00 hodin).</w:t>
      </w:r>
    </w:p>
    <w:p w:rsidR="0032243C" w:rsidRDefault="00366EAC">
      <w:pPr>
        <w:pStyle w:val="Zkladntext1"/>
        <w:numPr>
          <w:ilvl w:val="1"/>
          <w:numId w:val="6"/>
        </w:numPr>
        <w:shd w:val="clear" w:color="auto" w:fill="auto"/>
        <w:tabs>
          <w:tab w:val="left" w:pos="1094"/>
        </w:tabs>
        <w:spacing w:after="480"/>
        <w:ind w:left="880" w:hanging="280"/>
        <w:jc w:val="both"/>
      </w:pPr>
      <w:r>
        <w:t xml:space="preserve">Normální událost bude vyřešena (resp. budou </w:t>
      </w:r>
      <w:r>
        <w:t>odstraněny její dopady) maximálně do tří pracovních dnů od nahlášení.</w:t>
      </w:r>
    </w:p>
    <w:p w:rsidR="0032243C" w:rsidRDefault="00366EAC">
      <w:pPr>
        <w:pStyle w:val="Zkladntext1"/>
        <w:numPr>
          <w:ilvl w:val="0"/>
          <w:numId w:val="1"/>
        </w:numPr>
        <w:shd w:val="clear" w:color="auto" w:fill="auto"/>
        <w:tabs>
          <w:tab w:val="left" w:pos="552"/>
        </w:tabs>
        <w:spacing w:line="25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Odměna a platební podmínky</w:t>
      </w:r>
    </w:p>
    <w:p w:rsidR="0032243C" w:rsidRDefault="00366EAC">
      <w:pPr>
        <w:pStyle w:val="Zkladntext1"/>
        <w:numPr>
          <w:ilvl w:val="0"/>
          <w:numId w:val="8"/>
        </w:numPr>
        <w:shd w:val="clear" w:color="auto" w:fill="auto"/>
        <w:tabs>
          <w:tab w:val="left" w:pos="394"/>
        </w:tabs>
        <w:ind w:left="380" w:hanging="380"/>
        <w:jc w:val="both"/>
      </w:pPr>
      <w:r>
        <w:t xml:space="preserve">Odměna Zhotovitele je stanovena na základě ocenění denní sazby, tzv. </w:t>
      </w:r>
      <w:proofErr w:type="spellStart"/>
      <w:r>
        <w:t>Manday</w:t>
      </w:r>
      <w:proofErr w:type="spellEnd"/>
      <w:r>
        <w:t xml:space="preserve"> („MD“ = 8 hodin práce jednoho </w:t>
      </w:r>
      <w:r>
        <w:lastRenderedPageBreak/>
        <w:t>pracovníka) dle přílohy č. 2: Rozpočet. Odměna k úhra</w:t>
      </w:r>
      <w:r>
        <w:t>dě za provedené Činnosti technické podpory bude stanovena dle skutečně provedeného rozsahu činností ve shodě s Požadavky Objednatele v souladu s jejich oceněním dle přílohy č. 2 Smlouvy.</w:t>
      </w:r>
    </w:p>
    <w:p w:rsidR="0032243C" w:rsidRDefault="00366EAC">
      <w:pPr>
        <w:pStyle w:val="Zkladntext1"/>
        <w:numPr>
          <w:ilvl w:val="0"/>
          <w:numId w:val="8"/>
        </w:numPr>
        <w:shd w:val="clear" w:color="auto" w:fill="auto"/>
        <w:tabs>
          <w:tab w:val="left" w:pos="394"/>
        </w:tabs>
        <w:jc w:val="both"/>
      </w:pPr>
      <w:r>
        <w:t>Předpokládaný rozsah plnění je stanoven na 39 MD. Objednatel není pov</w:t>
      </w:r>
      <w:r>
        <w:t>inen vyčerpat celý předpokládaný rozsah plnění a nezavazuje se tedy k žádnému minimálnímu objemu plnění. Zhotovitel není oprávněn požadovat náhradu škody či ušlého zisku v případě, že nebude naplněn předpokládaný rozsah plnění v průběhu trvání Smlouvy.</w:t>
      </w:r>
    </w:p>
    <w:p w:rsidR="0032243C" w:rsidRDefault="00366EAC">
      <w:pPr>
        <w:pStyle w:val="Zkladntext1"/>
        <w:numPr>
          <w:ilvl w:val="0"/>
          <w:numId w:val="8"/>
        </w:numPr>
        <w:shd w:val="clear" w:color="auto" w:fill="auto"/>
        <w:tabs>
          <w:tab w:val="left" w:pos="394"/>
        </w:tabs>
        <w:ind w:left="460" w:hanging="460"/>
        <w:jc w:val="both"/>
      </w:pPr>
      <w:r>
        <w:t>Jed</w:t>
      </w:r>
      <w:r>
        <w:t>notkové ceny uvedené v příloze č. 2 Smlouvy jsou sjednány dohodou Smluvních stran podle zákona č. 526/1990 Sb., o cenách, ve znění pozdějších předpisů, a jsou cenami maximálními a nepřekročitelnými, které zahrnují veškeré náklady spojené s prováděním činno</w:t>
      </w:r>
      <w:r>
        <w:t>stí dle Smlouvy, zejm. přiměřený zisk Zhotovitele, režijní náklady, náklady včetně dopravy do Místa plnění aj.</w:t>
      </w:r>
    </w:p>
    <w:p w:rsidR="0032243C" w:rsidRDefault="00366EAC">
      <w:pPr>
        <w:pStyle w:val="Zkladntext1"/>
        <w:numPr>
          <w:ilvl w:val="0"/>
          <w:numId w:val="8"/>
        </w:numPr>
        <w:shd w:val="clear" w:color="auto" w:fill="auto"/>
        <w:tabs>
          <w:tab w:val="left" w:pos="394"/>
        </w:tabs>
        <w:ind w:left="460" w:hanging="460"/>
        <w:jc w:val="both"/>
      </w:pPr>
      <w:r>
        <w:t xml:space="preserve">Zhotovitel prohlašuje, že je plátcem DPH. K odměně bude připočítána DPH v zákonem stanovené výši ke dni uskutečnění zdanitelného plnění. </w:t>
      </w:r>
      <w:r>
        <w:t>Jednotkové ceny je možné měnit v případě legislativní změny sazby DPH, a to o výši této legislativní změny sazby.</w:t>
      </w:r>
    </w:p>
    <w:p w:rsidR="0032243C" w:rsidRDefault="00366EAC">
      <w:pPr>
        <w:pStyle w:val="Zkladntext1"/>
        <w:numPr>
          <w:ilvl w:val="0"/>
          <w:numId w:val="8"/>
        </w:numPr>
        <w:shd w:val="clear" w:color="auto" w:fill="auto"/>
        <w:tabs>
          <w:tab w:val="left" w:pos="394"/>
        </w:tabs>
        <w:jc w:val="both"/>
      </w:pPr>
      <w:r>
        <w:t>Objednatel neposkytuje zálohy na odměnu.</w:t>
      </w:r>
    </w:p>
    <w:p w:rsidR="0032243C" w:rsidRDefault="00366EAC">
      <w:pPr>
        <w:pStyle w:val="Zkladntext1"/>
        <w:numPr>
          <w:ilvl w:val="0"/>
          <w:numId w:val="8"/>
        </w:numPr>
        <w:shd w:val="clear" w:color="auto" w:fill="auto"/>
        <w:tabs>
          <w:tab w:val="left" w:pos="394"/>
        </w:tabs>
        <w:ind w:left="380" w:hanging="380"/>
        <w:jc w:val="both"/>
      </w:pPr>
      <w:r>
        <w:t>Smluvní strany výslovně utvrzují, že na základě Smlouvy bez konkrétního Požadavku Objednatele nevznik</w:t>
      </w:r>
      <w:r>
        <w:t>á Zhotoviteli právo na jakoukoli úplatu.</w:t>
      </w:r>
    </w:p>
    <w:p w:rsidR="0032243C" w:rsidRDefault="00366EAC">
      <w:pPr>
        <w:pStyle w:val="Zkladntext1"/>
        <w:numPr>
          <w:ilvl w:val="0"/>
          <w:numId w:val="8"/>
        </w:numPr>
        <w:shd w:val="clear" w:color="auto" w:fill="auto"/>
        <w:tabs>
          <w:tab w:val="left" w:pos="394"/>
        </w:tabs>
        <w:ind w:left="380" w:hanging="380"/>
        <w:jc w:val="both"/>
      </w:pPr>
      <w:r>
        <w:t>Odměna za Činnosti technické podpory bude Objednateli účtována jednou ročně po jejich řádném provedení.</w:t>
      </w:r>
    </w:p>
    <w:p w:rsidR="0032243C" w:rsidRDefault="00366EAC">
      <w:pPr>
        <w:pStyle w:val="Zkladntext1"/>
        <w:numPr>
          <w:ilvl w:val="0"/>
          <w:numId w:val="8"/>
        </w:numPr>
        <w:shd w:val="clear" w:color="auto" w:fill="auto"/>
        <w:tabs>
          <w:tab w:val="left" w:pos="394"/>
        </w:tabs>
        <w:ind w:left="380" w:hanging="380"/>
        <w:jc w:val="both"/>
      </w:pPr>
      <w:r>
        <w:t>Faktura musí mít náležitosti daňového dokladu dle § 28 zákona č. 235/2004 Sb., o dani z přidané hodnoty, ve zně</w:t>
      </w:r>
      <w:r>
        <w:t>ní pozdějších předpisů (dále jen „faktura“). Odměna bude hrazena vždy jednou ročně zpětně na základě faktury vystavené Zhotovitelem za příslušný kalendářní rok a musí být doručena Objednateli nejpozději do 15. prosince příslušného kalendářního roku. Podkla</w:t>
      </w:r>
      <w:r>
        <w:t>dem pro vystavení faktury budou písemné čtvrtletní přehledy připravené Zhotovitelem provedených činností a odsouhlasených kontaktní osobou Objednatele.</w:t>
      </w:r>
    </w:p>
    <w:p w:rsidR="0032243C" w:rsidRDefault="00366EAC">
      <w:pPr>
        <w:pStyle w:val="Zkladntext1"/>
        <w:numPr>
          <w:ilvl w:val="0"/>
          <w:numId w:val="8"/>
        </w:numPr>
        <w:shd w:val="clear" w:color="auto" w:fill="auto"/>
        <w:tabs>
          <w:tab w:val="left" w:pos="431"/>
        </w:tabs>
        <w:ind w:left="380" w:hanging="380"/>
        <w:jc w:val="both"/>
      </w:pPr>
      <w:r>
        <w:t xml:space="preserve">Nebude-li faktura obsahovat některou povinnou nebo dohodnutou náležitost nebo bude chybně vyúčtována </w:t>
      </w:r>
      <w:r>
        <w:t>odměna nebo DPH nebo budou vyúčtovány činnosti, které Zhotovitel neprovedl, je Objednatel oprávněn fakturu před uplynutím lhůty splatnosti vrátit druhé smluvní straně k provedení opravy s vyznačením důvodu vrácení. Zhotovitel provede opravu vystavením nové</w:t>
      </w:r>
      <w:r>
        <w:t xml:space="preserve"> faktury. Dnem odeslání vadné faktury Zhotoviteli přestává běžet původní lhůta splatnosti a nová lhůta splatnosti běží znovu ode dne doručení nové faktury Objednateli.</w:t>
      </w:r>
    </w:p>
    <w:p w:rsidR="0032243C" w:rsidRDefault="00366EAC">
      <w:pPr>
        <w:pStyle w:val="Zkladntext1"/>
        <w:numPr>
          <w:ilvl w:val="0"/>
          <w:numId w:val="8"/>
        </w:numPr>
        <w:shd w:val="clear" w:color="auto" w:fill="auto"/>
        <w:tabs>
          <w:tab w:val="left" w:pos="431"/>
        </w:tabs>
        <w:ind w:left="380" w:hanging="380"/>
        <w:jc w:val="both"/>
      </w:pPr>
      <w:r>
        <w:t>Lhůta splatnosti faktury činí 30 kalendářních dnů ode dne jejího doručení Objednateli. S</w:t>
      </w:r>
      <w:r>
        <w:t>tejná lhůta splatnosti platí i při placení jiných plateb (smluvních pokut, úroků z prodlení, náhrady škody apod.). Povinnost zaplatit odměnu je splněna dnem odepsání příslušné částky z účtu Objednatele.</w:t>
      </w:r>
    </w:p>
    <w:p w:rsidR="0032243C" w:rsidRDefault="00366EAC">
      <w:pPr>
        <w:pStyle w:val="Zkladntext1"/>
        <w:numPr>
          <w:ilvl w:val="0"/>
          <w:numId w:val="8"/>
        </w:numPr>
        <w:shd w:val="clear" w:color="auto" w:fill="auto"/>
        <w:tabs>
          <w:tab w:val="left" w:pos="431"/>
        </w:tabs>
        <w:ind w:left="380" w:hanging="380"/>
        <w:jc w:val="both"/>
      </w:pPr>
      <w:r>
        <w:t>Zhotovitel prohlašuje, že ke dni podpisu Smlouvy není</w:t>
      </w:r>
      <w:r>
        <w:t xml:space="preserve"> nespolehlivým plátcem DPH dle § 106 zákona č. 235/2004 Sb., o dani z přidané hodnoty, v platném znění, a není veden v registru nespolehlivých plátců DPH.</w:t>
      </w:r>
    </w:p>
    <w:p w:rsidR="0032243C" w:rsidRDefault="00366EAC">
      <w:pPr>
        <w:pStyle w:val="Zkladntext1"/>
        <w:numPr>
          <w:ilvl w:val="0"/>
          <w:numId w:val="8"/>
        </w:numPr>
        <w:shd w:val="clear" w:color="auto" w:fill="auto"/>
        <w:tabs>
          <w:tab w:val="left" w:pos="431"/>
        </w:tabs>
        <w:spacing w:after="480"/>
        <w:ind w:left="380" w:hanging="380"/>
        <w:jc w:val="both"/>
      </w:pPr>
      <w:r>
        <w:t xml:space="preserve">Objednatel je oprávněn provést zajišťovací úhradu DPH na účet příslušného finančního úřadu, jestliže </w:t>
      </w:r>
      <w:r>
        <w:t>se Zhotovitel stane ke dni uskutečnění zdanitelného plnění nespolehlivým plátcem dle zákona o dani z přidané hodnoty. Zhotovitel se dále zavazuje uvádět pro účely bezhotovostního převodu pouze účet či účty, které jsou správcem daně zveřejněny způsobem umož</w:t>
      </w:r>
      <w:r>
        <w:t>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</w:t>
      </w:r>
      <w:r>
        <w:t>dy tato skutečnost nastala) na email Objednatele uvedený v záhlaví této smlouvy.</w:t>
      </w:r>
    </w:p>
    <w:p w:rsidR="0032243C" w:rsidRDefault="00366EAC">
      <w:pPr>
        <w:pStyle w:val="Zkladntext1"/>
        <w:numPr>
          <w:ilvl w:val="0"/>
          <w:numId w:val="1"/>
        </w:numPr>
        <w:shd w:val="clear" w:color="auto" w:fill="auto"/>
        <w:tabs>
          <w:tab w:val="left" w:pos="580"/>
        </w:tabs>
        <w:spacing w:line="25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Ochrana důvěrných informací</w:t>
      </w:r>
    </w:p>
    <w:p w:rsidR="0032243C" w:rsidRDefault="00366EAC">
      <w:pPr>
        <w:pStyle w:val="Zkladntext1"/>
        <w:numPr>
          <w:ilvl w:val="0"/>
          <w:numId w:val="9"/>
        </w:numPr>
        <w:shd w:val="clear" w:color="auto" w:fill="auto"/>
        <w:tabs>
          <w:tab w:val="left" w:pos="580"/>
        </w:tabs>
        <w:ind w:left="580" w:hanging="580"/>
        <w:jc w:val="both"/>
      </w:pPr>
      <w:r>
        <w:t>Veškeré skutečnosti obchodní, ekonomické a technické povahy související se Smluvními stranami, které nejsou běžně dostupné v obchodních kruzích a s</w:t>
      </w:r>
      <w:r>
        <w:t>e kterými se Smluvní strany seznámí při realizaci předmětu Smlouvy nebo v souvislosti s touto Smlouvou se považují za důvěrné informace.</w:t>
      </w:r>
    </w:p>
    <w:p w:rsidR="0032243C" w:rsidRDefault="00366EAC">
      <w:pPr>
        <w:pStyle w:val="Zkladntext1"/>
        <w:numPr>
          <w:ilvl w:val="0"/>
          <w:numId w:val="9"/>
        </w:numPr>
        <w:shd w:val="clear" w:color="auto" w:fill="auto"/>
        <w:tabs>
          <w:tab w:val="left" w:pos="580"/>
        </w:tabs>
        <w:ind w:left="580" w:hanging="580"/>
        <w:jc w:val="both"/>
      </w:pPr>
      <w:r>
        <w:t>Zhotovitel se zavazuje, že důvěrné informace jiným subjektům nesdělí, nezpřístupní, ani nevyužije pro sebe nebo pro jin</w:t>
      </w:r>
      <w:r>
        <w:t>ou osobu. Zavazuje se zachovat je v přísné tajnosti a sdělit je výlučně těm svým zaměstnancům nebo subdodavatelům, kteří jsou pověřeni plněním Smlouvy a za tímto účelem jsou oprávněni se s těmito informacemi v nezbytném rozsahu seznámit. Zhotovitel se zava</w:t>
      </w:r>
      <w:r>
        <w:t xml:space="preserve">zuje zabezpečit, aby i tyto osoby považovaly </w:t>
      </w:r>
      <w:r>
        <w:lastRenderedPageBreak/>
        <w:t>uvedené informace za důvěrné a zachovávaly o nich mlčenlivost.</w:t>
      </w:r>
    </w:p>
    <w:p w:rsidR="0032243C" w:rsidRDefault="00366EAC">
      <w:pPr>
        <w:pStyle w:val="Zkladntext1"/>
        <w:numPr>
          <w:ilvl w:val="0"/>
          <w:numId w:val="9"/>
        </w:numPr>
        <w:shd w:val="clear" w:color="auto" w:fill="auto"/>
        <w:tabs>
          <w:tab w:val="left" w:pos="580"/>
        </w:tabs>
        <w:jc w:val="both"/>
      </w:pPr>
      <w:r>
        <w:t>Povinnost plnit ustanovení tohoto článku Smlouvy se nevztahuje na informace, které:</w:t>
      </w:r>
    </w:p>
    <w:p w:rsidR="0032243C" w:rsidRDefault="00366EAC">
      <w:pPr>
        <w:pStyle w:val="Zkladntext1"/>
        <w:numPr>
          <w:ilvl w:val="0"/>
          <w:numId w:val="10"/>
        </w:numPr>
        <w:shd w:val="clear" w:color="auto" w:fill="auto"/>
        <w:tabs>
          <w:tab w:val="left" w:pos="1013"/>
        </w:tabs>
        <w:ind w:firstLine="660"/>
        <w:jc w:val="both"/>
      </w:pPr>
      <w:r>
        <w:t>byly písemným souhlasem obou smluvních stran zproštěny těchto om</w:t>
      </w:r>
      <w:r>
        <w:t>ezení,</w:t>
      </w:r>
    </w:p>
    <w:p w:rsidR="0032243C" w:rsidRDefault="00366EAC">
      <w:pPr>
        <w:pStyle w:val="Zkladntext1"/>
        <w:numPr>
          <w:ilvl w:val="0"/>
          <w:numId w:val="10"/>
        </w:numPr>
        <w:shd w:val="clear" w:color="auto" w:fill="auto"/>
        <w:tabs>
          <w:tab w:val="left" w:pos="1013"/>
        </w:tabs>
        <w:ind w:left="1020" w:hanging="360"/>
        <w:jc w:val="both"/>
      </w:pPr>
      <w:r>
        <w:t>jsou známé nebo byly zveřejněny jinak, než následkem porušení povinnosti jedné ze Smluvních stran,</w:t>
      </w:r>
    </w:p>
    <w:p w:rsidR="0032243C" w:rsidRDefault="00366EAC">
      <w:pPr>
        <w:pStyle w:val="Zkladntext1"/>
        <w:numPr>
          <w:ilvl w:val="0"/>
          <w:numId w:val="10"/>
        </w:numPr>
        <w:shd w:val="clear" w:color="auto" w:fill="auto"/>
        <w:tabs>
          <w:tab w:val="left" w:pos="1013"/>
        </w:tabs>
        <w:ind w:firstLine="660"/>
        <w:jc w:val="both"/>
      </w:pPr>
      <w:r>
        <w:t>příjemce je zná dříve, než je sdělí smluvní strana,</w:t>
      </w:r>
    </w:p>
    <w:p w:rsidR="0032243C" w:rsidRDefault="00366EAC">
      <w:pPr>
        <w:pStyle w:val="Zkladntext1"/>
        <w:numPr>
          <w:ilvl w:val="0"/>
          <w:numId w:val="10"/>
        </w:numPr>
        <w:shd w:val="clear" w:color="auto" w:fill="auto"/>
        <w:tabs>
          <w:tab w:val="left" w:pos="1013"/>
        </w:tabs>
        <w:ind w:left="1020" w:hanging="360"/>
        <w:jc w:val="both"/>
      </w:pPr>
      <w:r>
        <w:t xml:space="preserve">jsou vyžádány soudem, státním zastupitelstvím nebo příslušným správním orgánem na základě zákona, </w:t>
      </w:r>
      <w:r>
        <w:t>popřípadě, jejichž uveřejnění je stanoveno zákonem,</w:t>
      </w:r>
    </w:p>
    <w:p w:rsidR="0032243C" w:rsidRDefault="00366EAC">
      <w:pPr>
        <w:pStyle w:val="Zkladntext1"/>
        <w:numPr>
          <w:ilvl w:val="0"/>
          <w:numId w:val="10"/>
        </w:numPr>
        <w:shd w:val="clear" w:color="auto" w:fill="auto"/>
        <w:tabs>
          <w:tab w:val="left" w:pos="1013"/>
        </w:tabs>
        <w:ind w:left="1020" w:hanging="360"/>
        <w:jc w:val="both"/>
      </w:pPr>
      <w:r>
        <w:t>Smluvní strana sdělí osobě vázané zákonnou povinností mlčenlivosti (např. advokátovi nebo daňovému poradci) za účelem uplatňování svých práv.</w:t>
      </w:r>
    </w:p>
    <w:p w:rsidR="0032243C" w:rsidRDefault="00366EAC">
      <w:pPr>
        <w:pStyle w:val="Zkladntext1"/>
        <w:numPr>
          <w:ilvl w:val="0"/>
          <w:numId w:val="9"/>
        </w:numPr>
        <w:shd w:val="clear" w:color="auto" w:fill="auto"/>
        <w:tabs>
          <w:tab w:val="left" w:pos="507"/>
        </w:tabs>
        <w:spacing w:after="480"/>
        <w:jc w:val="both"/>
      </w:pPr>
      <w:r>
        <w:t>Povinnost ochrany důvěrných informací trvá bez ohledu na ukonč</w:t>
      </w:r>
      <w:r>
        <w:t>ení platnosti této Smlouvy.</w:t>
      </w:r>
    </w:p>
    <w:p w:rsidR="0032243C" w:rsidRDefault="00366EAC">
      <w:pPr>
        <w:pStyle w:val="Zkladntext1"/>
        <w:numPr>
          <w:ilvl w:val="0"/>
          <w:numId w:val="1"/>
        </w:numPr>
        <w:shd w:val="clear" w:color="auto" w:fill="auto"/>
        <w:tabs>
          <w:tab w:val="left" w:pos="507"/>
        </w:tabs>
        <w:spacing w:line="25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Kvalifikace zhotovitele a klíčové osoby</w:t>
      </w:r>
    </w:p>
    <w:p w:rsidR="0032243C" w:rsidRDefault="00366EAC">
      <w:pPr>
        <w:pStyle w:val="Zkladntext1"/>
        <w:numPr>
          <w:ilvl w:val="0"/>
          <w:numId w:val="11"/>
        </w:numPr>
        <w:shd w:val="clear" w:color="auto" w:fill="auto"/>
        <w:tabs>
          <w:tab w:val="left" w:pos="507"/>
        </w:tabs>
        <w:ind w:left="440" w:hanging="440"/>
        <w:jc w:val="both"/>
      </w:pPr>
      <w:r>
        <w:t xml:space="preserve">Veškeré odborné práce musí vykonávat personál Zhotovitele mající příslušnou kvalifikaci. Zhotovitel a personál Zhotovitele (včetně personálu </w:t>
      </w:r>
      <w:proofErr w:type="spellStart"/>
      <w:r>
        <w:t>podzhotovitele</w:t>
      </w:r>
      <w:proofErr w:type="spellEnd"/>
      <w:r>
        <w:t>) je povinen být kvalifikovaný pr</w:t>
      </w:r>
      <w:r>
        <w:t>o provedení Činností technické podpory po celou dobu provádění plnění, a to v rozsahu, v jakém prokázal svoji kvalifikaci v rámci zadávacího postupu ve Veřejné zakázce.</w:t>
      </w:r>
    </w:p>
    <w:p w:rsidR="0032243C" w:rsidRDefault="00366EAC">
      <w:pPr>
        <w:pStyle w:val="Zkladntext1"/>
        <w:numPr>
          <w:ilvl w:val="0"/>
          <w:numId w:val="11"/>
        </w:numPr>
        <w:shd w:val="clear" w:color="auto" w:fill="auto"/>
        <w:tabs>
          <w:tab w:val="left" w:pos="507"/>
        </w:tabs>
        <w:jc w:val="both"/>
      </w:pPr>
      <w:r>
        <w:t>Klíčovými osobami, jimiž Zhotovitel prokazoval kvalifikaci, jsou:</w:t>
      </w:r>
    </w:p>
    <w:p w:rsidR="00324F69" w:rsidRDefault="00324F69">
      <w:pPr>
        <w:pStyle w:val="Zkladntext1"/>
        <w:numPr>
          <w:ilvl w:val="0"/>
          <w:numId w:val="12"/>
        </w:numPr>
        <w:shd w:val="clear" w:color="auto" w:fill="auto"/>
        <w:tabs>
          <w:tab w:val="left" w:pos="1278"/>
        </w:tabs>
        <w:ind w:firstLine="800"/>
      </w:pPr>
      <w:proofErr w:type="spellStart"/>
      <w:r>
        <w:t>xxx</w:t>
      </w:r>
      <w:proofErr w:type="spellEnd"/>
      <w:r>
        <w:t xml:space="preserve"> </w:t>
      </w:r>
    </w:p>
    <w:p w:rsidR="0032243C" w:rsidRDefault="00324F69">
      <w:pPr>
        <w:pStyle w:val="Zkladntext1"/>
        <w:numPr>
          <w:ilvl w:val="0"/>
          <w:numId w:val="12"/>
        </w:numPr>
        <w:shd w:val="clear" w:color="auto" w:fill="auto"/>
        <w:tabs>
          <w:tab w:val="left" w:pos="1278"/>
        </w:tabs>
        <w:ind w:firstLine="800"/>
      </w:pPr>
      <w:proofErr w:type="spellStart"/>
      <w:r>
        <w:t>xxx</w:t>
      </w:r>
      <w:proofErr w:type="spellEnd"/>
      <w:r>
        <w:t xml:space="preserve"> </w:t>
      </w:r>
    </w:p>
    <w:p w:rsidR="0032243C" w:rsidRDefault="00366EAC">
      <w:pPr>
        <w:pStyle w:val="Zkladntext1"/>
        <w:numPr>
          <w:ilvl w:val="0"/>
          <w:numId w:val="11"/>
        </w:numPr>
        <w:shd w:val="clear" w:color="auto" w:fill="auto"/>
        <w:tabs>
          <w:tab w:val="left" w:pos="507"/>
        </w:tabs>
        <w:ind w:left="440" w:hanging="440"/>
        <w:jc w:val="both"/>
      </w:pPr>
      <w:r>
        <w:t>Zhotovitel nesmí bez předchozího písemného souhlasu Objednatele změnit klíčovou osobu. Objednatel nesmí tento souhlas bez závažného důvodu odepřít za předpokladu, že nově určená klíčová osoba splňuje příslušnou kvalifikaci.</w:t>
      </w:r>
    </w:p>
    <w:p w:rsidR="0032243C" w:rsidRDefault="00366EAC">
      <w:pPr>
        <w:pStyle w:val="Zkladntext1"/>
        <w:numPr>
          <w:ilvl w:val="0"/>
          <w:numId w:val="11"/>
        </w:numPr>
        <w:shd w:val="clear" w:color="auto" w:fill="auto"/>
        <w:tabs>
          <w:tab w:val="left" w:pos="507"/>
        </w:tabs>
        <w:ind w:left="440" w:hanging="440"/>
        <w:jc w:val="both"/>
      </w:pPr>
      <w:r>
        <w:t xml:space="preserve">Doklady o kvalifikaci je </w:t>
      </w:r>
      <w:r>
        <w:t>Zástupce zhotovitele povinen na požádání kontaktní osoby Objednatele doložit ve lhůtě 10 pracovních dnů ode dne žádosti Objednatele, není-li mezi Stranami sjednána jiná lhůta.</w:t>
      </w:r>
    </w:p>
    <w:p w:rsidR="0032243C" w:rsidRDefault="00366EAC">
      <w:pPr>
        <w:pStyle w:val="Zkladntext1"/>
        <w:numPr>
          <w:ilvl w:val="0"/>
          <w:numId w:val="11"/>
        </w:numPr>
        <w:shd w:val="clear" w:color="auto" w:fill="auto"/>
        <w:tabs>
          <w:tab w:val="left" w:pos="507"/>
        </w:tabs>
        <w:spacing w:after="480"/>
        <w:ind w:left="440" w:hanging="440"/>
        <w:jc w:val="both"/>
      </w:pPr>
      <w:r>
        <w:t xml:space="preserve">Zhotovitel nesmí bez předchozího písemného souhlasu Objednatele změnit </w:t>
      </w:r>
      <w:proofErr w:type="spellStart"/>
      <w:r>
        <w:t>podzhotov</w:t>
      </w:r>
      <w:r>
        <w:t>itele</w:t>
      </w:r>
      <w:proofErr w:type="spellEnd"/>
      <w:r>
        <w:t>, které uvedl v nabídce předložené v zadávacím postupu Veřejné zakázky. Objednatel nesmí tento souhlas bez závažného důvodu odepřít.</w:t>
      </w:r>
    </w:p>
    <w:p w:rsidR="0032243C" w:rsidRDefault="00366EAC">
      <w:pPr>
        <w:pStyle w:val="Zkladntext1"/>
        <w:numPr>
          <w:ilvl w:val="0"/>
          <w:numId w:val="1"/>
        </w:numPr>
        <w:shd w:val="clear" w:color="auto" w:fill="auto"/>
        <w:tabs>
          <w:tab w:val="left" w:pos="650"/>
        </w:tabs>
        <w:spacing w:line="25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Smluvní pokuty</w:t>
      </w:r>
    </w:p>
    <w:p w:rsidR="0032243C" w:rsidRDefault="00366EAC">
      <w:pPr>
        <w:pStyle w:val="Zkladntext1"/>
        <w:numPr>
          <w:ilvl w:val="0"/>
          <w:numId w:val="13"/>
        </w:numPr>
        <w:shd w:val="clear" w:color="auto" w:fill="auto"/>
        <w:tabs>
          <w:tab w:val="left" w:pos="507"/>
        </w:tabs>
        <w:ind w:left="580" w:hanging="580"/>
        <w:jc w:val="both"/>
      </w:pPr>
      <w:r>
        <w:t>Výslovně se touto Smlouvou sjednávají dále stanovené smluvní sankce. Smluvní strany si výslovně ujednal</w:t>
      </w:r>
      <w:r>
        <w:t>y, že k jiným například ústně sjednaným smluvním sankcím nebude přihlíženo.</w:t>
      </w:r>
    </w:p>
    <w:p w:rsidR="0032243C" w:rsidRDefault="00366EAC">
      <w:pPr>
        <w:pStyle w:val="Zkladntext1"/>
        <w:numPr>
          <w:ilvl w:val="0"/>
          <w:numId w:val="13"/>
        </w:numPr>
        <w:shd w:val="clear" w:color="auto" w:fill="auto"/>
        <w:tabs>
          <w:tab w:val="left" w:pos="507"/>
        </w:tabs>
        <w:ind w:left="580" w:hanging="580"/>
        <w:jc w:val="both"/>
      </w:pPr>
      <w:r>
        <w:t>V případě prodlení Zhotovitele s vyhotovením a předložením Časového plánu dle čl. IV odst. 2 Smlouvy je Objednatel oprávněn požadovat úhradu smluvní pokuty ve výši 1.000,- Kč za ka</w:t>
      </w:r>
      <w:r>
        <w:t>ždý byť započatý den prodlení.</w:t>
      </w:r>
    </w:p>
    <w:p w:rsidR="0032243C" w:rsidRDefault="00366EAC">
      <w:pPr>
        <w:pStyle w:val="Zkladntext1"/>
        <w:numPr>
          <w:ilvl w:val="0"/>
          <w:numId w:val="13"/>
        </w:numPr>
        <w:shd w:val="clear" w:color="auto" w:fill="auto"/>
        <w:tabs>
          <w:tab w:val="left" w:pos="507"/>
        </w:tabs>
        <w:ind w:left="580" w:hanging="580"/>
        <w:jc w:val="both"/>
      </w:pPr>
      <w:r>
        <w:t>V případě prodlení Zhotovitele s provedením činností dle této Smlouvy na základě Požadavku Objednatele, je Objednatel oprávněn požadovat úhradu smluvní pokuty ve výši 1.000,- Kč za každý byť započatý den trvání prodlení.</w:t>
      </w:r>
    </w:p>
    <w:p w:rsidR="0032243C" w:rsidRDefault="00366EAC">
      <w:pPr>
        <w:pStyle w:val="Zkladntext1"/>
        <w:numPr>
          <w:ilvl w:val="0"/>
          <w:numId w:val="13"/>
        </w:numPr>
        <w:shd w:val="clear" w:color="auto" w:fill="auto"/>
        <w:tabs>
          <w:tab w:val="left" w:pos="507"/>
        </w:tabs>
        <w:ind w:left="580" w:hanging="580"/>
        <w:jc w:val="both"/>
      </w:pPr>
      <w:r>
        <w:t>Není</w:t>
      </w:r>
      <w:r>
        <w:t xml:space="preserve">-li touto Smlouvou stanoveno jinak, v případě, že Zhotovitel neoprávněně přeruší/pozastaví provádění činností podle této Smlouvy, a to po dobu delší než 15 pracovních dní, je Objednatel oprávněn požadovat úhradu smluvní pokutu ve výši 10.000,- Kč za každý </w:t>
      </w:r>
      <w:r>
        <w:t>takovýto případ.</w:t>
      </w:r>
    </w:p>
    <w:p w:rsidR="0032243C" w:rsidRDefault="00366EAC">
      <w:pPr>
        <w:pStyle w:val="Zkladntext1"/>
        <w:numPr>
          <w:ilvl w:val="0"/>
          <w:numId w:val="13"/>
        </w:numPr>
        <w:shd w:val="clear" w:color="auto" w:fill="auto"/>
        <w:tabs>
          <w:tab w:val="left" w:pos="507"/>
        </w:tabs>
        <w:ind w:left="580" w:hanging="580"/>
        <w:jc w:val="both"/>
      </w:pPr>
      <w:r>
        <w:t>V případě prodlení s dobou odstraňování negativních dopadů jednotlivých kategorií událostí dle čl. IV odst. 7 Smlouvy je Objednatel oprávněn požadovat úhradu smluví pokuty ve výši 500,- Kč, je-li doba pro odstranění stanovena hodinově, a v</w:t>
      </w:r>
      <w:r>
        <w:t>e výši 1.000,- Kč za každý započatý den prodlení, je-li doba pro odstranění stanovena na dny.</w:t>
      </w:r>
    </w:p>
    <w:p w:rsidR="0032243C" w:rsidRDefault="00366EAC">
      <w:pPr>
        <w:pStyle w:val="Zkladntext1"/>
        <w:numPr>
          <w:ilvl w:val="0"/>
          <w:numId w:val="13"/>
        </w:numPr>
        <w:shd w:val="clear" w:color="auto" w:fill="auto"/>
        <w:tabs>
          <w:tab w:val="left" w:pos="507"/>
        </w:tabs>
        <w:ind w:left="580" w:hanging="580"/>
        <w:jc w:val="both"/>
      </w:pPr>
      <w:r>
        <w:t xml:space="preserve">V případě porušení povinnosti Prodávajícího dle čl. III odst. 8 Smlouvy (existence minimálního pojištění </w:t>
      </w:r>
      <w:r>
        <w:lastRenderedPageBreak/>
        <w:t>odpovědnosti za škodu či nedoložení její existence), je O</w:t>
      </w:r>
      <w:r>
        <w:t>bjednatel oprávněn požadovat úhradu smluvní pokutu ve výši 50.000,- Kč.</w:t>
      </w:r>
    </w:p>
    <w:p w:rsidR="0032243C" w:rsidRDefault="00366EAC">
      <w:pPr>
        <w:pStyle w:val="Zkladntext1"/>
        <w:numPr>
          <w:ilvl w:val="0"/>
          <w:numId w:val="13"/>
        </w:numPr>
        <w:shd w:val="clear" w:color="auto" w:fill="auto"/>
        <w:tabs>
          <w:tab w:val="left" w:pos="507"/>
        </w:tabs>
        <w:ind w:left="580" w:hanging="580"/>
        <w:jc w:val="both"/>
      </w:pPr>
      <w:r>
        <w:t>V případě porušení povinnosti Prodávajícího dle čl. VI této Smlouvy, je Objednatel oprávněn požadovat úhradu smluvní pokutu ve výši 50.000,- Kč.</w:t>
      </w:r>
    </w:p>
    <w:p w:rsidR="0032243C" w:rsidRDefault="00366EAC">
      <w:pPr>
        <w:pStyle w:val="Zkladntext1"/>
        <w:numPr>
          <w:ilvl w:val="0"/>
          <w:numId w:val="13"/>
        </w:numPr>
        <w:shd w:val="clear" w:color="auto" w:fill="auto"/>
        <w:tabs>
          <w:tab w:val="left" w:pos="575"/>
        </w:tabs>
        <w:ind w:left="580" w:hanging="580"/>
        <w:jc w:val="both"/>
      </w:pPr>
      <w:r>
        <w:t xml:space="preserve">V případě porušení povinnosti </w:t>
      </w:r>
      <w:r>
        <w:t>Zhotovitelem dle čl. VII odst. 3 Smlouvy je Objednatel oprávněn požadovat zaplacení smluvní pokuty ve výši 30.000,- Kč, a to i opakovaně, nebo od této Smlouvy odstoupit. Nepředloží-li Zhotovitel doklad o kvalifikaci ve lhůtě dle čl. VII odst. 4 Smlouvy, má</w:t>
      </w:r>
      <w:r>
        <w:t xml:space="preserve"> Objednatel vůči Zhotoviteli právo na smluvní pokutu ve výši 10.000,- Kč za každý nepředložený doklad, jakož i právo vykázat personál Zhotovitele (či </w:t>
      </w:r>
      <w:proofErr w:type="spellStart"/>
      <w:r>
        <w:t>podzhotovitele</w:t>
      </w:r>
      <w:proofErr w:type="spellEnd"/>
      <w:r>
        <w:t xml:space="preserve">), který nesplňuje kvalifikaci, z Místa plnění a Objednatel je též oprávněn od této Smlouvy </w:t>
      </w:r>
      <w:r>
        <w:t>odstoupit. V případě porušení povinnosti Zhotovitele dle čl. VII odst. 5 Smlouvy má Objednatel právo na zaplacení smluvní pokuty ve výši 20.000,- Kč.</w:t>
      </w:r>
    </w:p>
    <w:p w:rsidR="0032243C" w:rsidRDefault="00366EAC">
      <w:pPr>
        <w:pStyle w:val="Zkladntext1"/>
        <w:numPr>
          <w:ilvl w:val="0"/>
          <w:numId w:val="13"/>
        </w:numPr>
        <w:shd w:val="clear" w:color="auto" w:fill="auto"/>
        <w:tabs>
          <w:tab w:val="left" w:pos="575"/>
        </w:tabs>
        <w:ind w:left="580" w:hanging="580"/>
        <w:jc w:val="both"/>
      </w:pPr>
      <w:r>
        <w:t>Při nedodržení termínu splatnosti faktury je Zhotovitel oprávněn požadovat od Objednatele úhradu úroku z p</w:t>
      </w:r>
      <w:r>
        <w:t>rodlení ve výši stanoveném nařízením vlády č. 351/2013 Sb.</w:t>
      </w:r>
    </w:p>
    <w:p w:rsidR="0032243C" w:rsidRDefault="00366EAC">
      <w:pPr>
        <w:pStyle w:val="Zkladntext1"/>
        <w:numPr>
          <w:ilvl w:val="0"/>
          <w:numId w:val="13"/>
        </w:numPr>
        <w:shd w:val="clear" w:color="auto" w:fill="auto"/>
        <w:tabs>
          <w:tab w:val="left" w:pos="575"/>
        </w:tabs>
        <w:ind w:left="580" w:hanging="580"/>
        <w:jc w:val="both"/>
      </w:pPr>
      <w:r>
        <w:t>Smluvní strany si ujednaly, že uplatněním smluvních pokut není dotčeno oprávnění Smluvní strany domáhat se náhrady škody v rozsahu převyšujícím výši smluvní pokuty.</w:t>
      </w:r>
    </w:p>
    <w:p w:rsidR="0032243C" w:rsidRDefault="00366EAC">
      <w:pPr>
        <w:pStyle w:val="Zkladntext1"/>
        <w:numPr>
          <w:ilvl w:val="0"/>
          <w:numId w:val="13"/>
        </w:numPr>
        <w:shd w:val="clear" w:color="auto" w:fill="auto"/>
        <w:tabs>
          <w:tab w:val="left" w:pos="575"/>
        </w:tabs>
        <w:jc w:val="both"/>
      </w:pPr>
      <w:r>
        <w:t xml:space="preserve">Smluvní strany si ujednaly </w:t>
      </w:r>
      <w:r>
        <w:t>vyloučení aplikace ustanovení § 1806 Občanského zákoníku.</w:t>
      </w:r>
    </w:p>
    <w:p w:rsidR="0032243C" w:rsidRDefault="00366EAC">
      <w:pPr>
        <w:pStyle w:val="Zkladntext1"/>
        <w:numPr>
          <w:ilvl w:val="0"/>
          <w:numId w:val="13"/>
        </w:numPr>
        <w:shd w:val="clear" w:color="auto" w:fill="auto"/>
        <w:tabs>
          <w:tab w:val="left" w:pos="575"/>
        </w:tabs>
        <w:spacing w:after="480"/>
        <w:ind w:left="580" w:hanging="580"/>
        <w:jc w:val="both"/>
      </w:pPr>
      <w:r>
        <w:t>Objednatel může jednostranně započíst vůči Zhotoviteli pohledávku (i nesplatnou) vyplývající z této Smlouvy proti pohledávce Zhotovitele vyplývající z této Smlouvy.</w:t>
      </w:r>
    </w:p>
    <w:p w:rsidR="0032243C" w:rsidRDefault="00366EAC">
      <w:pPr>
        <w:pStyle w:val="Zkladntext1"/>
        <w:numPr>
          <w:ilvl w:val="0"/>
          <w:numId w:val="1"/>
        </w:numPr>
        <w:shd w:val="clear" w:color="auto" w:fill="auto"/>
        <w:tabs>
          <w:tab w:val="left" w:pos="575"/>
        </w:tabs>
        <w:spacing w:line="25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Trvání a ukončení smlouvy</w:t>
      </w:r>
    </w:p>
    <w:p w:rsidR="0032243C" w:rsidRDefault="00366EAC">
      <w:pPr>
        <w:pStyle w:val="Zkladntext1"/>
        <w:numPr>
          <w:ilvl w:val="0"/>
          <w:numId w:val="14"/>
        </w:numPr>
        <w:shd w:val="clear" w:color="auto" w:fill="auto"/>
        <w:tabs>
          <w:tab w:val="left" w:pos="575"/>
        </w:tabs>
        <w:ind w:left="580" w:hanging="580"/>
        <w:jc w:val="both"/>
      </w:pPr>
      <w:r>
        <w:t>Tato sm</w:t>
      </w:r>
      <w:r>
        <w:t>louva se uzavírá ode dne nabytí její účinnosti na dobu určitou 36 měsíců nebo do vyčerpání částky 740.000,- Kč bez DPH, dle toho, co nastane dříve.</w:t>
      </w:r>
    </w:p>
    <w:p w:rsidR="0032243C" w:rsidRDefault="00366EAC">
      <w:pPr>
        <w:pStyle w:val="Zkladntext1"/>
        <w:numPr>
          <w:ilvl w:val="0"/>
          <w:numId w:val="14"/>
        </w:numPr>
        <w:shd w:val="clear" w:color="auto" w:fill="auto"/>
        <w:tabs>
          <w:tab w:val="left" w:pos="575"/>
        </w:tabs>
        <w:jc w:val="both"/>
      </w:pPr>
      <w:r>
        <w:t>Smlouva může být ukončena také:</w:t>
      </w:r>
    </w:p>
    <w:p w:rsidR="0032243C" w:rsidRDefault="00366EAC">
      <w:pPr>
        <w:pStyle w:val="Zkladntext1"/>
        <w:numPr>
          <w:ilvl w:val="0"/>
          <w:numId w:val="15"/>
        </w:numPr>
        <w:shd w:val="clear" w:color="auto" w:fill="auto"/>
        <w:tabs>
          <w:tab w:val="left" w:pos="1026"/>
        </w:tabs>
        <w:ind w:firstLine="660"/>
        <w:jc w:val="both"/>
      </w:pPr>
      <w:r>
        <w:t>písemnou dohodou Smluvních stran,</w:t>
      </w:r>
    </w:p>
    <w:p w:rsidR="0032243C" w:rsidRDefault="00366EAC">
      <w:pPr>
        <w:pStyle w:val="Zkladntext1"/>
        <w:numPr>
          <w:ilvl w:val="0"/>
          <w:numId w:val="15"/>
        </w:numPr>
        <w:shd w:val="clear" w:color="auto" w:fill="auto"/>
        <w:tabs>
          <w:tab w:val="left" w:pos="1038"/>
        </w:tabs>
        <w:ind w:firstLine="660"/>
        <w:jc w:val="both"/>
      </w:pPr>
      <w:r>
        <w:t>písemnou výpovědí,</w:t>
      </w:r>
    </w:p>
    <w:p w:rsidR="0032243C" w:rsidRDefault="00366EAC">
      <w:pPr>
        <w:pStyle w:val="Zkladntext1"/>
        <w:numPr>
          <w:ilvl w:val="0"/>
          <w:numId w:val="15"/>
        </w:numPr>
        <w:shd w:val="clear" w:color="auto" w:fill="auto"/>
        <w:tabs>
          <w:tab w:val="left" w:pos="1038"/>
        </w:tabs>
        <w:ind w:firstLine="660"/>
        <w:jc w:val="both"/>
      </w:pPr>
      <w:r>
        <w:t>odstoupením od Smlouvy.</w:t>
      </w:r>
    </w:p>
    <w:p w:rsidR="0032243C" w:rsidRDefault="00366EAC">
      <w:pPr>
        <w:pStyle w:val="Zkladntext1"/>
        <w:numPr>
          <w:ilvl w:val="0"/>
          <w:numId w:val="14"/>
        </w:numPr>
        <w:shd w:val="clear" w:color="auto" w:fill="auto"/>
        <w:tabs>
          <w:tab w:val="left" w:pos="575"/>
        </w:tabs>
        <w:ind w:left="580" w:hanging="580"/>
        <w:jc w:val="both"/>
      </w:pPr>
      <w:r>
        <w:t>Každá ze smluvních stran má právo odstoupit od Smlouvy v případech stanovených zákonem, zejména dojde-li druhou Smluvní stranou k porušení Smlouvy podstatným způsobem ve smyslu § 2002 OZ.</w:t>
      </w:r>
    </w:p>
    <w:p w:rsidR="0032243C" w:rsidRDefault="00366EAC">
      <w:pPr>
        <w:pStyle w:val="Zkladntext1"/>
        <w:numPr>
          <w:ilvl w:val="0"/>
          <w:numId w:val="14"/>
        </w:numPr>
        <w:shd w:val="clear" w:color="auto" w:fill="auto"/>
        <w:tabs>
          <w:tab w:val="left" w:pos="575"/>
        </w:tabs>
        <w:jc w:val="both"/>
      </w:pPr>
      <w:r>
        <w:t>Za porušení smlouvy podstatným způsobem ze strany Zhotovitele se po</w:t>
      </w:r>
      <w:r>
        <w:t>važuje zejména:</w:t>
      </w:r>
    </w:p>
    <w:p w:rsidR="0032243C" w:rsidRDefault="00366EAC">
      <w:pPr>
        <w:pStyle w:val="Zkladntext1"/>
        <w:numPr>
          <w:ilvl w:val="0"/>
          <w:numId w:val="16"/>
        </w:numPr>
        <w:shd w:val="clear" w:color="auto" w:fill="auto"/>
        <w:tabs>
          <w:tab w:val="left" w:pos="1434"/>
        </w:tabs>
        <w:ind w:left="1440" w:hanging="840"/>
        <w:jc w:val="both"/>
      </w:pPr>
      <w:r>
        <w:t>Zhotovitel je v prodlení s provedením činností dle této Smlouvy na základě Požadavku Objednatele, a to po dobu delší než 15 pracovních dní,</w:t>
      </w:r>
    </w:p>
    <w:p w:rsidR="0032243C" w:rsidRDefault="00366EAC">
      <w:pPr>
        <w:pStyle w:val="Zkladntext1"/>
        <w:numPr>
          <w:ilvl w:val="0"/>
          <w:numId w:val="16"/>
        </w:numPr>
        <w:shd w:val="clear" w:color="auto" w:fill="auto"/>
        <w:tabs>
          <w:tab w:val="left" w:pos="1434"/>
        </w:tabs>
        <w:ind w:left="1440" w:hanging="840"/>
        <w:jc w:val="both"/>
      </w:pPr>
      <w:r>
        <w:t>Zhotovitel neoprávněně přeruší/pozastaví provádění činností podle této Smlouvy, a to po dobu delší n</w:t>
      </w:r>
      <w:r>
        <w:t>ež 15 pracovních dní,</w:t>
      </w:r>
    </w:p>
    <w:p w:rsidR="0032243C" w:rsidRDefault="00366EAC">
      <w:pPr>
        <w:pStyle w:val="Zkladntext1"/>
        <w:numPr>
          <w:ilvl w:val="0"/>
          <w:numId w:val="16"/>
        </w:numPr>
        <w:shd w:val="clear" w:color="auto" w:fill="auto"/>
        <w:tabs>
          <w:tab w:val="left" w:pos="1434"/>
        </w:tabs>
        <w:ind w:left="1440" w:hanging="840"/>
        <w:jc w:val="both"/>
      </w:pPr>
      <w:r>
        <w:t>Zhotovitel je v prodlení s vyhotovením a předložením Časového plánu dle čl. IV odst. 2 Smlouvy po dobu delší než 15 pracovních dní,</w:t>
      </w:r>
    </w:p>
    <w:p w:rsidR="0032243C" w:rsidRDefault="00366EAC">
      <w:pPr>
        <w:pStyle w:val="Zkladntext1"/>
        <w:numPr>
          <w:ilvl w:val="0"/>
          <w:numId w:val="16"/>
        </w:numPr>
        <w:shd w:val="clear" w:color="auto" w:fill="auto"/>
        <w:tabs>
          <w:tab w:val="left" w:pos="1434"/>
        </w:tabs>
        <w:ind w:firstLine="580"/>
        <w:jc w:val="both"/>
      </w:pPr>
      <w:r>
        <w:t>nepředloží-li Zhotovitel doklad o kvalifikaci ve lhůtě dle čl. VII odst. 4 Smlouvy.</w:t>
      </w:r>
    </w:p>
    <w:p w:rsidR="0032243C" w:rsidRDefault="00366EAC">
      <w:pPr>
        <w:pStyle w:val="Zkladntext1"/>
        <w:numPr>
          <w:ilvl w:val="0"/>
          <w:numId w:val="14"/>
        </w:numPr>
        <w:shd w:val="clear" w:color="auto" w:fill="auto"/>
        <w:tabs>
          <w:tab w:val="left" w:pos="575"/>
        </w:tabs>
        <w:jc w:val="both"/>
      </w:pPr>
      <w:r>
        <w:t>Objednatel je dále</w:t>
      </w:r>
      <w:r>
        <w:t xml:space="preserve"> oprávněn od Smlouvy odstoupit v případech, že:</w:t>
      </w:r>
    </w:p>
    <w:p w:rsidR="0032243C" w:rsidRDefault="00366EAC">
      <w:pPr>
        <w:pStyle w:val="Zkladntext1"/>
        <w:numPr>
          <w:ilvl w:val="0"/>
          <w:numId w:val="17"/>
        </w:numPr>
        <w:shd w:val="clear" w:color="auto" w:fill="auto"/>
        <w:tabs>
          <w:tab w:val="left" w:pos="1434"/>
        </w:tabs>
        <w:ind w:firstLine="580"/>
        <w:jc w:val="both"/>
      </w:pPr>
      <w:r>
        <w:t>Zhotovitel vstoupí do likvidace,</w:t>
      </w:r>
    </w:p>
    <w:p w:rsidR="0032243C" w:rsidRDefault="00366EAC">
      <w:pPr>
        <w:pStyle w:val="Zkladntext1"/>
        <w:numPr>
          <w:ilvl w:val="0"/>
          <w:numId w:val="17"/>
        </w:numPr>
        <w:shd w:val="clear" w:color="auto" w:fill="auto"/>
        <w:tabs>
          <w:tab w:val="left" w:pos="1434"/>
        </w:tabs>
        <w:ind w:left="1440" w:hanging="840"/>
        <w:jc w:val="both"/>
      </w:pPr>
      <w:r>
        <w:t>Zhotovitel podá insolvenční návrh ohledně své osoby, bude rozhodnuto o úpadku Zhotovitele nebo bude ve vztahu k Zhotoviteli vydáno jiné rozhodnutí s obdobnými účinky nebo</w:t>
      </w:r>
    </w:p>
    <w:p w:rsidR="0032243C" w:rsidRDefault="00366EAC">
      <w:pPr>
        <w:pStyle w:val="Zkladntext1"/>
        <w:numPr>
          <w:ilvl w:val="0"/>
          <w:numId w:val="17"/>
        </w:numPr>
        <w:shd w:val="clear" w:color="auto" w:fill="auto"/>
        <w:tabs>
          <w:tab w:val="left" w:pos="1434"/>
        </w:tabs>
        <w:ind w:left="1440" w:hanging="840"/>
        <w:jc w:val="both"/>
      </w:pPr>
      <w:r>
        <w:t>Zhotovitel bude pravomocně odsouzen za úmyslný majetkový nebo hospodářský trestný čin.</w:t>
      </w:r>
    </w:p>
    <w:p w:rsidR="0032243C" w:rsidRDefault="00366EAC">
      <w:pPr>
        <w:pStyle w:val="Zkladntext1"/>
        <w:numPr>
          <w:ilvl w:val="0"/>
          <w:numId w:val="14"/>
        </w:numPr>
        <w:shd w:val="clear" w:color="auto" w:fill="auto"/>
        <w:tabs>
          <w:tab w:val="left" w:pos="575"/>
        </w:tabs>
        <w:spacing w:after="100"/>
        <w:jc w:val="both"/>
      </w:pPr>
      <w:r>
        <w:t>Za porušení smlouvy podstatným způsobem ze strany Objednatele se považuje:</w:t>
      </w:r>
    </w:p>
    <w:p w:rsidR="0032243C" w:rsidRDefault="00366EAC">
      <w:pPr>
        <w:pStyle w:val="Zkladntext1"/>
        <w:numPr>
          <w:ilvl w:val="0"/>
          <w:numId w:val="18"/>
        </w:numPr>
        <w:shd w:val="clear" w:color="auto" w:fill="auto"/>
        <w:tabs>
          <w:tab w:val="left" w:pos="997"/>
        </w:tabs>
        <w:spacing w:after="100"/>
        <w:ind w:left="960" w:hanging="360"/>
        <w:jc w:val="both"/>
      </w:pPr>
      <w:r>
        <w:t>Objednatel je v prodlení s úhradou faktury o více než 20 dní a nezjedná nápravu ani po písemné</w:t>
      </w:r>
      <w:r>
        <w:t>m upozornění ze strany Zhotovitele.</w:t>
      </w:r>
    </w:p>
    <w:p w:rsidR="0032243C" w:rsidRDefault="00366EAC">
      <w:pPr>
        <w:pStyle w:val="Zkladntext1"/>
        <w:numPr>
          <w:ilvl w:val="0"/>
          <w:numId w:val="14"/>
        </w:numPr>
        <w:shd w:val="clear" w:color="auto" w:fill="auto"/>
        <w:tabs>
          <w:tab w:val="left" w:pos="575"/>
        </w:tabs>
        <w:spacing w:after="100"/>
        <w:ind w:left="580" w:hanging="580"/>
        <w:jc w:val="both"/>
      </w:pPr>
      <w:r>
        <w:lastRenderedPageBreak/>
        <w:t>Odstoupení od smlouvy musí být písemné, jinak je neplatné. Odstoupení je účinné ode dne, kdy bude doručeno druhé Smluvní straně.</w:t>
      </w:r>
    </w:p>
    <w:p w:rsidR="0032243C" w:rsidRDefault="00366EAC">
      <w:pPr>
        <w:pStyle w:val="Zkladntext1"/>
        <w:numPr>
          <w:ilvl w:val="0"/>
          <w:numId w:val="14"/>
        </w:numPr>
        <w:shd w:val="clear" w:color="auto" w:fill="auto"/>
        <w:tabs>
          <w:tab w:val="left" w:pos="575"/>
        </w:tabs>
        <w:spacing w:after="100"/>
        <w:ind w:left="580" w:hanging="580"/>
        <w:jc w:val="both"/>
      </w:pPr>
      <w:r>
        <w:t>Smluvní strany jsou oprávněny tuto Smlouvu vypovědět i bez uvedení důvodu, a to v tříměsíčn</w:t>
      </w:r>
      <w:r>
        <w:t>í výpovědní lhůtě, která začne běžet prvním dnem kalendářního měsíce následujícího po měsíci, v němž byla výpověď druhé Smluvní straně doručena.</w:t>
      </w:r>
    </w:p>
    <w:p w:rsidR="0032243C" w:rsidRDefault="00366EAC">
      <w:pPr>
        <w:pStyle w:val="Zkladntext1"/>
        <w:numPr>
          <w:ilvl w:val="0"/>
          <w:numId w:val="14"/>
        </w:numPr>
        <w:shd w:val="clear" w:color="auto" w:fill="auto"/>
        <w:tabs>
          <w:tab w:val="left" w:pos="575"/>
        </w:tabs>
        <w:spacing w:after="100"/>
        <w:ind w:left="580" w:hanging="580"/>
        <w:jc w:val="both"/>
      </w:pPr>
      <w:r>
        <w:t>Ukončením Smlouvy nejsou dotčena ustanovení týkající se nároků z odpovědnosti za vady a ze záruky za jakost, ná</w:t>
      </w:r>
      <w:r>
        <w:t>roků z odpovědnosti za škodu a nároků ze smluvních pokut, ani další ustanovení o právech a povinnostech, z jejichž povahy vyplývá, že mají trvat i po ukončení Smlouvy.</w:t>
      </w:r>
    </w:p>
    <w:p w:rsidR="0032243C" w:rsidRDefault="00366EAC">
      <w:pPr>
        <w:pStyle w:val="Zkladntext1"/>
        <w:numPr>
          <w:ilvl w:val="0"/>
          <w:numId w:val="1"/>
        </w:numPr>
        <w:shd w:val="clear" w:color="auto" w:fill="auto"/>
        <w:tabs>
          <w:tab w:val="left" w:pos="575"/>
        </w:tabs>
        <w:spacing w:after="100" w:line="25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Ostatní ujednání</w:t>
      </w:r>
    </w:p>
    <w:p w:rsidR="0032243C" w:rsidRDefault="00366EAC">
      <w:pPr>
        <w:pStyle w:val="Zkladntext1"/>
        <w:numPr>
          <w:ilvl w:val="0"/>
          <w:numId w:val="19"/>
        </w:numPr>
        <w:shd w:val="clear" w:color="auto" w:fill="auto"/>
        <w:tabs>
          <w:tab w:val="left" w:pos="575"/>
        </w:tabs>
        <w:spacing w:after="100"/>
        <w:ind w:left="580" w:hanging="580"/>
        <w:jc w:val="both"/>
      </w:pPr>
      <w:r>
        <w:t xml:space="preserve">Zhotovitel se v souladu s čestným prohlášením ke společensky </w:t>
      </w:r>
      <w:r>
        <w:t>odpovědnému plnění, které předložil ve své nabídce k Veřejné zakázce, zavazuje po celou dobu plnění Smlouvy:</w:t>
      </w:r>
    </w:p>
    <w:p w:rsidR="0032243C" w:rsidRDefault="00366EAC">
      <w:pPr>
        <w:pStyle w:val="Zkladntext1"/>
        <w:numPr>
          <w:ilvl w:val="0"/>
          <w:numId w:val="20"/>
        </w:numPr>
        <w:shd w:val="clear" w:color="auto" w:fill="auto"/>
        <w:tabs>
          <w:tab w:val="left" w:pos="997"/>
        </w:tabs>
        <w:spacing w:after="100"/>
        <w:ind w:left="580" w:firstLine="20"/>
        <w:jc w:val="both"/>
      </w:pPr>
      <w:r>
        <w:t>dodržovat veškeré povinnosti vyplývající z právních předpisů České republiky, zejména pak z předpisů pracovněprávních, předpisů z oblasti zaměstnan</w:t>
      </w:r>
      <w:r>
        <w:t>osti a bezpečnosti ochrany zdraví při práci, a to vůči všem osobám, které se na plnění veřejné zakázky podílejí; plnění těchto povinností zajistí i u svých poddodavatelů,</w:t>
      </w:r>
    </w:p>
    <w:p w:rsidR="0032243C" w:rsidRDefault="00366EAC">
      <w:pPr>
        <w:pStyle w:val="Zkladntext1"/>
        <w:numPr>
          <w:ilvl w:val="0"/>
          <w:numId w:val="20"/>
        </w:numPr>
        <w:shd w:val="clear" w:color="auto" w:fill="auto"/>
        <w:tabs>
          <w:tab w:val="left" w:pos="997"/>
        </w:tabs>
        <w:spacing w:after="100"/>
        <w:ind w:left="1020" w:hanging="420"/>
        <w:jc w:val="both"/>
      </w:pPr>
      <w:r>
        <w:t xml:space="preserve">sjednat a dodržovat smluvní podmínky se svými poddodavateli srovnatelné s podmínkami </w:t>
      </w:r>
      <w:r>
        <w:t>sjednanými v této smlouvě, a to v rozsahu výše smluvních pokut a délky záruční doby; uvedené smluvní podmínky se považují za srovnatelné, bude-li výše smluvních pokut a délka záruční doby shodná či obdobná s touto smlouvou,</w:t>
      </w:r>
    </w:p>
    <w:p w:rsidR="0032243C" w:rsidRDefault="00366EAC">
      <w:pPr>
        <w:pStyle w:val="Zkladntext1"/>
        <w:numPr>
          <w:ilvl w:val="0"/>
          <w:numId w:val="20"/>
        </w:numPr>
        <w:shd w:val="clear" w:color="auto" w:fill="auto"/>
        <w:tabs>
          <w:tab w:val="left" w:pos="997"/>
        </w:tabs>
        <w:spacing w:after="100"/>
        <w:ind w:firstLine="580"/>
        <w:jc w:val="both"/>
      </w:pPr>
      <w:r>
        <w:t xml:space="preserve">dodržovat řádné a včasné plnění </w:t>
      </w:r>
      <w:r>
        <w:t>finančních závazků svým poddodavatelům.</w:t>
      </w:r>
    </w:p>
    <w:p w:rsidR="0032243C" w:rsidRDefault="00366EAC">
      <w:pPr>
        <w:pStyle w:val="Zkladntext1"/>
        <w:numPr>
          <w:ilvl w:val="0"/>
          <w:numId w:val="19"/>
        </w:numPr>
        <w:shd w:val="clear" w:color="auto" w:fill="auto"/>
        <w:tabs>
          <w:tab w:val="left" w:pos="575"/>
        </w:tabs>
        <w:spacing w:after="480"/>
        <w:ind w:left="580" w:hanging="580"/>
        <w:jc w:val="both"/>
      </w:pPr>
      <w:r>
        <w:t>Objednatel je plnění povinností z čestného prohlášení ke společensky odpovědnému plnění oprávněn kdykoli v průběhu provádění plnění kontrolovat, a to i bez předchozího ohlášení Zhotoviteli. Je-li k provedení kontroly</w:t>
      </w:r>
      <w:r>
        <w:t xml:space="preserve"> potřeba předložení dokumentů, zavazuje se Zhotovitel k jejich předložení nejpozději do 2 pracovních dnů od doručení výzvy Objednatele.</w:t>
      </w:r>
    </w:p>
    <w:p w:rsidR="0032243C" w:rsidRDefault="00366EAC">
      <w:pPr>
        <w:pStyle w:val="Zkladntext1"/>
        <w:numPr>
          <w:ilvl w:val="0"/>
          <w:numId w:val="1"/>
        </w:numPr>
        <w:shd w:val="clear" w:color="auto" w:fill="auto"/>
        <w:tabs>
          <w:tab w:val="left" w:pos="575"/>
        </w:tabs>
        <w:spacing w:after="100" w:line="25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Závěrečná ujednání</w:t>
      </w:r>
    </w:p>
    <w:p w:rsidR="0032243C" w:rsidRDefault="00366EAC">
      <w:pPr>
        <w:pStyle w:val="Zkladntext1"/>
        <w:numPr>
          <w:ilvl w:val="0"/>
          <w:numId w:val="21"/>
        </w:numPr>
        <w:shd w:val="clear" w:color="auto" w:fill="auto"/>
        <w:tabs>
          <w:tab w:val="left" w:pos="575"/>
        </w:tabs>
        <w:spacing w:after="100"/>
        <w:ind w:left="580" w:hanging="580"/>
        <w:jc w:val="both"/>
      </w:pPr>
      <w:r>
        <w:t xml:space="preserve">Vztahy mezi Smluvními stranami touto smlouvou výslovně neupravené se budou řídit českými, obecně </w:t>
      </w:r>
      <w:r>
        <w:t>závaznými právními předpisy, zejména OZ.</w:t>
      </w:r>
    </w:p>
    <w:p w:rsidR="0032243C" w:rsidRDefault="00366EAC">
      <w:pPr>
        <w:pStyle w:val="Zkladntext1"/>
        <w:numPr>
          <w:ilvl w:val="0"/>
          <w:numId w:val="21"/>
        </w:numPr>
        <w:shd w:val="clear" w:color="auto" w:fill="auto"/>
        <w:tabs>
          <w:tab w:val="left" w:pos="575"/>
        </w:tabs>
        <w:spacing w:after="100"/>
        <w:ind w:left="580" w:hanging="580"/>
        <w:jc w:val="both"/>
      </w:pPr>
      <w:r>
        <w:t xml:space="preserve">Objednatel si vyhrazuje právo zveřejnit obsah této Smlouvy včetně případných dodatků k této Smlouvě. Zhotovitel dále souhlasí se zveřejněním své identifikace a dalších údajů uvedených ve smlouvě včetně celkové ceny </w:t>
      </w:r>
      <w:r>
        <w:t>i ceny jednotlivých položek.</w:t>
      </w:r>
    </w:p>
    <w:p w:rsidR="0032243C" w:rsidRDefault="00366EAC">
      <w:pPr>
        <w:pStyle w:val="Zkladntext1"/>
        <w:numPr>
          <w:ilvl w:val="0"/>
          <w:numId w:val="21"/>
        </w:numPr>
        <w:shd w:val="clear" w:color="auto" w:fill="auto"/>
        <w:tabs>
          <w:tab w:val="left" w:pos="575"/>
        </w:tabs>
        <w:spacing w:after="100"/>
        <w:ind w:left="580" w:hanging="580"/>
        <w:jc w:val="both"/>
      </w:pPr>
      <w:r>
        <w:t>Zhotovitel bere na vědomí, že Objednatel je povinnou osobou ve smyslu zákona č. 106/1999 Sb., o svobodném přístupu k informacím.</w:t>
      </w:r>
    </w:p>
    <w:p w:rsidR="0032243C" w:rsidRDefault="00366EAC">
      <w:pPr>
        <w:pStyle w:val="Zkladntext1"/>
        <w:numPr>
          <w:ilvl w:val="0"/>
          <w:numId w:val="21"/>
        </w:numPr>
        <w:shd w:val="clear" w:color="auto" w:fill="auto"/>
        <w:tabs>
          <w:tab w:val="left" w:pos="575"/>
        </w:tabs>
        <w:spacing w:after="100"/>
        <w:ind w:left="580" w:hanging="580"/>
        <w:jc w:val="both"/>
      </w:pPr>
      <w:r>
        <w:t>Smluvní strany berou na vědomí, že tato smlouva podléhá uveřejnění dle zákona č. 340/2015 Sb., o z</w:t>
      </w:r>
      <w:r>
        <w:t>vláštních podmínkách účinnosti některých smluv, uveřejňování těchto smluv a o registru smluv (zákon o registru smluv). Uveřejnění zajistí Objednatel.</w:t>
      </w:r>
    </w:p>
    <w:p w:rsidR="0032243C" w:rsidRDefault="00366EAC">
      <w:pPr>
        <w:pStyle w:val="Zkladntext1"/>
        <w:numPr>
          <w:ilvl w:val="0"/>
          <w:numId w:val="21"/>
        </w:numPr>
        <w:shd w:val="clear" w:color="auto" w:fill="auto"/>
        <w:tabs>
          <w:tab w:val="left" w:pos="575"/>
        </w:tabs>
        <w:spacing w:after="100"/>
        <w:ind w:left="580" w:hanging="580"/>
        <w:jc w:val="both"/>
      </w:pPr>
      <w:r>
        <w:t>Tato Smlouva nabývá platnosti dnem jejího podpisu oběma smluvními stranami a účinnosti dnem uveřejnění v r</w:t>
      </w:r>
      <w:r>
        <w:t>egistru smluv podle předchozího odstavce.</w:t>
      </w:r>
    </w:p>
    <w:p w:rsidR="0032243C" w:rsidRDefault="00366EAC">
      <w:pPr>
        <w:pStyle w:val="Zkladntext1"/>
        <w:numPr>
          <w:ilvl w:val="0"/>
          <w:numId w:val="21"/>
        </w:numPr>
        <w:shd w:val="clear" w:color="auto" w:fill="auto"/>
        <w:tabs>
          <w:tab w:val="left" w:pos="575"/>
        </w:tabs>
        <w:spacing w:after="100"/>
        <w:jc w:val="both"/>
      </w:pPr>
      <w:r>
        <w:t>Tato Smlouva se uzavírá elektronickou formou.</w:t>
      </w:r>
      <w:r>
        <w:br w:type="page"/>
      </w:r>
    </w:p>
    <w:p w:rsidR="0032243C" w:rsidRDefault="00366EAC">
      <w:pPr>
        <w:pStyle w:val="Zkladntext1"/>
        <w:numPr>
          <w:ilvl w:val="0"/>
          <w:numId w:val="21"/>
        </w:numPr>
        <w:shd w:val="clear" w:color="auto" w:fill="auto"/>
        <w:tabs>
          <w:tab w:val="left" w:pos="571"/>
        </w:tabs>
        <w:spacing w:after="100"/>
        <w:ind w:left="580" w:hanging="580"/>
        <w:jc w:val="both"/>
      </w:pPr>
      <w:r>
        <w:lastRenderedPageBreak/>
        <w:t>Doplňování nebo změnu této smlouvy lze provádět jen se souhlasem Smluvních stran, a to pouze formou písemných dodatků. Žádná ze Smluvních stran se nemůže dovolávat zvl</w:t>
      </w:r>
      <w:r>
        <w:t>áštních, v této Smlouvě neuvedených ústních ujednání a dohod.</w:t>
      </w:r>
    </w:p>
    <w:p w:rsidR="0032243C" w:rsidRDefault="00366EAC">
      <w:pPr>
        <w:pStyle w:val="Zkladntext1"/>
        <w:numPr>
          <w:ilvl w:val="0"/>
          <w:numId w:val="21"/>
        </w:numPr>
        <w:shd w:val="clear" w:color="auto" w:fill="auto"/>
        <w:tabs>
          <w:tab w:val="left" w:pos="571"/>
        </w:tabs>
        <w:spacing w:after="100"/>
        <w:ind w:left="580" w:hanging="580"/>
        <w:jc w:val="both"/>
      </w:pPr>
      <w:r>
        <w:t>Jakékoliv změny kontaktních údajů a kontaktních osob je Smluvní strana oprávněna písemně oznámit druhé straně bez nutnosti uzavření dodatku ke Smlouvě.</w:t>
      </w:r>
    </w:p>
    <w:p w:rsidR="0032243C" w:rsidRDefault="00366EAC">
      <w:pPr>
        <w:pStyle w:val="Zkladntext1"/>
        <w:numPr>
          <w:ilvl w:val="0"/>
          <w:numId w:val="21"/>
        </w:numPr>
        <w:shd w:val="clear" w:color="auto" w:fill="auto"/>
        <w:tabs>
          <w:tab w:val="left" w:pos="571"/>
        </w:tabs>
        <w:spacing w:after="100"/>
        <w:ind w:left="580" w:hanging="580"/>
        <w:jc w:val="both"/>
      </w:pPr>
      <w:r>
        <w:t>Smluvní strany prohlašují, že žádná z nich</w:t>
      </w:r>
      <w:r>
        <w:t xml:space="preserve"> se nepovažuje za slabší Smluvní stranu ve smyslu ustanovení § 433 zákona č. 89/2012 Sb., občanský zákoník.</w:t>
      </w:r>
    </w:p>
    <w:p w:rsidR="0032243C" w:rsidRDefault="00366EAC">
      <w:pPr>
        <w:pStyle w:val="Zkladntext1"/>
        <w:numPr>
          <w:ilvl w:val="0"/>
          <w:numId w:val="21"/>
        </w:numPr>
        <w:shd w:val="clear" w:color="auto" w:fill="auto"/>
        <w:tabs>
          <w:tab w:val="left" w:pos="571"/>
        </w:tabs>
        <w:spacing w:after="100"/>
        <w:ind w:left="580" w:hanging="580"/>
        <w:jc w:val="both"/>
      </w:pPr>
      <w:r>
        <w:t xml:space="preserve">Informace k ochraně osobních údajů jsou ze strany NPÚ uveřejněny na webových stránkách </w:t>
      </w:r>
      <w:hyperlink r:id="rId8" w:history="1">
        <w:r>
          <w:t>www.npu.cz</w:t>
        </w:r>
      </w:hyperlink>
      <w:r>
        <w:t xml:space="preserve"> v sekci „Ochrana o</w:t>
      </w:r>
      <w:r>
        <w:t>sobních údajů“.</w:t>
      </w:r>
    </w:p>
    <w:p w:rsidR="0032243C" w:rsidRDefault="00366EAC">
      <w:pPr>
        <w:pStyle w:val="Zkladntext1"/>
        <w:numPr>
          <w:ilvl w:val="0"/>
          <w:numId w:val="21"/>
        </w:numPr>
        <w:shd w:val="clear" w:color="auto" w:fill="auto"/>
        <w:tabs>
          <w:tab w:val="left" w:pos="571"/>
        </w:tabs>
        <w:spacing w:after="100"/>
      </w:pPr>
      <w:r>
        <w:t>Na důkaz souhlasu s celým obsahem Smlouvy připojují Smluvní strany své podpisy.</w:t>
      </w:r>
    </w:p>
    <w:p w:rsidR="0032243C" w:rsidRDefault="00366EAC">
      <w:pPr>
        <w:pStyle w:val="Zkladntext1"/>
        <w:numPr>
          <w:ilvl w:val="0"/>
          <w:numId w:val="21"/>
        </w:numPr>
        <w:shd w:val="clear" w:color="auto" w:fill="auto"/>
        <w:tabs>
          <w:tab w:val="left" w:pos="571"/>
        </w:tabs>
        <w:spacing w:after="100"/>
      </w:pPr>
      <w:r>
        <w:t>Nedílnou součást této smlouvy tvoří příloha:</w:t>
      </w:r>
    </w:p>
    <w:p w:rsidR="0032243C" w:rsidRDefault="00366EAC">
      <w:pPr>
        <w:pStyle w:val="Zkladntext1"/>
        <w:shd w:val="clear" w:color="auto" w:fill="auto"/>
        <w:spacing w:after="100"/>
        <w:ind w:firstLine="580"/>
      </w:pPr>
      <w:r>
        <w:t>Příloha č. 1: Technické zadání</w:t>
      </w:r>
    </w:p>
    <w:p w:rsidR="0032243C" w:rsidRDefault="00366EAC">
      <w:pPr>
        <w:pStyle w:val="Zkladntext1"/>
        <w:shd w:val="clear" w:color="auto" w:fill="auto"/>
        <w:spacing w:after="100"/>
        <w:ind w:firstLine="580"/>
      </w:pPr>
      <w:r>
        <w:t>Příloha č. 2: Rozpočet</w:t>
      </w:r>
    </w:p>
    <w:p w:rsidR="0032243C" w:rsidRDefault="00366EAC">
      <w:pPr>
        <w:pStyle w:val="Zkladntext1"/>
        <w:shd w:val="clear" w:color="auto" w:fill="auto"/>
        <w:spacing w:after="0"/>
        <w:ind w:firstLine="580"/>
      </w:pPr>
      <w:r>
        <w:t>Příloha č. 3: Seznam pracovišť</w:t>
      </w:r>
    </w:p>
    <w:p w:rsidR="0032243C" w:rsidRDefault="00366EAC">
      <w:pPr>
        <w:spacing w:line="1" w:lineRule="exact"/>
        <w:sectPr w:rsidR="0032243C">
          <w:footerReference w:type="default" r:id="rId9"/>
          <w:pgSz w:w="11900" w:h="16840"/>
          <w:pgMar w:top="744" w:right="1368" w:bottom="1352" w:left="1368" w:header="316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28600" distB="0" distL="0" distR="0" simplePos="0" relativeHeight="125829380" behindDoc="0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228600</wp:posOffset>
                </wp:positionV>
                <wp:extent cx="2334895" cy="18288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243C" w:rsidRDefault="00366EA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Praze, dne dle elektronického podpisu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90.25pt;margin-top:18.pt;width:183.84999999999999pt;height:14.4pt;z-index:-125829373;mso-wrap-distance-left:0;mso-wrap-distance-top:18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Praze, dne dle elektronického podpisu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8600" distB="0" distL="0" distR="0" simplePos="0" relativeHeight="125829382" behindDoc="0" locked="0" layoutInCell="1" allowOverlap="1">
                <wp:simplePos x="0" y="0"/>
                <wp:positionH relativeFrom="page">
                  <wp:posOffset>4072255</wp:posOffset>
                </wp:positionH>
                <wp:positionV relativeFrom="paragraph">
                  <wp:posOffset>228600</wp:posOffset>
                </wp:positionV>
                <wp:extent cx="2334895" cy="18288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243C" w:rsidRDefault="00366EA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Praze, dne dle elektronického podpisu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20.64999999999998pt;margin-top:18.pt;width:183.84999999999999pt;height:14.4pt;z-index:-125829371;mso-wrap-distance-left:0;mso-wrap-distance-top:18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Praze, dne dle elektronického podpisu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243C" w:rsidRDefault="00366EA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14300" distB="0" distL="0" distR="0" simplePos="0" relativeHeight="125829384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114300</wp:posOffset>
                </wp:positionV>
                <wp:extent cx="1252855" cy="18288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243C" w:rsidRDefault="00366EA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(podpis Objednatele)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33.pt;margin-top:9.pt;width:98.650000000000006pt;height:14.4pt;z-index:-125829369;mso-wrap-distance-left:0;mso-wrap-distance-top:9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(podpis Objednatele)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300" distB="0" distL="0" distR="0" simplePos="0" relativeHeight="125829386" behindDoc="0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114300</wp:posOffset>
                </wp:positionV>
                <wp:extent cx="1197610" cy="18288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243C" w:rsidRDefault="00366EA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Zhotovitele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65.30000000000001pt;margin-top:9.pt;width:94.299999999999997pt;height:14.4pt;z-index:-125829367;mso-wrap-distance-left:0;mso-wrap-distance-top:9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(podpis Zhotovitele)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4F69" w:rsidRDefault="00324F69">
      <w:pPr>
        <w:pStyle w:val="Zkladntext1"/>
        <w:shd w:val="clear" w:color="auto" w:fill="auto"/>
        <w:spacing w:after="600" w:line="240" w:lineRule="auto"/>
      </w:pPr>
    </w:p>
    <w:p w:rsidR="00324F69" w:rsidRDefault="00324F69">
      <w:pPr>
        <w:pStyle w:val="Zkladntext1"/>
        <w:shd w:val="clear" w:color="auto" w:fill="auto"/>
        <w:spacing w:after="600" w:line="240" w:lineRule="auto"/>
      </w:pPr>
    </w:p>
    <w:p w:rsidR="00324F69" w:rsidRDefault="00324F69">
      <w:pPr>
        <w:pStyle w:val="Zkladntext1"/>
        <w:shd w:val="clear" w:color="auto" w:fill="auto"/>
        <w:spacing w:after="600" w:line="240" w:lineRule="auto"/>
      </w:pPr>
    </w:p>
    <w:p w:rsidR="00324F69" w:rsidRDefault="00324F69">
      <w:pPr>
        <w:pStyle w:val="Zkladntext1"/>
        <w:shd w:val="clear" w:color="auto" w:fill="auto"/>
        <w:spacing w:after="600" w:line="240" w:lineRule="auto"/>
      </w:pPr>
    </w:p>
    <w:p w:rsidR="00324F69" w:rsidRDefault="00324F69">
      <w:pPr>
        <w:pStyle w:val="Zkladntext1"/>
        <w:shd w:val="clear" w:color="auto" w:fill="auto"/>
        <w:spacing w:after="600" w:line="240" w:lineRule="auto"/>
      </w:pPr>
    </w:p>
    <w:p w:rsidR="00324F69" w:rsidRDefault="00324F69">
      <w:pPr>
        <w:pStyle w:val="Zkladntext1"/>
        <w:shd w:val="clear" w:color="auto" w:fill="auto"/>
        <w:spacing w:after="600" w:line="240" w:lineRule="auto"/>
      </w:pPr>
    </w:p>
    <w:p w:rsidR="00324F69" w:rsidRDefault="00324F69">
      <w:pPr>
        <w:pStyle w:val="Zkladntext1"/>
        <w:shd w:val="clear" w:color="auto" w:fill="auto"/>
        <w:spacing w:after="600" w:line="240" w:lineRule="auto"/>
      </w:pPr>
    </w:p>
    <w:p w:rsidR="00324F69" w:rsidRDefault="00324F69">
      <w:pPr>
        <w:pStyle w:val="Zkladntext1"/>
        <w:shd w:val="clear" w:color="auto" w:fill="auto"/>
        <w:spacing w:after="600" w:line="240" w:lineRule="auto"/>
      </w:pPr>
    </w:p>
    <w:p w:rsidR="00324F69" w:rsidRDefault="00324F69">
      <w:pPr>
        <w:pStyle w:val="Zkladntext1"/>
        <w:shd w:val="clear" w:color="auto" w:fill="auto"/>
        <w:spacing w:after="600" w:line="240" w:lineRule="auto"/>
      </w:pPr>
    </w:p>
    <w:p w:rsidR="00324F69" w:rsidRDefault="00324F69">
      <w:pPr>
        <w:pStyle w:val="Zkladntext1"/>
        <w:shd w:val="clear" w:color="auto" w:fill="auto"/>
        <w:spacing w:after="600" w:line="240" w:lineRule="auto"/>
      </w:pPr>
    </w:p>
    <w:p w:rsidR="00324F69" w:rsidRDefault="00324F69">
      <w:pPr>
        <w:pStyle w:val="Zkladntext1"/>
        <w:shd w:val="clear" w:color="auto" w:fill="auto"/>
        <w:spacing w:after="600" w:line="240" w:lineRule="auto"/>
      </w:pPr>
    </w:p>
    <w:p w:rsidR="0032243C" w:rsidRDefault="00366EAC">
      <w:pPr>
        <w:pStyle w:val="Zkladntext1"/>
        <w:shd w:val="clear" w:color="auto" w:fill="auto"/>
        <w:spacing w:after="600" w:line="240" w:lineRule="auto"/>
      </w:pPr>
      <w:r>
        <w:lastRenderedPageBreak/>
        <w:t>Příloha č. 1 - Technické zadání</w:t>
      </w:r>
    </w:p>
    <w:p w:rsidR="0032243C" w:rsidRDefault="00366EAC">
      <w:pPr>
        <w:pStyle w:val="Zkladntext20"/>
        <w:shd w:val="clear" w:color="auto" w:fill="auto"/>
        <w:jc w:val="both"/>
      </w:pPr>
      <w:r>
        <w:t>Základní popis prostředí</w:t>
      </w:r>
    </w:p>
    <w:p w:rsidR="0032243C" w:rsidRDefault="00366EAC">
      <w:pPr>
        <w:pStyle w:val="Zkladntext1"/>
        <w:shd w:val="clear" w:color="auto" w:fill="auto"/>
        <w:spacing w:line="31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Národní památkový ústav (NPÚ) se v základní úrovni organizačně člení na Generální ředitelství (GnŘ), 14 Územních odborných pracovišť (ÚOP) a 4 Územní památkové správy (ÚPS). Podrobnější informace lze nalézt na webu NPÚ </w:t>
      </w:r>
      <w:r w:rsidRPr="00324F69">
        <w:rPr>
          <w:sz w:val="22"/>
          <w:szCs w:val="22"/>
          <w:lang w:eastAsia="en-US" w:bidi="en-US"/>
        </w:rPr>
        <w:t>(</w:t>
      </w:r>
      <w:hyperlink r:id="rId10" w:history="1">
        <w:r w:rsidRPr="00324F69">
          <w:rPr>
            <w:color w:val="0563C1"/>
            <w:sz w:val="22"/>
            <w:szCs w:val="22"/>
            <w:u w:val="single"/>
            <w:lang w:eastAsia="en-US" w:bidi="en-US"/>
          </w:rPr>
          <w:t>www.npu</w:t>
        </w:r>
        <w:r w:rsidRPr="00324F69">
          <w:rPr>
            <w:color w:val="0563C1"/>
            <w:sz w:val="22"/>
            <w:szCs w:val="22"/>
            <w:u w:val="single"/>
            <w:lang w:eastAsia="en-US" w:bidi="en-US"/>
          </w:rPr>
          <w:t>.cz</w:t>
        </w:r>
      </w:hyperlink>
      <w:r w:rsidRPr="00324F69">
        <w:rPr>
          <w:sz w:val="22"/>
          <w:szCs w:val="22"/>
          <w:lang w:eastAsia="en-US" w:bidi="en-US"/>
        </w:rPr>
        <w:t xml:space="preserve">). </w:t>
      </w:r>
      <w:r>
        <w:rPr>
          <w:sz w:val="22"/>
          <w:szCs w:val="22"/>
        </w:rPr>
        <w:t>Jednotlivé základní organizační jednotky dnes řeší určité části spravované IT infrastruktury samostatně, dle svých možností.</w:t>
      </w:r>
    </w:p>
    <w:p w:rsidR="0032243C" w:rsidRDefault="00366EAC">
      <w:pPr>
        <w:pStyle w:val="Zkladntext1"/>
        <w:shd w:val="clear" w:color="auto" w:fill="auto"/>
        <w:spacing w:line="319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Provozované technologie na jednotlivých pracovištích jsou z větší části stejné, jedná se o souborová úložiště, pokladní sy</w:t>
      </w:r>
      <w:r>
        <w:rPr>
          <w:sz w:val="22"/>
          <w:szCs w:val="22"/>
        </w:rPr>
        <w:t xml:space="preserve">stémy, antivirové řešení, LAN infrastruktura, firewall. Serverová infrastruktura se nejčastěji opírá o </w:t>
      </w:r>
      <w:proofErr w:type="spellStart"/>
      <w:r>
        <w:rPr>
          <w:sz w:val="22"/>
          <w:szCs w:val="22"/>
        </w:rPr>
        <w:t>virtualizační</w:t>
      </w:r>
      <w:proofErr w:type="spellEnd"/>
      <w:r>
        <w:rPr>
          <w:sz w:val="22"/>
          <w:szCs w:val="22"/>
        </w:rPr>
        <w:t xml:space="preserve"> platformu </w:t>
      </w:r>
      <w:proofErr w:type="spellStart"/>
      <w:r>
        <w:rPr>
          <w:sz w:val="22"/>
          <w:szCs w:val="22"/>
        </w:rPr>
        <w:t>VMware</w:t>
      </w:r>
      <w:proofErr w:type="spellEnd"/>
      <w:r>
        <w:rPr>
          <w:sz w:val="22"/>
          <w:szCs w:val="22"/>
        </w:rPr>
        <w:t xml:space="preserve">, Hyper-V nebo KVM. Lokální souborová úložiště jsou většinou tvořena NAS jednotkami </w:t>
      </w:r>
      <w:proofErr w:type="spellStart"/>
      <w:r>
        <w:rPr>
          <w:sz w:val="22"/>
          <w:szCs w:val="22"/>
        </w:rPr>
        <w:t>Synology</w:t>
      </w:r>
      <w:proofErr w:type="spellEnd"/>
      <w:r>
        <w:rPr>
          <w:sz w:val="22"/>
          <w:szCs w:val="22"/>
        </w:rPr>
        <w:t>, QNAP apod., s mapováním uživa</w:t>
      </w:r>
      <w:r>
        <w:rPr>
          <w:sz w:val="22"/>
          <w:szCs w:val="22"/>
        </w:rPr>
        <w:t xml:space="preserve">telům na stanicích. Objem lokálně uložených dat je cca mezi 3 až 30TB. Na části pracovišť je provozované lokální </w:t>
      </w:r>
      <w:proofErr w:type="spellStart"/>
      <w:r>
        <w:rPr>
          <w:sz w:val="22"/>
          <w:szCs w:val="22"/>
        </w:rPr>
        <w:t>Active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Directory</w:t>
      </w:r>
      <w:proofErr w:type="spellEnd"/>
      <w:r>
        <w:rPr>
          <w:sz w:val="22"/>
          <w:szCs w:val="22"/>
        </w:rPr>
        <w:t xml:space="preserve"> v různých verzích (2003, 2008, 2008 R2, 2012, 2012 R2, 2016 a 2019), na různých operačních systémech, a i s různou měrou využi</w:t>
      </w:r>
      <w:r>
        <w:rPr>
          <w:sz w:val="22"/>
          <w:szCs w:val="22"/>
        </w:rPr>
        <w:t>telnosti. Na několika pracovištích je provozováno prostředí Samba Server.</w:t>
      </w:r>
    </w:p>
    <w:p w:rsidR="0032243C" w:rsidRDefault="00366EAC">
      <w:pPr>
        <w:pStyle w:val="Zkladntext1"/>
        <w:shd w:val="clear" w:color="auto" w:fill="auto"/>
        <w:spacing w:line="322" w:lineRule="auto"/>
        <w:jc w:val="both"/>
        <w:rPr>
          <w:sz w:val="22"/>
          <w:szCs w:val="22"/>
        </w:rPr>
      </w:pPr>
      <w:r>
        <w:rPr>
          <w:sz w:val="22"/>
          <w:szCs w:val="22"/>
        </w:rPr>
        <w:t>V centrální lokalitě datového centra (infrastruktura není součástí lokální sítě GnŘ, je umístěna v pronajatém datovém centru v Praze), kde jsou aktuálně provozovány všechny klíčové c</w:t>
      </w:r>
      <w:r>
        <w:rPr>
          <w:sz w:val="22"/>
          <w:szCs w:val="22"/>
        </w:rPr>
        <w:t xml:space="preserve">entrální aplikace NPÚ, existují historicky dvě LDAP prostředí. Jedno je ručně udržované </w:t>
      </w:r>
      <w:proofErr w:type="spellStart"/>
      <w:r>
        <w:rPr>
          <w:sz w:val="22"/>
          <w:szCs w:val="22"/>
        </w:rPr>
        <w:t>Active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Directory</w:t>
      </w:r>
      <w:proofErr w:type="spellEnd"/>
      <w:r>
        <w:rPr>
          <w:sz w:val="22"/>
          <w:szCs w:val="22"/>
        </w:rPr>
        <w:t xml:space="preserve"> a slouží primárně pro přístup na terminálovou farmu, aplikační servery a správu prostředí datového centra. A druhé, které sdružuje všechny identity int</w:t>
      </w:r>
      <w:r>
        <w:rPr>
          <w:sz w:val="22"/>
          <w:szCs w:val="22"/>
        </w:rPr>
        <w:t xml:space="preserve">erních i externích uživatelů systémů NPÚ, je založené na technologii </w:t>
      </w:r>
      <w:proofErr w:type="spellStart"/>
      <w:r>
        <w:rPr>
          <w:sz w:val="22"/>
          <w:szCs w:val="22"/>
        </w:rPr>
        <w:t>OpenLDAP</w:t>
      </w:r>
      <w:proofErr w:type="spellEnd"/>
      <w:r>
        <w:rPr>
          <w:sz w:val="22"/>
          <w:szCs w:val="22"/>
        </w:rPr>
        <w:t>, s automatizovanou synchronizací s personálním systémem NPÚ.</w:t>
      </w:r>
    </w:p>
    <w:p w:rsidR="0032243C" w:rsidRDefault="00366EAC">
      <w:pPr>
        <w:pStyle w:val="Zkladntext1"/>
        <w:shd w:val="clear" w:color="auto" w:fill="auto"/>
        <w:spacing w:after="540" w:line="319" w:lineRule="auto"/>
        <w:jc w:val="both"/>
        <w:rPr>
          <w:sz w:val="22"/>
          <w:szCs w:val="22"/>
        </w:rPr>
      </w:pPr>
      <w:r>
        <w:rPr>
          <w:sz w:val="22"/>
          <w:szCs w:val="22"/>
        </w:rPr>
        <w:t>Nově bylo v rámci probíhající konsolidace počítačové sítě NPÚ vybudováno v prostředí datového centra nové řešení cent</w:t>
      </w:r>
      <w:r>
        <w:rPr>
          <w:sz w:val="22"/>
          <w:szCs w:val="22"/>
        </w:rPr>
        <w:t xml:space="preserve">rální </w:t>
      </w:r>
      <w:proofErr w:type="spellStart"/>
      <w:r>
        <w:rPr>
          <w:sz w:val="22"/>
          <w:szCs w:val="22"/>
        </w:rPr>
        <w:t>Active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Directory</w:t>
      </w:r>
      <w:proofErr w:type="spellEnd"/>
      <w:r>
        <w:rPr>
          <w:sz w:val="22"/>
          <w:szCs w:val="22"/>
        </w:rPr>
        <w:t xml:space="preserve"> na platformě MS Windows Server 2019. Nová doména je distribuovaná, je tvořena dvojicí doménových řadičů umístěných v datovém centru a dalšími doménovými řadiči, které jsou umístěny v lokalitách jednotlivých pracovišť. Tyto pracoviště</w:t>
      </w:r>
      <w:r>
        <w:rPr>
          <w:sz w:val="22"/>
          <w:szCs w:val="22"/>
        </w:rPr>
        <w:t xml:space="preserve"> jsou reprezentovány objekty AD </w:t>
      </w:r>
      <w:proofErr w:type="spellStart"/>
      <w:r>
        <w:rPr>
          <w:sz w:val="22"/>
          <w:szCs w:val="22"/>
        </w:rPr>
        <w:t>Sites</w:t>
      </w:r>
      <w:proofErr w:type="spellEnd"/>
      <w:r>
        <w:rPr>
          <w:sz w:val="22"/>
          <w:szCs w:val="22"/>
        </w:rPr>
        <w:t xml:space="preserve">. Distribuce domény na jednotlivá pracoviště je realizována pomocí umístění dalších doménových řadičů na tyto lokality, do jednotlivých AD </w:t>
      </w:r>
      <w:proofErr w:type="spellStart"/>
      <w:r>
        <w:rPr>
          <w:sz w:val="22"/>
          <w:szCs w:val="22"/>
        </w:rPr>
        <w:t>Sites</w:t>
      </w:r>
      <w:proofErr w:type="spellEnd"/>
      <w:r>
        <w:rPr>
          <w:sz w:val="22"/>
          <w:szCs w:val="22"/>
        </w:rPr>
        <w:t xml:space="preserve">. Součástí řešení je i implementace certifikační autority, Group </w:t>
      </w:r>
      <w:proofErr w:type="spellStart"/>
      <w:r>
        <w:rPr>
          <w:sz w:val="22"/>
          <w:szCs w:val="22"/>
        </w:rPr>
        <w:t>Policy</w:t>
      </w:r>
      <w:proofErr w:type="spellEnd"/>
      <w:r>
        <w:rPr>
          <w:sz w:val="22"/>
          <w:szCs w:val="22"/>
        </w:rPr>
        <w:t xml:space="preserve"> a i</w:t>
      </w:r>
      <w:r>
        <w:rPr>
          <w:sz w:val="22"/>
          <w:szCs w:val="22"/>
        </w:rPr>
        <w:t>nstalace nových DHCP serverů na jednotlivé lokality.</w:t>
      </w:r>
    </w:p>
    <w:p w:rsidR="0032243C" w:rsidRDefault="00366EAC">
      <w:pPr>
        <w:pStyle w:val="Zkladntext20"/>
        <w:shd w:val="clear" w:color="auto" w:fill="auto"/>
        <w:jc w:val="both"/>
      </w:pPr>
      <w:r>
        <w:t>Předmět plnění</w:t>
      </w:r>
    </w:p>
    <w:p w:rsidR="0032243C" w:rsidRDefault="00366EAC">
      <w:pPr>
        <w:pStyle w:val="Zkladntext1"/>
        <w:shd w:val="clear" w:color="auto" w:fill="auto"/>
        <w:spacing w:line="31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plnění je aktivní podpora pracovníků zadavatele při migraci ze stávajících lokálních prostředí jednotlivých pracovišť NPÚ do vytvořeného řešení centrální </w:t>
      </w:r>
      <w:proofErr w:type="spellStart"/>
      <w:r>
        <w:rPr>
          <w:sz w:val="22"/>
          <w:szCs w:val="22"/>
        </w:rPr>
        <w:t>Active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Directory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Migrace jednotlivých pracovišť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nového centrálního AD </w:t>
      </w:r>
      <w:proofErr w:type="gramStart"/>
      <w:r>
        <w:rPr>
          <w:sz w:val="22"/>
          <w:szCs w:val="22"/>
        </w:rPr>
        <w:t>bude</w:t>
      </w:r>
      <w:proofErr w:type="gramEnd"/>
      <w:r>
        <w:rPr>
          <w:sz w:val="22"/>
          <w:szCs w:val="22"/>
        </w:rPr>
        <w:t xml:space="preserve"> probíhat postupně v rámci celé doby realizace veřejné zakázky, dle stanoveného rámcového harmonogramu.</w:t>
      </w:r>
    </w:p>
    <w:p w:rsidR="0032243C" w:rsidRDefault="00366EAC">
      <w:pPr>
        <w:pStyle w:val="Zkladntext1"/>
        <w:shd w:val="clear" w:color="auto" w:fill="auto"/>
        <w:spacing w:line="319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dobu migrace (realizované zadavatelem) každého jednotlivého pracoviště zajišťuje dodavate</w:t>
      </w:r>
      <w:r>
        <w:rPr>
          <w:sz w:val="22"/>
          <w:szCs w:val="22"/>
        </w:rPr>
        <w:t xml:space="preserve">l migrační podporu - zajišťuje přípravu obecné AD </w:t>
      </w:r>
      <w:proofErr w:type="spellStart"/>
      <w:r w:rsidRPr="00324F69">
        <w:rPr>
          <w:sz w:val="22"/>
          <w:szCs w:val="22"/>
          <w:lang w:eastAsia="en-US" w:bidi="en-US"/>
        </w:rPr>
        <w:t>integrated</w:t>
      </w:r>
      <w:proofErr w:type="spellEnd"/>
      <w:r w:rsidRPr="00324F69">
        <w:rPr>
          <w:sz w:val="22"/>
          <w:szCs w:val="22"/>
          <w:lang w:eastAsia="en-US" w:bidi="en-US"/>
        </w:rPr>
        <w:t xml:space="preserve"> </w:t>
      </w:r>
      <w:r>
        <w:rPr>
          <w:sz w:val="22"/>
          <w:szCs w:val="22"/>
        </w:rPr>
        <w:t>lokality v NPU pro rozšíření nové centrální domény na lokalitu a přípravu lokality pro migraci, operativně upravuje postup migrace, případně řeší neočekávané situace v prostředí zadavatele.</w:t>
      </w:r>
    </w:p>
    <w:p w:rsidR="0032243C" w:rsidRDefault="00366EAC">
      <w:pPr>
        <w:pStyle w:val="Zkladntext1"/>
        <w:shd w:val="clear" w:color="auto" w:fill="auto"/>
        <w:spacing w:after="80"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 tét</w:t>
      </w:r>
      <w:r>
        <w:rPr>
          <w:sz w:val="22"/>
          <w:szCs w:val="22"/>
        </w:rPr>
        <w:t>o fázi bude dodavatel operativně řešit technické problémy vzniklé v rámci migrace objektů, např. následující situace:</w:t>
      </w:r>
    </w:p>
    <w:p w:rsidR="0032243C" w:rsidRDefault="00366EAC">
      <w:pPr>
        <w:pStyle w:val="Zkladntext1"/>
        <w:numPr>
          <w:ilvl w:val="0"/>
          <w:numId w:val="22"/>
        </w:numPr>
        <w:shd w:val="clear" w:color="auto" w:fill="auto"/>
        <w:tabs>
          <w:tab w:val="left" w:pos="1379"/>
        </w:tabs>
        <w:spacing w:line="206" w:lineRule="auto"/>
        <w:ind w:left="1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Nekonzistentní stav na </w:t>
      </w:r>
      <w:proofErr w:type="spellStart"/>
      <w:r>
        <w:rPr>
          <w:sz w:val="22"/>
          <w:szCs w:val="22"/>
        </w:rPr>
        <w:t>zmigrovaných</w:t>
      </w:r>
      <w:proofErr w:type="spellEnd"/>
      <w:r>
        <w:rPr>
          <w:sz w:val="22"/>
          <w:szCs w:val="22"/>
        </w:rPr>
        <w:t xml:space="preserve"> stanicích</w:t>
      </w:r>
    </w:p>
    <w:p w:rsidR="0032243C" w:rsidRDefault="00366EAC">
      <w:pPr>
        <w:pStyle w:val="Zkladntext1"/>
        <w:numPr>
          <w:ilvl w:val="0"/>
          <w:numId w:val="22"/>
        </w:numPr>
        <w:shd w:val="clear" w:color="auto" w:fill="auto"/>
        <w:tabs>
          <w:tab w:val="left" w:pos="1379"/>
        </w:tabs>
        <w:spacing w:line="206" w:lineRule="auto"/>
        <w:ind w:left="1020"/>
        <w:jc w:val="both"/>
        <w:rPr>
          <w:sz w:val="22"/>
          <w:szCs w:val="22"/>
        </w:rPr>
      </w:pPr>
      <w:r>
        <w:rPr>
          <w:sz w:val="22"/>
          <w:szCs w:val="22"/>
        </w:rPr>
        <w:t>Chybné nastavení v migračních serverech</w:t>
      </w:r>
    </w:p>
    <w:p w:rsidR="0032243C" w:rsidRDefault="00366EAC">
      <w:pPr>
        <w:pStyle w:val="Zkladntext1"/>
        <w:numPr>
          <w:ilvl w:val="0"/>
          <w:numId w:val="22"/>
        </w:numPr>
        <w:shd w:val="clear" w:color="auto" w:fill="auto"/>
        <w:tabs>
          <w:tab w:val="left" w:pos="1379"/>
        </w:tabs>
        <w:spacing w:after="80" w:line="206" w:lineRule="auto"/>
        <w:ind w:left="1020"/>
        <w:jc w:val="both"/>
        <w:rPr>
          <w:sz w:val="22"/>
          <w:szCs w:val="22"/>
        </w:rPr>
      </w:pPr>
      <w:r>
        <w:rPr>
          <w:sz w:val="22"/>
          <w:szCs w:val="22"/>
        </w:rPr>
        <w:t>Chybné nastavení v nových skupinových politikách</w:t>
      </w:r>
    </w:p>
    <w:p w:rsidR="0032243C" w:rsidRDefault="00366EAC">
      <w:pPr>
        <w:pStyle w:val="Zkladntext1"/>
        <w:numPr>
          <w:ilvl w:val="0"/>
          <w:numId w:val="22"/>
        </w:numPr>
        <w:shd w:val="clear" w:color="auto" w:fill="auto"/>
        <w:tabs>
          <w:tab w:val="left" w:pos="1379"/>
        </w:tabs>
        <w:spacing w:after="80" w:line="240" w:lineRule="auto"/>
        <w:ind w:left="13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Chybné nastavení v nových objektech </w:t>
      </w:r>
      <w:proofErr w:type="spellStart"/>
      <w:r>
        <w:rPr>
          <w:sz w:val="22"/>
          <w:szCs w:val="22"/>
        </w:rPr>
        <w:t>Active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Directory</w:t>
      </w:r>
      <w:proofErr w:type="spellEnd"/>
      <w:r>
        <w:rPr>
          <w:sz w:val="22"/>
          <w:szCs w:val="22"/>
        </w:rPr>
        <w:t>, vzniklých během migrace</w:t>
      </w:r>
    </w:p>
    <w:p w:rsidR="0032243C" w:rsidRDefault="00366EAC">
      <w:pPr>
        <w:pStyle w:val="Zkladntext1"/>
        <w:numPr>
          <w:ilvl w:val="0"/>
          <w:numId w:val="22"/>
        </w:numPr>
        <w:shd w:val="clear" w:color="auto" w:fill="auto"/>
        <w:tabs>
          <w:tab w:val="left" w:pos="1379"/>
        </w:tabs>
        <w:spacing w:after="180" w:line="240" w:lineRule="auto"/>
        <w:ind w:left="1380" w:hanging="360"/>
        <w:jc w:val="both"/>
        <w:rPr>
          <w:sz w:val="22"/>
          <w:szCs w:val="22"/>
        </w:rPr>
      </w:pPr>
      <w:r>
        <w:rPr>
          <w:sz w:val="22"/>
          <w:szCs w:val="22"/>
        </w:rPr>
        <w:t>Jiné neočekávané stavy vzniklé během migrace, které s ním mají z pohledu zadavatele souvislost</w:t>
      </w:r>
    </w:p>
    <w:p w:rsidR="0032243C" w:rsidRDefault="00366EAC">
      <w:pPr>
        <w:pStyle w:val="Zkladntext1"/>
        <w:shd w:val="clear" w:color="auto" w:fill="auto"/>
        <w:spacing w:after="0"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pohledu zadavatele budou jednotlivé vzniklé situace definovány </w:t>
      </w:r>
      <w:r>
        <w:rPr>
          <w:sz w:val="22"/>
          <w:szCs w:val="22"/>
        </w:rPr>
        <w:t>důležitostí/dopadem na tři úrovně:</w:t>
      </w:r>
    </w:p>
    <w:p w:rsidR="0032243C" w:rsidRDefault="00366EAC">
      <w:pPr>
        <w:pStyle w:val="Zkladntext1"/>
        <w:numPr>
          <w:ilvl w:val="0"/>
          <w:numId w:val="22"/>
        </w:numPr>
        <w:shd w:val="clear" w:color="auto" w:fill="auto"/>
        <w:tabs>
          <w:tab w:val="left" w:pos="1379"/>
        </w:tabs>
        <w:spacing w:after="80" w:line="271" w:lineRule="auto"/>
        <w:ind w:left="13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Kritická - za kritickou úroveň se považuje stav celkové nefunkčnosti prostředí </w:t>
      </w:r>
      <w:proofErr w:type="spellStart"/>
      <w:r>
        <w:rPr>
          <w:sz w:val="22"/>
          <w:szCs w:val="22"/>
        </w:rPr>
        <w:t>Active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Directory</w:t>
      </w:r>
      <w:proofErr w:type="spellEnd"/>
      <w:r>
        <w:rPr>
          <w:sz w:val="22"/>
          <w:szCs w:val="22"/>
        </w:rPr>
        <w:t xml:space="preserve"> nebo nemožnosti využívat jeho klíčové funkcionality nadpolovičním počtem uživatelů dané lokality</w:t>
      </w:r>
    </w:p>
    <w:p w:rsidR="0032243C" w:rsidRDefault="00366EAC">
      <w:pPr>
        <w:pStyle w:val="Zkladntext1"/>
        <w:numPr>
          <w:ilvl w:val="0"/>
          <w:numId w:val="22"/>
        </w:numPr>
        <w:shd w:val="clear" w:color="auto" w:fill="auto"/>
        <w:tabs>
          <w:tab w:val="left" w:pos="1379"/>
        </w:tabs>
        <w:spacing w:after="80" w:line="271" w:lineRule="auto"/>
        <w:ind w:left="1380" w:hanging="360"/>
        <w:jc w:val="both"/>
        <w:rPr>
          <w:sz w:val="22"/>
          <w:szCs w:val="22"/>
        </w:rPr>
      </w:pPr>
      <w:r>
        <w:rPr>
          <w:sz w:val="22"/>
          <w:szCs w:val="22"/>
        </w:rPr>
        <w:t>Významná - za významnou úrov</w:t>
      </w:r>
      <w:r>
        <w:rPr>
          <w:sz w:val="22"/>
          <w:szCs w:val="22"/>
        </w:rPr>
        <w:t xml:space="preserve">eň se považuje stav, kdy je omezena část funkcionalit prostředí </w:t>
      </w:r>
      <w:proofErr w:type="spellStart"/>
      <w:r>
        <w:rPr>
          <w:sz w:val="22"/>
          <w:szCs w:val="22"/>
        </w:rPr>
        <w:t>Active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Directory</w:t>
      </w:r>
      <w:proofErr w:type="spellEnd"/>
      <w:r>
        <w:rPr>
          <w:sz w:val="22"/>
          <w:szCs w:val="22"/>
        </w:rPr>
        <w:t xml:space="preserve"> s dopadem na méně než polovinu uživatelů dané lokality</w:t>
      </w:r>
    </w:p>
    <w:p w:rsidR="0032243C" w:rsidRDefault="00366EAC">
      <w:pPr>
        <w:pStyle w:val="Zkladntext1"/>
        <w:numPr>
          <w:ilvl w:val="0"/>
          <w:numId w:val="22"/>
        </w:numPr>
        <w:shd w:val="clear" w:color="auto" w:fill="auto"/>
        <w:tabs>
          <w:tab w:val="left" w:pos="1379"/>
        </w:tabs>
        <w:spacing w:after="620" w:line="271" w:lineRule="auto"/>
        <w:ind w:left="1380" w:hanging="360"/>
        <w:jc w:val="both"/>
        <w:rPr>
          <w:sz w:val="22"/>
          <w:szCs w:val="22"/>
        </w:rPr>
      </w:pPr>
      <w:r>
        <w:rPr>
          <w:sz w:val="22"/>
          <w:szCs w:val="22"/>
        </w:rPr>
        <w:t>Normální - za normální úroveň se považuje stav, při kterém nedochází k přímému omezení činnosti uživatelů, anebo je možn</w:t>
      </w:r>
      <w:r>
        <w:rPr>
          <w:sz w:val="22"/>
          <w:szCs w:val="22"/>
        </w:rPr>
        <w:t>é pro řešení daného technického problému použít dočasně náhradní postup.</w:t>
      </w:r>
    </w:p>
    <w:p w:rsidR="0032243C" w:rsidRDefault="00366EAC">
      <w:pPr>
        <w:pStyle w:val="Zkladntext1"/>
        <w:shd w:val="clear" w:color="auto" w:fill="auto"/>
        <w:spacing w:after="80" w:line="319" w:lineRule="auto"/>
        <w:rPr>
          <w:sz w:val="22"/>
          <w:szCs w:val="22"/>
        </w:rPr>
      </w:pPr>
      <w:r>
        <w:rPr>
          <w:sz w:val="22"/>
          <w:szCs w:val="22"/>
        </w:rPr>
        <w:t>Dodavatel bude k takto označeným situacím přistupovat následně:</w:t>
      </w:r>
    </w:p>
    <w:p w:rsidR="0032243C" w:rsidRDefault="00366EAC">
      <w:pPr>
        <w:pStyle w:val="Zkladntext1"/>
        <w:numPr>
          <w:ilvl w:val="0"/>
          <w:numId w:val="22"/>
        </w:numPr>
        <w:shd w:val="clear" w:color="auto" w:fill="auto"/>
        <w:tabs>
          <w:tab w:val="left" w:pos="1379"/>
        </w:tabs>
        <w:spacing w:line="206" w:lineRule="auto"/>
        <w:ind w:left="1020"/>
        <w:jc w:val="both"/>
        <w:rPr>
          <w:sz w:val="22"/>
          <w:szCs w:val="22"/>
        </w:rPr>
      </w:pPr>
      <w:r>
        <w:rPr>
          <w:sz w:val="22"/>
          <w:szCs w:val="22"/>
        </w:rPr>
        <w:t>Kritická událost bude řešena maximálně do 4 hodin</w:t>
      </w:r>
    </w:p>
    <w:p w:rsidR="0032243C" w:rsidRDefault="00366EAC">
      <w:pPr>
        <w:pStyle w:val="Zkladntext1"/>
        <w:numPr>
          <w:ilvl w:val="0"/>
          <w:numId w:val="22"/>
        </w:numPr>
        <w:shd w:val="clear" w:color="auto" w:fill="auto"/>
        <w:tabs>
          <w:tab w:val="left" w:pos="1379"/>
        </w:tabs>
        <w:spacing w:line="206" w:lineRule="auto"/>
        <w:ind w:left="1020"/>
        <w:jc w:val="both"/>
        <w:rPr>
          <w:sz w:val="22"/>
          <w:szCs w:val="22"/>
        </w:rPr>
      </w:pPr>
      <w:r>
        <w:rPr>
          <w:sz w:val="22"/>
          <w:szCs w:val="22"/>
        </w:rPr>
        <w:t>Významná událost bude řešena do následujícího pracovního dne</w:t>
      </w:r>
    </w:p>
    <w:p w:rsidR="0032243C" w:rsidRDefault="00366EAC">
      <w:pPr>
        <w:pStyle w:val="Zkladntext1"/>
        <w:numPr>
          <w:ilvl w:val="0"/>
          <w:numId w:val="22"/>
        </w:numPr>
        <w:shd w:val="clear" w:color="auto" w:fill="auto"/>
        <w:tabs>
          <w:tab w:val="left" w:pos="1379"/>
        </w:tabs>
        <w:spacing w:after="620" w:line="206" w:lineRule="auto"/>
        <w:ind w:left="1020"/>
        <w:jc w:val="both"/>
        <w:rPr>
          <w:sz w:val="22"/>
          <w:szCs w:val="22"/>
        </w:rPr>
      </w:pPr>
      <w:r>
        <w:rPr>
          <w:sz w:val="22"/>
          <w:szCs w:val="22"/>
        </w:rPr>
        <w:t>Normální</w:t>
      </w:r>
      <w:r>
        <w:rPr>
          <w:sz w:val="22"/>
          <w:szCs w:val="22"/>
        </w:rPr>
        <w:t xml:space="preserve"> maximálně do tří dnů od nahlášení</w:t>
      </w:r>
    </w:p>
    <w:p w:rsidR="0032243C" w:rsidRDefault="00366EAC">
      <w:pPr>
        <w:pStyle w:val="Zkladntext1"/>
        <w:shd w:val="clear" w:color="auto" w:fill="auto"/>
        <w:spacing w:after="100" w:line="319" w:lineRule="auto"/>
        <w:jc w:val="both"/>
        <w:rPr>
          <w:sz w:val="22"/>
          <w:szCs w:val="22"/>
        </w:rPr>
        <w:sectPr w:rsidR="0032243C">
          <w:type w:val="continuous"/>
          <w:pgSz w:w="11900" w:h="16840"/>
          <w:pgMar w:top="1700" w:right="1367" w:bottom="1423" w:left="1364" w:header="1272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Celková doba trvání realizace této části je zcela vázaná na časové možnosti zadavatele a bude tedy omezena pouze délkou trvání celého projektu.</w:t>
      </w:r>
    </w:p>
    <w:p w:rsidR="0032243C" w:rsidRDefault="00366EAC">
      <w:pPr>
        <w:pStyle w:val="Zkladntext1"/>
        <w:shd w:val="clear" w:color="auto" w:fill="auto"/>
        <w:spacing w:line="319" w:lineRule="auto"/>
        <w:ind w:left="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Součástí plnění je i podpora při migraci serverů, </w:t>
      </w:r>
      <w:r>
        <w:rPr>
          <w:sz w:val="22"/>
          <w:szCs w:val="22"/>
        </w:rPr>
        <w:t>primárně v centrální lokalitě datového centra, ale i na jednotlivých pracovištích. Servery budou rozděleny do skupin dle provázanosti na okolní systémy, typu využití a kvalifikovaného odhadu dopadu na samotné fungování NPÚ. Následně bude připraven časový a</w:t>
      </w:r>
      <w:r>
        <w:rPr>
          <w:sz w:val="22"/>
          <w:szCs w:val="22"/>
        </w:rPr>
        <w:t xml:space="preserve"> operační plán, jak a kdy konkrétní skupiny serverů migrovat.</w:t>
      </w:r>
    </w:p>
    <w:p w:rsidR="0032243C" w:rsidRDefault="00366EAC">
      <w:pPr>
        <w:pStyle w:val="Zkladntext1"/>
        <w:shd w:val="clear" w:color="auto" w:fill="auto"/>
        <w:spacing w:after="400" w:line="319" w:lineRule="auto"/>
        <w:ind w:left="400"/>
        <w:rPr>
          <w:sz w:val="22"/>
          <w:szCs w:val="22"/>
        </w:rPr>
      </w:pPr>
      <w:r>
        <w:rPr>
          <w:sz w:val="22"/>
          <w:szCs w:val="22"/>
        </w:rPr>
        <w:t>Výsledný stav je plná migrace všech objektů určených k migraci. Dále bude nová centrální doména zbavena artefaktů, které souvisely s původním propojením mezi doménami. Protože se neočekává okamž</w:t>
      </w:r>
      <w:r>
        <w:rPr>
          <w:sz w:val="22"/>
          <w:szCs w:val="22"/>
        </w:rPr>
        <w:t>ité ukončení běhu všech původních prostředí, bude dodavatelem dodán postup, jak toto provést až s časovým odstupem, vlastními silami zadavatele.</w:t>
      </w:r>
    </w:p>
    <w:p w:rsidR="0032243C" w:rsidRDefault="00366EAC">
      <w:pPr>
        <w:pStyle w:val="Zkladntext1"/>
        <w:shd w:val="clear" w:color="auto" w:fill="auto"/>
        <w:spacing w:after="240" w:line="319" w:lineRule="auto"/>
        <w:ind w:left="400"/>
        <w:rPr>
          <w:sz w:val="22"/>
          <w:szCs w:val="22"/>
        </w:rPr>
      </w:pPr>
      <w:r>
        <w:rPr>
          <w:sz w:val="22"/>
          <w:szCs w:val="22"/>
        </w:rPr>
        <w:t>Součástí poptávaných prací je rovněž projektové řízení.</w:t>
      </w:r>
    </w:p>
    <w:p w:rsidR="0032243C" w:rsidRDefault="00366EAC">
      <w:pPr>
        <w:pStyle w:val="Zkladntext1"/>
        <w:shd w:val="clear" w:color="auto" w:fill="auto"/>
        <w:spacing w:after="240" w:line="322" w:lineRule="auto"/>
        <w:ind w:left="400"/>
        <w:rPr>
          <w:sz w:val="22"/>
          <w:szCs w:val="22"/>
        </w:rPr>
        <w:sectPr w:rsidR="0032243C">
          <w:pgSz w:w="11900" w:h="16840"/>
          <w:pgMar w:top="1705" w:right="401" w:bottom="1705" w:left="983" w:header="1277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Celkový limit plnění je zadavate</w:t>
      </w:r>
      <w:r>
        <w:rPr>
          <w:sz w:val="22"/>
          <w:szCs w:val="22"/>
        </w:rPr>
        <w:t>lem stanoven na 39 MD (1 MD = 8 hodin práce jednoho pracovníka). Dodavatel uvede pevnou cenu za 1 MD v položkovém rozpočtu a bude povinen v průběhu plnění min. 1x za čtvrtletí reportovat jeho čerpání.</w:t>
      </w:r>
    </w:p>
    <w:p w:rsidR="0032243C" w:rsidRDefault="00366EAC">
      <w:pPr>
        <w:pStyle w:val="Zkladntext1"/>
        <w:shd w:val="clear" w:color="auto" w:fill="auto"/>
        <w:spacing w:line="240" w:lineRule="auto"/>
        <w:ind w:firstLine="400"/>
      </w:pPr>
      <w:r>
        <w:lastRenderedPageBreak/>
        <w:t xml:space="preserve">Příloha </w:t>
      </w:r>
      <w:proofErr w:type="gramStart"/>
      <w:r>
        <w:t>č. 2 Rozpočet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848"/>
      </w:tblGrid>
      <w:tr w:rsidR="00322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Název VZ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0B3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 xml:space="preserve">Podpora migrace </w:t>
            </w:r>
            <w:r>
              <w:rPr>
                <w:rFonts w:ascii="Cambria" w:eastAsia="Cambria" w:hAnsi="Cambria" w:cs="Cambria"/>
                <w:b/>
                <w:bCs/>
                <w:sz w:val="15"/>
                <w:szCs w:val="15"/>
                <w:lang w:val="en-US" w:eastAsia="en-US" w:bidi="en-US"/>
              </w:rPr>
              <w:t>Active D</w:t>
            </w:r>
            <w:r>
              <w:rPr>
                <w:rFonts w:ascii="Cambria" w:eastAsia="Cambria" w:hAnsi="Cambria" w:cs="Cambria"/>
                <w:b/>
                <w:bCs/>
                <w:sz w:val="15"/>
                <w:szCs w:val="15"/>
                <w:lang w:val="en-US" w:eastAsia="en-US" w:bidi="en-US"/>
              </w:rPr>
              <w:t>irectory</w:t>
            </w:r>
          </w:p>
        </w:tc>
      </w:tr>
      <w:tr w:rsidR="00322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Identifikace účastníka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15"/>
                <w:szCs w:val="15"/>
                <w:lang w:val="en-US" w:eastAsia="en-US" w:bidi="en-US"/>
              </w:rPr>
              <w:t>SoftwareONE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15"/>
                <w:szCs w:val="15"/>
                <w:lang w:val="en-US" w:eastAsia="en-US" w:bidi="en-US"/>
              </w:rPr>
              <w:t xml:space="preserve"> Czech Republic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15"/>
                <w:szCs w:val="15"/>
                <w:lang w:val="en-US" w:eastAsia="en-US" w:bidi="en-US"/>
              </w:rPr>
              <w:t>s.r.o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15"/>
                <w:szCs w:val="15"/>
                <w:lang w:val="en-US" w:eastAsia="en-US" w:bidi="en-US"/>
              </w:rPr>
              <w:t>.</w:t>
            </w:r>
          </w:p>
        </w:tc>
      </w:tr>
      <w:tr w:rsidR="0032243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IČO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24207519</w:t>
            </w:r>
          </w:p>
        </w:tc>
      </w:tr>
    </w:tbl>
    <w:p w:rsidR="0032243C" w:rsidRDefault="0032243C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565"/>
        <w:gridCol w:w="2030"/>
        <w:gridCol w:w="1248"/>
        <w:gridCol w:w="1584"/>
        <w:gridCol w:w="1680"/>
      </w:tblGrid>
      <w:tr w:rsidR="0032243C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Název položky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2243C" w:rsidRDefault="00366EAC">
            <w:pPr>
              <w:pStyle w:val="Jin0"/>
              <w:shd w:val="clear" w:color="auto" w:fill="auto"/>
              <w:spacing w:after="0" w:line="329" w:lineRule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Jednotková cena za 1 MD v Kč bez DPH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2243C" w:rsidRDefault="00366EAC">
            <w:pPr>
              <w:pStyle w:val="Jin0"/>
              <w:shd w:val="clear" w:color="auto" w:fill="auto"/>
              <w:spacing w:after="0" w:line="329" w:lineRule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Jednotková cena za 1 MD v Kč vč. DPH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2243C" w:rsidRDefault="00366EAC">
            <w:pPr>
              <w:pStyle w:val="Jin0"/>
              <w:shd w:val="clear" w:color="auto" w:fill="auto"/>
              <w:spacing w:after="0" w:line="329" w:lineRule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Předpokládaný počet MD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329" w:lineRule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Celková cena v Kč bez DPH (údaj pro hodnocení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43C" w:rsidRDefault="00366EAC">
            <w:pPr>
              <w:pStyle w:val="Jin0"/>
              <w:shd w:val="clear" w:color="auto" w:fill="auto"/>
              <w:spacing w:after="0" w:line="329" w:lineRule="auto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 xml:space="preserve">Celková cena v </w:t>
            </w: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Kč vč. DPH</w:t>
            </w:r>
          </w:p>
        </w:tc>
      </w:tr>
      <w:tr w:rsidR="0032243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Výkon činnosti 1 pracovníka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18500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22385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8CBAC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721500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43C" w:rsidRDefault="00366EA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873015</w:t>
            </w:r>
          </w:p>
        </w:tc>
      </w:tr>
    </w:tbl>
    <w:p w:rsidR="0032243C" w:rsidRDefault="0032243C">
      <w:pPr>
        <w:sectPr w:rsidR="0032243C">
          <w:pgSz w:w="11900" w:h="16840"/>
          <w:pgMar w:top="1700" w:right="401" w:bottom="1700" w:left="983" w:header="1272" w:footer="3" w:gutter="0"/>
          <w:cols w:space="720"/>
          <w:noEndnote/>
          <w:docGrid w:linePitch="360"/>
        </w:sectPr>
      </w:pPr>
    </w:p>
    <w:p w:rsidR="0032243C" w:rsidRDefault="00366EAC">
      <w:pPr>
        <w:pStyle w:val="Zkladntext1"/>
        <w:shd w:val="clear" w:color="auto" w:fill="auto"/>
        <w:spacing w:after="520" w:line="240" w:lineRule="auto"/>
        <w:ind w:firstLine="400"/>
      </w:pPr>
      <w:r>
        <w:lastRenderedPageBreak/>
        <w:t>Příloha č. 3 Seznam pracovišť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965"/>
        </w:tabs>
        <w:spacing w:after="0" w:line="406" w:lineRule="auto"/>
        <w:ind w:firstLine="540"/>
      </w:pPr>
      <w:r>
        <w:t>Národní památkový ústav, generální ředitelství</w:t>
      </w:r>
    </w:p>
    <w:p w:rsidR="0032243C" w:rsidRDefault="00366EAC">
      <w:pPr>
        <w:pStyle w:val="Zkladntext1"/>
        <w:shd w:val="clear" w:color="auto" w:fill="auto"/>
        <w:spacing w:after="0" w:line="406" w:lineRule="auto"/>
        <w:ind w:firstLine="960"/>
      </w:pPr>
      <w:r>
        <w:t>Adresa: Valdštejnské nám. 162/3, Praha 1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965"/>
        </w:tabs>
        <w:spacing w:after="0" w:line="406" w:lineRule="auto"/>
        <w:ind w:firstLine="540"/>
      </w:pPr>
      <w:r>
        <w:t xml:space="preserve">Národní památkový ústav, územní odborné </w:t>
      </w:r>
      <w:r>
        <w:t>pracoviště v Praze</w:t>
      </w:r>
    </w:p>
    <w:p w:rsidR="0032243C" w:rsidRDefault="00366EAC">
      <w:pPr>
        <w:pStyle w:val="Zkladntext1"/>
        <w:shd w:val="clear" w:color="auto" w:fill="auto"/>
        <w:spacing w:after="0" w:line="406" w:lineRule="auto"/>
        <w:ind w:firstLine="960"/>
      </w:pPr>
      <w:r>
        <w:t>Adresa: Na Perštýně 356/12, 110 00 Praha 1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965"/>
        </w:tabs>
        <w:spacing w:after="0" w:line="406" w:lineRule="auto"/>
        <w:ind w:left="960" w:hanging="420"/>
      </w:pPr>
      <w:r>
        <w:t>Národní památkový ústav, územní odborné pracoviště Středních Čech v Praze Adresa: Sabinova 373/5, 130 11 Praha 3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965"/>
        </w:tabs>
        <w:spacing w:after="0" w:line="406" w:lineRule="auto"/>
        <w:ind w:left="960" w:hanging="420"/>
      </w:pPr>
      <w:r>
        <w:t>Národní památkový ústav, územní odborné pracoviště v Českých Budějovicích Adresa:</w:t>
      </w:r>
      <w:r>
        <w:t xml:space="preserve"> Senovážné náměstí 230/6, 370 21 České Budějovice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965"/>
        </w:tabs>
        <w:spacing w:after="0" w:line="406" w:lineRule="auto"/>
        <w:ind w:firstLine="540"/>
      </w:pPr>
      <w:r>
        <w:t>Národní památkový ústav, územní odborné pracoviště v Plzni</w:t>
      </w:r>
    </w:p>
    <w:p w:rsidR="0032243C" w:rsidRDefault="00366EAC">
      <w:pPr>
        <w:pStyle w:val="Zkladntext1"/>
        <w:shd w:val="clear" w:color="auto" w:fill="auto"/>
        <w:spacing w:after="0" w:line="406" w:lineRule="auto"/>
        <w:ind w:firstLine="960"/>
      </w:pPr>
      <w:r>
        <w:t>Adresa: Prešovská 171/7, 301 00 Plzeň 1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965"/>
        </w:tabs>
        <w:spacing w:after="0" w:line="406" w:lineRule="auto"/>
        <w:ind w:left="960" w:hanging="420"/>
        <w:jc w:val="both"/>
      </w:pPr>
      <w:r>
        <w:t>Národní památkový ústav, územní odborné pracoviště v Lokti Adresa: Kostelní 81/25, 357 33 Loket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965"/>
        </w:tabs>
        <w:spacing w:after="0" w:line="406" w:lineRule="auto"/>
        <w:ind w:left="960" w:hanging="420"/>
        <w:jc w:val="both"/>
      </w:pPr>
      <w:r>
        <w:t>Národní pam</w:t>
      </w:r>
      <w:r>
        <w:t>átkový ústav, územní odborné pracoviště v Ústí nad Labem Adresa: Podmokelská 1/15, 400 07 Ústí nad Labem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965"/>
        </w:tabs>
        <w:spacing w:after="0" w:line="406" w:lineRule="auto"/>
        <w:ind w:firstLine="540"/>
      </w:pPr>
      <w:r>
        <w:t>Národní památkový ústav, územní odborné pracoviště v Liberci</w:t>
      </w:r>
    </w:p>
    <w:p w:rsidR="0032243C" w:rsidRDefault="00366EAC">
      <w:pPr>
        <w:pStyle w:val="Zkladntext1"/>
        <w:shd w:val="clear" w:color="auto" w:fill="auto"/>
        <w:spacing w:after="0" w:line="406" w:lineRule="auto"/>
        <w:ind w:firstLine="960"/>
      </w:pPr>
      <w:r>
        <w:t>Adresa: Jablonecká 642/23, 460 01 Liberec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965"/>
        </w:tabs>
        <w:spacing w:after="0" w:line="406" w:lineRule="auto"/>
        <w:ind w:left="960" w:hanging="420"/>
      </w:pPr>
      <w:r>
        <w:t>Národní památkový ústav, územní odborné pracoviš</w:t>
      </w:r>
      <w:r>
        <w:t>tě v Josefově Adresa: Okružní čp. 418, 551 02 Jaroměř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1018"/>
        </w:tabs>
        <w:spacing w:after="0" w:line="406" w:lineRule="auto"/>
        <w:ind w:left="960" w:hanging="420"/>
      </w:pPr>
      <w:r>
        <w:t>Národní památkový ústav, územní odborné pracoviště v Pardubicích Adresa: Přihrádek čp. 5, 531 16 Pardubice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1018"/>
        </w:tabs>
        <w:spacing w:after="0" w:line="406" w:lineRule="auto"/>
        <w:ind w:left="960" w:hanging="420"/>
      </w:pPr>
      <w:r>
        <w:t>Národní památkový ústav, územní odborné pracoviště v Telči Adresa: Hradecká čp. 6, 588 56 Telč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1018"/>
        </w:tabs>
        <w:spacing w:after="0" w:line="406" w:lineRule="auto"/>
        <w:ind w:left="960" w:hanging="420"/>
      </w:pPr>
      <w:r>
        <w:t>Národní památkový ústav, územní odborné pracoviště v Brně Adresa: náměstí Svobody 72/8, 601 54 Brno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1018"/>
        </w:tabs>
        <w:spacing w:after="0" w:line="406" w:lineRule="auto"/>
        <w:ind w:left="960" w:hanging="420"/>
      </w:pPr>
      <w:r>
        <w:t>Národní památkový ústav, územní odborné pracoviště v Olomouci Adresa: Horní náměstí 410/25, 779 00 Olomouc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1018"/>
        </w:tabs>
        <w:spacing w:after="0" w:line="406" w:lineRule="auto"/>
        <w:ind w:left="960" w:hanging="420"/>
      </w:pPr>
      <w:r>
        <w:t>Národní památkový ústav, územní odborné pracovišt</w:t>
      </w:r>
      <w:r>
        <w:t>ě v Kroměříži Adresa: Riegrovo náměstí 3228/22, 767 01 Kroměříž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1018"/>
        </w:tabs>
        <w:spacing w:after="0" w:line="406" w:lineRule="auto"/>
        <w:ind w:firstLine="540"/>
      </w:pPr>
      <w:r>
        <w:t>Národní památkový ústav, územní odborné pracoviště v Ostravě</w:t>
      </w:r>
    </w:p>
    <w:p w:rsidR="0032243C" w:rsidRDefault="00366EAC">
      <w:pPr>
        <w:pStyle w:val="Zkladntext1"/>
        <w:shd w:val="clear" w:color="auto" w:fill="auto"/>
        <w:spacing w:after="0" w:line="406" w:lineRule="auto"/>
        <w:ind w:firstLine="960"/>
      </w:pPr>
      <w:r>
        <w:t>Adresa: ul. Odboje 1941/1, 702 00 Ostrava - Moravská Ostrava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985"/>
        </w:tabs>
        <w:spacing w:after="0" w:line="406" w:lineRule="auto"/>
        <w:ind w:left="960" w:hanging="420"/>
        <w:jc w:val="both"/>
      </w:pPr>
      <w:r>
        <w:t>Národní památkový ústav, územní památková správa v Praze Adresa: Sabin</w:t>
      </w:r>
      <w:r>
        <w:t>ova 373/5, 130 11 Praha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985"/>
        </w:tabs>
        <w:spacing w:after="0" w:line="406" w:lineRule="auto"/>
        <w:ind w:firstLine="540"/>
      </w:pPr>
      <w:r>
        <w:t>Národní památkový ústav, územní památková správa v Českých Budějovicích</w:t>
      </w:r>
    </w:p>
    <w:p w:rsidR="0032243C" w:rsidRDefault="00366EAC">
      <w:pPr>
        <w:pStyle w:val="Zkladntext1"/>
        <w:shd w:val="clear" w:color="auto" w:fill="auto"/>
        <w:spacing w:line="240" w:lineRule="auto"/>
        <w:ind w:firstLine="960"/>
      </w:pPr>
      <w:r>
        <w:t>Adresa: náměstí Přemysla Otakara II. 121/34, 370 21 České Budějovice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1005"/>
        </w:tabs>
        <w:spacing w:line="240" w:lineRule="auto"/>
        <w:ind w:firstLine="560"/>
      </w:pPr>
      <w:r>
        <w:t>Národní památkový ústav, územní památková správa na Sychrově</w:t>
      </w:r>
    </w:p>
    <w:p w:rsidR="0032243C" w:rsidRDefault="00366EAC">
      <w:pPr>
        <w:pStyle w:val="Zkladntext1"/>
        <w:shd w:val="clear" w:color="auto" w:fill="auto"/>
        <w:spacing w:line="240" w:lineRule="auto"/>
        <w:ind w:firstLine="960"/>
      </w:pPr>
      <w:r>
        <w:t xml:space="preserve">Adresa: zámek Sychrov čp. 3, </w:t>
      </w:r>
      <w:r>
        <w:t>463 44 Sychrov</w:t>
      </w:r>
    </w:p>
    <w:p w:rsidR="0032243C" w:rsidRDefault="00366EAC">
      <w:pPr>
        <w:pStyle w:val="Zkladntext1"/>
        <w:numPr>
          <w:ilvl w:val="0"/>
          <w:numId w:val="23"/>
        </w:numPr>
        <w:shd w:val="clear" w:color="auto" w:fill="auto"/>
        <w:tabs>
          <w:tab w:val="left" w:pos="1005"/>
        </w:tabs>
        <w:spacing w:line="240" w:lineRule="auto"/>
        <w:ind w:firstLine="560"/>
      </w:pPr>
      <w:r>
        <w:t>Národní památkový ústav, územní památková správa v Kroměříži</w:t>
      </w:r>
    </w:p>
    <w:p w:rsidR="0032243C" w:rsidRDefault="00366EAC">
      <w:pPr>
        <w:pStyle w:val="Zkladntext1"/>
        <w:shd w:val="clear" w:color="auto" w:fill="auto"/>
        <w:spacing w:line="240" w:lineRule="auto"/>
        <w:ind w:firstLine="960"/>
      </w:pPr>
      <w:r>
        <w:t>Adresa: Sněmovní náměstí 1/ 2, 767 01 Kroměříž</w:t>
      </w:r>
    </w:p>
    <w:sectPr w:rsidR="0032243C">
      <w:pgSz w:w="11900" w:h="16840"/>
      <w:pgMar w:top="1892" w:right="401" w:bottom="1236" w:left="983" w:header="146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AC" w:rsidRDefault="00366EAC">
      <w:r>
        <w:separator/>
      </w:r>
    </w:p>
  </w:endnote>
  <w:endnote w:type="continuationSeparator" w:id="0">
    <w:p w:rsidR="00366EAC" w:rsidRDefault="0036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3C" w:rsidRDefault="00366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6529705</wp:posOffset>
              </wp:positionH>
              <wp:positionV relativeFrom="page">
                <wp:posOffset>10034270</wp:posOffset>
              </wp:positionV>
              <wp:extent cx="128270" cy="11874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243C" w:rsidRDefault="00366EA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4B9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1" type="#_x0000_t202" style="position:absolute;margin-left:514.15pt;margin-top:790.1pt;width:10.1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" filled="f" stroked="f">
              <v:textbox style="mso-fit-shape-to-text:t" inset="0,0,0,0">
                <w:txbxContent>
                  <w:p w:rsidR="0032243C" w:rsidRDefault="00366EAC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4B9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AC" w:rsidRDefault="00366EAC"/>
  </w:footnote>
  <w:footnote w:type="continuationSeparator" w:id="0">
    <w:p w:rsidR="00366EAC" w:rsidRDefault="00366E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FC2"/>
    <w:multiLevelType w:val="multilevel"/>
    <w:tmpl w:val="C388BA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14034"/>
    <w:multiLevelType w:val="multilevel"/>
    <w:tmpl w:val="7C02B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10735"/>
    <w:multiLevelType w:val="multilevel"/>
    <w:tmpl w:val="609C99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C533C"/>
    <w:multiLevelType w:val="multilevel"/>
    <w:tmpl w:val="F37A4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E1575"/>
    <w:multiLevelType w:val="multilevel"/>
    <w:tmpl w:val="DE061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5305D"/>
    <w:multiLevelType w:val="multilevel"/>
    <w:tmpl w:val="31E69B8A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DE"/>
    <w:multiLevelType w:val="multilevel"/>
    <w:tmpl w:val="1BCE19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402670"/>
    <w:multiLevelType w:val="multilevel"/>
    <w:tmpl w:val="BB72B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2B3B6F"/>
    <w:multiLevelType w:val="multilevel"/>
    <w:tmpl w:val="C20266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E365C8"/>
    <w:multiLevelType w:val="multilevel"/>
    <w:tmpl w:val="03C8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3813D0"/>
    <w:multiLevelType w:val="multilevel"/>
    <w:tmpl w:val="8AAC4D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1B69D2"/>
    <w:multiLevelType w:val="multilevel"/>
    <w:tmpl w:val="D2AA7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A11538"/>
    <w:multiLevelType w:val="multilevel"/>
    <w:tmpl w:val="8C26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B3469A"/>
    <w:multiLevelType w:val="multilevel"/>
    <w:tmpl w:val="8AF67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8711EF"/>
    <w:multiLevelType w:val="multilevel"/>
    <w:tmpl w:val="5712B3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8B1754"/>
    <w:multiLevelType w:val="multilevel"/>
    <w:tmpl w:val="4936315A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3479A8"/>
    <w:multiLevelType w:val="multilevel"/>
    <w:tmpl w:val="E480A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7F3EC8"/>
    <w:multiLevelType w:val="multilevel"/>
    <w:tmpl w:val="9F66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E84AA6"/>
    <w:multiLevelType w:val="multilevel"/>
    <w:tmpl w:val="ECA04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5F3751"/>
    <w:multiLevelType w:val="multilevel"/>
    <w:tmpl w:val="AA68F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F36587"/>
    <w:multiLevelType w:val="multilevel"/>
    <w:tmpl w:val="85988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984CC4"/>
    <w:multiLevelType w:val="multilevel"/>
    <w:tmpl w:val="714610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DB1983"/>
    <w:multiLevelType w:val="multilevel"/>
    <w:tmpl w:val="EDFC5BF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15"/>
  </w:num>
  <w:num w:numId="5">
    <w:abstractNumId w:val="17"/>
  </w:num>
  <w:num w:numId="6">
    <w:abstractNumId w:val="19"/>
  </w:num>
  <w:num w:numId="7">
    <w:abstractNumId w:val="22"/>
  </w:num>
  <w:num w:numId="8">
    <w:abstractNumId w:val="13"/>
  </w:num>
  <w:num w:numId="9">
    <w:abstractNumId w:val="3"/>
  </w:num>
  <w:num w:numId="10">
    <w:abstractNumId w:val="0"/>
  </w:num>
  <w:num w:numId="11">
    <w:abstractNumId w:val="20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2"/>
  </w:num>
  <w:num w:numId="17">
    <w:abstractNumId w:val="8"/>
  </w:num>
  <w:num w:numId="18">
    <w:abstractNumId w:val="18"/>
  </w:num>
  <w:num w:numId="19">
    <w:abstractNumId w:val="9"/>
  </w:num>
  <w:num w:numId="20">
    <w:abstractNumId w:val="6"/>
  </w:num>
  <w:num w:numId="21">
    <w:abstractNumId w:val="7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3C"/>
    <w:rsid w:val="00044B91"/>
    <w:rsid w:val="0032243C"/>
    <w:rsid w:val="00324F69"/>
    <w:rsid w:val="003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D4D9"/>
  <w15:docId w15:val="{FF055121-D5BC-4756-A209-3974006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mbria" w:eastAsia="Cambria" w:hAnsi="Cambria" w:cs="Cambria"/>
      <w:b/>
      <w:bCs/>
      <w:i w:val="0"/>
      <w:iCs w:val="0"/>
      <w:smallCaps w:val="0"/>
      <w:strike w:val="0"/>
      <w:color w:val="4F4E4E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8" w:lineRule="auto"/>
    </w:pPr>
    <w:rPr>
      <w:rFonts w:ascii="Cambria" w:eastAsia="Cambria" w:hAnsi="Cambria" w:cs="Cambria"/>
      <w:b/>
      <w:bCs/>
      <w:color w:val="4F4E4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5300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88" w:lineRule="auto"/>
    </w:pPr>
    <w:rPr>
      <w:rFonts w:ascii="Cambria" w:eastAsia="Cambria" w:hAnsi="Cambria" w:cs="Cambria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24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pu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4565</Words>
  <Characters>26938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Smlouva_podpora migrace AD</vt:lpstr>
    </vt:vector>
  </TitlesOfParts>
  <Company>HP Inc.</Company>
  <LinksUpToDate>false</LinksUpToDate>
  <CharactersWithSpaces>31441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Smlouva_podpora migrace AD</dc:title>
  <dc:subject/>
  <dc:creator>Veruska</dc:creator>
  <cp:keywords/>
  <cp:lastModifiedBy>Janouchová Miroslava</cp:lastModifiedBy>
  <cp:revision>2</cp:revision>
  <dcterms:created xsi:type="dcterms:W3CDTF">2022-05-27T10:56:00Z</dcterms:created>
  <dcterms:modified xsi:type="dcterms:W3CDTF">2022-05-27T11:26:00Z</dcterms:modified>
</cp:coreProperties>
</file>