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41" w:h="226" w:wrap="none" w:hAnchor="page" w:x="9399" w:y="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sz w:val="16"/>
          <w:szCs w:val="16"/>
        </w:rPr>
        <w:t>2022003437</w:t>
      </w:r>
    </w:p>
    <w:p>
      <w:pPr>
        <w:widowControl w:val="0"/>
        <w:spacing w:line="360" w:lineRule="exact"/>
      </w:pPr>
      <w:r>
        <w:drawing>
          <wp:anchor distT="0" distB="225425" distL="0" distR="0" simplePos="0" relativeHeight="62914690" behindDoc="1" locked="0" layoutInCell="1" allowOverlap="1">
            <wp:simplePos x="0" y="0"/>
            <wp:positionH relativeFrom="page">
              <wp:posOffset>5800090</wp:posOffset>
            </wp:positionH>
            <wp:positionV relativeFrom="margin">
              <wp:posOffset>0</wp:posOffset>
            </wp:positionV>
            <wp:extent cx="1493520" cy="37782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3520" cy="377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493" w:right="419" w:bottom="1276" w:left="1584" w:header="65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887095</wp:posOffset>
                </wp:positionV>
                <wp:extent cx="1621790" cy="138049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1790" cy="1380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9.200000000000003pt;margin-top:69.850000000000009pt;width:127.7pt;height:108.7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Jméno: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Sídlo: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Jednající: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Kontaktní osoba: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Zápis v OR: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620"/>
        <w:jc w:val="left"/>
        <w:rPr>
          <w:sz w:val="20"/>
          <w:szCs w:val="20"/>
        </w:rPr>
      </w:pPr>
      <w:r>
        <w:rPr>
          <w:rStyle w:val="CharStyle9"/>
          <w:b/>
          <w:bCs/>
          <w:sz w:val="20"/>
          <w:szCs w:val="20"/>
        </w:rPr>
        <w:t>RÁMCOVÁ KUPNÍ SMLOUVA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71" w:lineRule="auto"/>
        <w:ind w:left="-560" w:right="0" w:hanging="1280"/>
        <w:jc w:val="left"/>
        <w:rPr>
          <w:sz w:val="20"/>
          <w:szCs w:val="20"/>
        </w:rPr>
      </w:pPr>
      <w:r>
        <w:rPr>
          <w:rStyle w:val="CharStyle9"/>
          <w:sz w:val="20"/>
          <w:szCs w:val="20"/>
        </w:rPr>
        <w:t>uzavřená v souladu s ustanovením § 2079 a násl. zákona č. 89/2012 Sb., občanský zákoník, mezi níže uvedenými smluvními stranami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60" w:right="0" w:firstLine="0"/>
        <w:jc w:val="left"/>
      </w:pPr>
      <w:r>
        <w:rPr>
          <w:rStyle w:val="CharStyle9"/>
          <w:b/>
          <w:bCs/>
        </w:rPr>
        <w:t>Zdravotnická záchranná služba Jihomoravského kraje, příspěvková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rStyle w:val="CharStyle9"/>
        </w:rPr>
        <w:t>Kamenice 798/1 d, 625 00 Brno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rStyle w:val="CharStyle9"/>
        </w:rPr>
        <w:t>MUDr. Hana Albrechtová, ředitelka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rStyle w:val="CharStyle9"/>
          <w:spacing w:val="4"/>
          <w:shd w:val="clear" w:color="auto" w:fill="000000"/>
        </w:rPr>
        <w:t>........</w:t>
      </w:r>
      <w:r>
        <w:rPr>
          <w:rStyle w:val="CharStyle9"/>
          <w:spacing w:val="5"/>
          <w:shd w:val="clear" w:color="auto" w:fill="000000"/>
        </w:rPr>
        <w:t>..</w:t>
      </w:r>
      <w:r>
        <w:rPr>
          <w:rStyle w:val="CharStyle9"/>
          <w:shd w:val="clear" w:color="auto" w:fill="000000"/>
        </w:rPr>
        <w:t>​..</w:t>
      </w:r>
      <w:r>
        <w:rPr>
          <w:rStyle w:val="CharStyle9"/>
          <w:spacing w:val="1"/>
          <w:shd w:val="clear" w:color="auto" w:fill="000000"/>
        </w:rPr>
        <w:t>.........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​...........</w:t>
      </w:r>
      <w:r>
        <w:rPr>
          <w:rStyle w:val="CharStyle9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9"/>
          <w:shd w:val="clear" w:color="auto" w:fill="000000"/>
          <w:lang w:val="en-US" w:eastAsia="en-US" w:bidi="en-US"/>
        </w:rPr>
        <w:t>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7"/>
          <w:shd w:val="clear" w:color="auto" w:fill="000000"/>
        </w:rPr>
        <w:t>......</w:t>
      </w:r>
      <w:r>
        <w:rPr>
          <w:rStyle w:val="CharStyle9"/>
          <w:shd w:val="clear" w:color="auto" w:fill="000000"/>
        </w:rPr>
        <w:t>​....</w:t>
      </w:r>
      <w:r>
        <w:rPr>
          <w:rStyle w:val="CharStyle9"/>
          <w:spacing w:val="1"/>
          <w:shd w:val="clear" w:color="auto" w:fill="000000"/>
        </w:rPr>
        <w:t>.....</w:t>
      </w:r>
      <w:r>
        <w:rPr>
          <w:rStyle w:val="CharStyle9"/>
          <w:shd w:val="clear" w:color="auto" w:fill="000000"/>
        </w:rPr>
        <w:t>​.......​</w:t>
      </w:r>
      <w:r>
        <w:rPr>
          <w:rStyle w:val="CharStyle9"/>
          <w:spacing w:val="6"/>
          <w:shd w:val="clear" w:color="auto" w:fill="000000"/>
        </w:rPr>
        <w:t>...</w:t>
      </w:r>
      <w:r>
        <w:rPr>
          <w:rStyle w:val="CharStyle9"/>
          <w:spacing w:val="7"/>
          <w:shd w:val="clear" w:color="auto" w:fill="000000"/>
        </w:rPr>
        <w:t>...</w:t>
      </w:r>
      <w:r>
        <w:rPr>
          <w:rStyle w:val="CharStyle9"/>
          <w:shd w:val="clear" w:color="auto" w:fill="000000"/>
        </w:rPr>
        <w:t>​......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rStyle w:val="CharStyle9"/>
        </w:rPr>
        <w:t>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rStyle w:val="CharStyle9"/>
        </w:rPr>
        <w:t>CZ00346292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rStyle w:val="CharStyle9"/>
        </w:rPr>
        <w:t>Krajský soud v Brně sp. zn. Pr 1245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160"/>
        <w:jc w:val="left"/>
      </w:pPr>
      <w:r>
        <w:rPr>
          <w:rStyle w:val="CharStyle9"/>
        </w:rPr>
        <w:t>MONETA Money Bank, a.s., č. ú. 117203514/0600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25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93" w:right="1551" w:bottom="1560" w:left="4137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</w:rPr>
        <w:t xml:space="preserve">(dále jen </w:t>
      </w:r>
      <w:r>
        <w:rPr>
          <w:rStyle w:val="CharStyle9"/>
          <w:b/>
          <w:bCs/>
          <w:i/>
          <w:iCs/>
        </w:rPr>
        <w:t>„kupující 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93" w:right="0" w:bottom="156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Jméno: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Sídlo: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Jednající: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Kontaktní osoba: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IČO: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DIČ: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Zápis v OR: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Bankovní spojení (číslo účtu):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9"/>
          <w:b/>
          <w:bCs/>
        </w:rPr>
        <w:t>Foxmedica export s.r.o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9"/>
        </w:rPr>
        <w:t>Častonice 084 Křivoklát 27023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9"/>
        </w:rPr>
        <w:t>Alena Pyciak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9"/>
          <w:spacing w:val="5"/>
          <w:shd w:val="clear" w:color="auto" w:fill="000000"/>
        </w:rPr>
        <w:t>.........</w:t>
      </w:r>
      <w:r>
        <w:rPr>
          <w:rStyle w:val="CharStyle9"/>
          <w:spacing w:val="6"/>
          <w:shd w:val="clear" w:color="auto" w:fill="000000"/>
        </w:rPr>
        <w:t>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2"/>
          <w:shd w:val="clear" w:color="auto" w:fill="000000"/>
        </w:rPr>
        <w:t>.</w:t>
      </w:r>
      <w:r>
        <w:rPr>
          <w:rStyle w:val="CharStyle9"/>
          <w:spacing w:val="3"/>
          <w:shd w:val="clear" w:color="auto" w:fill="000000"/>
        </w:rPr>
        <w:t>.........</w:t>
      </w:r>
      <w:r>
        <w:rPr>
          <w:rStyle w:val="CharStyle9"/>
        </w:rPr>
        <w:t xml:space="preserve"> 04230809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9"/>
        </w:rPr>
        <w:t>CZ04230809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9"/>
        </w:rPr>
        <w:t>27.07.2015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93" w:right="5040" w:bottom="1560" w:left="1584" w:header="0" w:footer="3" w:gutter="0"/>
          <w:cols w:num="2" w:space="100"/>
          <w:noEndnote/>
          <w:rtlGutter w:val="0"/>
          <w:docGrid w:linePitch="360"/>
        </w:sectPr>
      </w:pPr>
      <w:r>
        <w:rPr>
          <w:rStyle w:val="CharStyle9"/>
        </w:rPr>
        <w:t>115-674310267/0100</w:t>
      </w:r>
    </w:p>
    <w:p>
      <w:pPr>
        <w:widowControl w:val="0"/>
        <w:spacing w:line="90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97" w:right="0" w:bottom="164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rStyle w:val="CharStyle9"/>
        </w:rPr>
        <w:t xml:space="preserve">(dále jen </w:t>
      </w:r>
      <w:r>
        <w:rPr>
          <w:rStyle w:val="CharStyle9"/>
          <w:b/>
          <w:bCs/>
          <w:i/>
          <w:iCs/>
        </w:rPr>
        <w:t>„prodávající )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 xml:space="preserve">Prodávající je oprávněn na základě svého vlastnického práva nakládat se zbožím v podobě </w:t>
      </w:r>
      <w:r>
        <w:rPr>
          <w:rStyle w:val="CharStyle9"/>
          <w:b/>
          <w:bCs/>
        </w:rPr>
        <w:t xml:space="preserve">testačních proužků do glukometrů, </w:t>
      </w:r>
      <w:r>
        <w:rPr>
          <w:rStyle w:val="CharStyle9"/>
        </w:rPr>
        <w:t>jejichž bližší specifikace je uvedena v příloze č. 1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400" w:right="0" w:hanging="400"/>
        <w:jc w:val="both"/>
      </w:pPr>
      <w:r>
        <w:rPr>
          <w:rStyle w:val="CharStyle9"/>
          <w:b/>
          <w:bCs/>
        </w:rPr>
        <w:t xml:space="preserve">1.a </w:t>
      </w:r>
      <w:r>
        <w:rPr>
          <w:rStyle w:val="CharStyle9"/>
        </w:rPr>
        <w:t xml:space="preserve">Prodávající je dále oprávněn na základě svého vlastnického práva nakládat s glukometry v počtu </w:t>
      </w:r>
      <w:r>
        <w:rPr>
          <w:rStyle w:val="CharStyle9"/>
          <w:b/>
          <w:bCs/>
        </w:rPr>
        <w:t xml:space="preserve">min. 100 ks </w:t>
      </w:r>
      <w:r>
        <w:rPr>
          <w:rStyle w:val="CharStyle9"/>
        </w:rPr>
        <w:t xml:space="preserve">s tím, že jejich bližší specifikace je uvedena v příloze č. 1 k této smlouvě. Prodávající přitom touto smlouvou přenechává tyto glukometry do bezplatného užívání kupujícímu, a to po celou dobu trvání této smlouvy. Pro případ vady na některé z těchto věcí se prodávající zavazuje vyměnit tuto věc za jinou bezvadnou, a to do </w:t>
      </w:r>
      <w:r>
        <w:rPr>
          <w:rStyle w:val="CharStyle9"/>
          <w:b/>
          <w:bCs/>
        </w:rPr>
        <w:t xml:space="preserve">5-ti pracovních dnů </w:t>
      </w:r>
      <w:r>
        <w:rPr>
          <w:rStyle w:val="CharStyle9"/>
        </w:rPr>
        <w:t>od oznámení příslušné vady.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9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 Prodávající je povinen tuto objednávku potvrdit.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0" w:line="266" w:lineRule="auto"/>
        <w:ind w:left="400" w:right="0" w:hanging="400"/>
        <w:jc w:val="both"/>
      </w:pPr>
      <w:r>
        <w:rPr>
          <w:rStyle w:val="CharStyle9"/>
        </w:rPr>
        <w:t>Součástí dodávky zboží podle čl. 1 a čl. 2 této smlouvy je vždy předání veškerých písemných dokladů, které jsou potřebné k používání tohoto zboží.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6" w:lineRule="auto"/>
        <w:ind w:left="400" w:right="0" w:hanging="400"/>
        <w:jc w:val="both"/>
      </w:pPr>
      <w:r>
        <w:rPr>
          <w:rStyle w:val="CharStyle9"/>
        </w:rPr>
        <w:t xml:space="preserve">Prodávající se zavazuje plnit svůj závazek k dodání zboží podle čl. 1 této smlouvy vždy nejpozději do </w:t>
      </w:r>
      <w:r>
        <w:rPr>
          <w:rStyle w:val="CharStyle9"/>
          <w:b/>
          <w:bCs/>
          <w:u w:val="single"/>
        </w:rPr>
        <w:t>5-ti pracovních dní</w:t>
      </w:r>
      <w:r>
        <w:rPr>
          <w:rStyle w:val="CharStyle9"/>
          <w:b/>
          <w:bCs/>
        </w:rPr>
        <w:t xml:space="preserve"> </w:t>
      </w:r>
      <w:r>
        <w:rPr>
          <w:rStyle w:val="CharStyle9"/>
        </w:rPr>
        <w:t xml:space="preserve">ode dne účinnosti příslušné dílčí kupní smlouvy, nebude-li dohodnuto jinak. Tento závazek se bude považovat za splněný po předání a převzetí příslušného </w:t>
      </w:r>
      <w:r>
        <w:rPr>
          <w:rStyle w:val="CharStyle9"/>
        </w:rPr>
        <w:t>zboží formou písemného předávacího protokolu, podepsaného oběma stranami. Místem dodání je centrální sklad v sídle objednatele dle záhlaví k této smlouvě.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9" w:lineRule="auto"/>
        <w:ind w:left="380" w:right="0" w:hanging="380"/>
        <w:jc w:val="both"/>
      </w:pPr>
      <w:r>
        <w:rPr>
          <w:rStyle w:val="CharStyle9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9" w:lineRule="auto"/>
        <w:ind w:left="380" w:right="0" w:hanging="380"/>
        <w:jc w:val="both"/>
      </w:pPr>
      <w:r>
        <w:rPr>
          <w:rStyle w:val="CharStyle9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6" w:lineRule="auto"/>
        <w:ind w:left="380" w:right="0" w:hanging="380"/>
        <w:jc w:val="both"/>
      </w:pPr>
      <w:r>
        <w:rPr>
          <w:rStyle w:val="CharStyle9"/>
        </w:rPr>
        <w:t>Kupující se zavazuje zaplatit prodávajícímu za předmět koupě a prodeje podle čl. 1 této smlouvy jednotkovou kupní cenu.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71" w:lineRule="auto"/>
        <w:ind w:left="380" w:right="0" w:hanging="380"/>
        <w:jc w:val="both"/>
      </w:pPr>
      <w:r>
        <w:rPr>
          <w:rStyle w:val="CharStyle9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9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9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9"/>
          <w:shd w:val="clear" w:color="auto" w:fill="000000"/>
          <w:lang w:val="en-US" w:eastAsia="en-US" w:bidi="en-US"/>
        </w:rPr>
        <w:t>.</w:t>
      </w:r>
      <w:r>
        <w:rPr>
          <w:rStyle w:val="CharStyle9"/>
          <w:shd w:val="clear" w:color="auto" w:fill="000000"/>
        </w:rPr>
        <w:t>​...</w:t>
      </w:r>
      <w:r>
        <w:rPr>
          <w:rStyle w:val="CharStyle9"/>
          <w:u w:val="single"/>
          <w:shd w:val="clear" w:color="auto" w:fill="000000"/>
          <w:lang w:val="en-US" w:eastAsia="en-US" w:bidi="en-US"/>
        </w:rPr>
        <w:t>​...........</w:t>
      </w:r>
      <w:r>
        <w:rPr>
          <w:rStyle w:val="CharStyle9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9"/>
          <w:color w:val="3078BB"/>
          <w:lang w:val="en-US" w:eastAsia="en-US" w:bidi="en-US"/>
        </w:rPr>
        <w:t xml:space="preserve">. </w:t>
      </w:r>
      <w:r>
        <w:rPr>
          <w:rStyle w:val="CharStyle9"/>
        </w:rPr>
        <w:t xml:space="preserve">Na faktuře musí být mimo jiné vždy uvedeno toto číslo veřejné zakázky, ke které se faktura vztahuje: </w:t>
      </w:r>
      <w:r>
        <w:rPr>
          <w:rStyle w:val="CharStyle9"/>
          <w:b/>
          <w:bCs/>
        </w:rPr>
        <w:t xml:space="preserve">P22V00001204. </w:t>
      </w:r>
      <w:r>
        <w:rPr>
          <w:rStyle w:val="CharStyle9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380" w:right="0" w:hanging="380"/>
        <w:jc w:val="both"/>
      </w:pPr>
      <w:r>
        <w:rPr>
          <w:rStyle w:val="CharStyle9"/>
        </w:rPr>
        <w:t>S převodem zboží je podle čl. 1 této smlouvy spojena záruka za jeho jakost v trvání minimálně 12 měsíců ode dne předání příslušného zboží. V rámci záruky se prodávající zavazuje, že zboží podle čl. 1 této smlouvy bude nové, v neporušeném balení s řádným označením, s minimální skladovací životností po celou dobu uvedené záruční lhůty a bude mít po tuto dobu další vlastnosti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3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2" w:lineRule="auto"/>
        <w:ind w:left="380" w:right="0" w:hanging="380"/>
        <w:jc w:val="both"/>
      </w:pPr>
      <w:r>
        <w:rPr>
          <w:rStyle w:val="CharStyle9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9" w:lineRule="auto"/>
        <w:ind w:left="380" w:right="0" w:hanging="380"/>
        <w:jc w:val="both"/>
      </w:pPr>
      <w:r>
        <w:rPr>
          <w:rStyle w:val="CharStyle9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59" w:lineRule="auto"/>
        <w:ind w:left="380" w:right="0" w:hanging="380"/>
        <w:jc w:val="both"/>
      </w:pPr>
      <w:r>
        <w:rPr>
          <w:rStyle w:val="CharStyle9"/>
        </w:rPr>
        <w:t>Pro případ prodlení se splněním závazku prodávajícího k dodání zboží ve lhůtě podle čl. 4 této smlouvy se prodávající zavazuje platit kupujícímu smluvní pokutu ve výši 0,1 % z kupní ceny bez DPH nedodané části zboží podle čl. 7 této smlouvy za každý započatý den tohoto prodlení. Pro případ prodlení s odstraněním vady ve lhůtě podle čl. 9 této smlouvy se prodávající zavazuje platit kupujícímu smluvní pokutu ve výši 50,- Kč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6" w:lineRule="auto"/>
        <w:ind w:left="380" w:right="0" w:hanging="380"/>
        <w:jc w:val="both"/>
      </w:pPr>
      <w:r>
        <w:rPr>
          <w:rStyle w:val="CharStyle9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59" w:lineRule="auto"/>
        <w:ind w:left="380" w:right="0" w:hanging="380"/>
        <w:jc w:val="both"/>
      </w:pPr>
      <w:r>
        <w:rPr>
          <w:rStyle w:val="CharStyle9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6" w:lineRule="auto"/>
        <w:ind w:left="380" w:right="0" w:hanging="380"/>
        <w:jc w:val="both"/>
      </w:pPr>
      <w:r>
        <w:rPr>
          <w:rStyle w:val="CharStyle9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 Ohledně výpůjčky věcí podle čl. 1a této smlouvy se vzájemný právní vztah mezi prodávajícím a kupujícím řídí ust. § 2193 až 2200 občanského zákoníku.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2" w:lineRule="auto"/>
        <w:ind w:left="380" w:right="0" w:hanging="380"/>
        <w:jc w:val="both"/>
      </w:pPr>
      <w:r>
        <w:rPr>
          <w:rStyle w:val="CharStyle9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6" w:lineRule="auto"/>
        <w:ind w:left="380" w:right="0" w:hanging="380"/>
        <w:jc w:val="both"/>
      </w:pPr>
      <w:r>
        <w:rPr>
          <w:rStyle w:val="CharStyle9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2" w:lineRule="auto"/>
        <w:ind w:left="380" w:right="0" w:hanging="380"/>
        <w:jc w:val="both"/>
      </w:pPr>
      <w:r>
        <w:rPr>
          <w:rStyle w:val="CharStyle9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9" w:lineRule="auto"/>
        <w:ind w:left="380" w:right="0" w:hanging="380"/>
        <w:jc w:val="both"/>
      </w:pPr>
      <w:r>
        <w:rPr>
          <w:rStyle w:val="CharStyle9"/>
        </w:rPr>
        <w:t>Tato smlouva nabývá účinnosti po jejím podpisu oběma smluvními stranami dnem jejího uveřejnění v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66" w:lineRule="auto"/>
        <w:ind w:left="0" w:right="0" w:firstLine="0"/>
        <w:jc w:val="both"/>
      </w:pPr>
      <w:r>
        <w:rPr>
          <w:rStyle w:val="CharStyle9"/>
        </w:rPr>
        <w:t xml:space="preserve">Tato smlouva se uzavírá na dobu </w:t>
      </w:r>
      <w:r>
        <w:rPr>
          <w:rStyle w:val="CharStyle9"/>
          <w:b/>
          <w:bCs/>
        </w:rPr>
        <w:t xml:space="preserve">36 měsíců </w:t>
      </w:r>
      <w:r>
        <w:rPr>
          <w:rStyle w:val="CharStyle9"/>
        </w:rPr>
        <w:t>ode dne nabytí její účinnosti.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620" w:line="269" w:lineRule="auto"/>
        <w:ind w:left="380" w:right="0" w:hanging="380"/>
        <w:jc w:val="both"/>
      </w:pPr>
      <w:r>
        <w:rPr>
          <w:rStyle w:val="CharStyle9"/>
        </w:rPr>
        <w:t>Dáno ve dvou originálních písemných vyhotoveních, z nichž každá ze smluvních stran obdrží po jednom.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97" w:right="1540" w:bottom="1640" w:left="1595" w:header="1269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12700</wp:posOffset>
                </wp:positionV>
                <wp:extent cx="676910" cy="17653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3.25pt;margin-top:1.pt;width:53.300000000000004pt;height:13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393700" distB="981710" distL="598805" distR="3281045" simplePos="0" relativeHeight="125829382" behindDoc="0" locked="0" layoutInCell="1" allowOverlap="1">
            <wp:simplePos x="0" y="0"/>
            <wp:positionH relativeFrom="page">
              <wp:posOffset>1544955</wp:posOffset>
            </wp:positionH>
            <wp:positionV relativeFrom="margin">
              <wp:posOffset>6492240</wp:posOffset>
            </wp:positionV>
            <wp:extent cx="1408430" cy="63373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408430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margin">
                  <wp:posOffset>7159625</wp:posOffset>
                </wp:positionV>
                <wp:extent cx="1371600" cy="14922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3.75pt;margin-top:563.75pt;width:108.pt;height:11.7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9685" distB="570230" distL="117475" distR="4683125" simplePos="0" relativeHeight="125829383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margin">
                  <wp:posOffset>7388225</wp:posOffset>
                </wp:positionV>
                <wp:extent cx="487680" cy="1492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ředitelka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3.75pt;margin-top:581.75pt;width:38.399999999999999pt;height:11.75pt;z-index:-125829370;mso-wrap-distance-left:9.25pt;mso-wrap-distance-top:101.55pt;mso-wrap-distance-right:368.75pt;mso-wrap-distance-bottom:44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ředitelka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518285" distB="335280" distL="114300" distR="4643755" simplePos="0" relativeHeight="125829385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margin">
                  <wp:posOffset>7616825</wp:posOffset>
                </wp:positionV>
                <wp:extent cx="530225" cy="15557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3.5pt;margin-top:599.75pt;width:41.75pt;height:12.25pt;z-index:-125829368;mso-wrap-distance-left:9.pt;mso-wrap-distance-top:119.55pt;mso-wrap-distance-right:365.65000000000003pt;mso-wrap-distance-bottom:26.4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57325" distB="0" distL="891540" distR="2735580" simplePos="0" relativeHeight="125829387" behindDoc="0" locked="0" layoutInCell="1" allowOverlap="1">
                <wp:simplePos x="0" y="0"/>
                <wp:positionH relativeFrom="page">
                  <wp:posOffset>1837690</wp:posOffset>
                </wp:positionH>
                <wp:positionV relativeFrom="margin">
                  <wp:posOffset>7555865</wp:posOffset>
                </wp:positionV>
                <wp:extent cx="1661160" cy="55181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1160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34" w:val="left"/>
                              </w:tabs>
                              <w:bidi w:val="0"/>
                              <w:spacing w:before="8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  <w:color w:val="55B8EA"/>
                                <w:w w:val="80"/>
                                <w:sz w:val="20"/>
                                <w:szCs w:val="20"/>
                              </w:rPr>
                              <w:t>S</w:t>
                              <w:tab/>
                              <w:t>služba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6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  <w:color w:val="55B8EA"/>
                              </w:rPr>
                              <w:t>^'^^vského kraje, p o Kamen.c</w:t>
                            </w:r>
                            <w:r>
                              <w:rPr>
                                <w:rStyle w:val="CharStyle9"/>
                                <w:color w:val="55B8EA"/>
                                <w:vertAlign w:val="subscript"/>
                              </w:rPr>
                              <w:t>e</w:t>
                            </w:r>
                            <w:r>
                              <w:rPr>
                                <w:rStyle w:val="CharStyle9"/>
                                <w:color w:val="55B8EA"/>
                              </w:rPr>
                              <w:t>798/t</w:t>
                            </w:r>
                            <w:r>
                              <w:rPr>
                                <w:rStyle w:val="CharStyle9"/>
                                <w:color w:val="55B8EA"/>
                                <w:vertAlign w:val="subscript"/>
                              </w:rPr>
                              <w:t>d</w:t>
                            </w:r>
                            <w:r>
                              <w:rPr>
                                <w:rStyle w:val="CharStyle9"/>
                                <w:color w:val="55B8EA"/>
                              </w:rPr>
                              <w:t>, 6</w:t>
                            </w:r>
                            <w:r>
                              <w:rPr>
                                <w:rStyle w:val="CharStyle9"/>
                                <w:color w:val="55B8EA"/>
                                <w:vertAlign w:val="subscript"/>
                              </w:rPr>
                              <w:t>25</w:t>
                            </w:r>
                            <w:r>
                              <w:rPr>
                                <w:rStyle w:val="CharStyle9"/>
                                <w:color w:val="55B8EA"/>
                              </w:rPr>
                              <w:t>ooBm</w:t>
                            </w:r>
                            <w:r>
                              <w:rPr>
                                <w:rStyle w:val="CharStyle9"/>
                                <w:color w:val="55B8EA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44.70000000000002pt;margin-top:594.95000000000005pt;width:130.80000000000001pt;height:43.450000000000003pt;z-index:-125829366;mso-wrap-distance-left:70.200000000000003pt;mso-wrap-distance-top:114.75pt;mso-wrap-distance-right:215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34" w:val="left"/>
                        </w:tabs>
                        <w:bidi w:val="0"/>
                        <w:spacing w:before="8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9"/>
                          <w:b/>
                          <w:bCs/>
                          <w:color w:val="55B8EA"/>
                          <w:w w:val="80"/>
                          <w:sz w:val="20"/>
                          <w:szCs w:val="20"/>
                        </w:rPr>
                        <w:t>S</w:t>
                        <w:tab/>
                        <w:t>služba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6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color w:val="55B8EA"/>
                        </w:rPr>
                        <w:t>^'^^vského kraje, p o Kamen.c</w:t>
                      </w:r>
                      <w:r>
                        <w:rPr>
                          <w:rStyle w:val="CharStyle9"/>
                          <w:color w:val="55B8EA"/>
                          <w:vertAlign w:val="subscript"/>
                        </w:rPr>
                        <w:t>e</w:t>
                      </w:r>
                      <w:r>
                        <w:rPr>
                          <w:rStyle w:val="CharStyle9"/>
                          <w:color w:val="55B8EA"/>
                        </w:rPr>
                        <w:t>798/t</w:t>
                      </w:r>
                      <w:r>
                        <w:rPr>
                          <w:rStyle w:val="CharStyle9"/>
                          <w:color w:val="55B8EA"/>
                          <w:vertAlign w:val="subscript"/>
                        </w:rPr>
                        <w:t>d</w:t>
                      </w:r>
                      <w:r>
                        <w:rPr>
                          <w:rStyle w:val="CharStyle9"/>
                          <w:color w:val="55B8EA"/>
                        </w:rPr>
                        <w:t>, 6</w:t>
                      </w:r>
                      <w:r>
                        <w:rPr>
                          <w:rStyle w:val="CharStyle9"/>
                          <w:color w:val="55B8EA"/>
                          <w:vertAlign w:val="subscript"/>
                        </w:rPr>
                        <w:t>25</w:t>
                      </w:r>
                      <w:r>
                        <w:rPr>
                          <w:rStyle w:val="CharStyle9"/>
                          <w:color w:val="55B8EA"/>
                        </w:rPr>
                        <w:t>ooBm</w:t>
                      </w:r>
                      <w:r>
                        <w:rPr>
                          <w:rStyle w:val="CharStyle9"/>
                          <w:color w:val="55B8EA"/>
                          <w:vertAlign w:val="subscript"/>
                        </w:rPr>
                        <w:t>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798830" distB="180340" distL="4219575" distR="114300" simplePos="0" relativeHeight="125829389" behindDoc="0" locked="0" layoutInCell="1" allowOverlap="1">
            <wp:simplePos x="0" y="0"/>
            <wp:positionH relativeFrom="page">
              <wp:posOffset>5165725</wp:posOffset>
            </wp:positionH>
            <wp:positionV relativeFrom="margin">
              <wp:posOffset>6897370</wp:posOffset>
            </wp:positionV>
            <wp:extent cx="956945" cy="1029970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56945" cy="10299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4193540</wp:posOffset>
                </wp:positionH>
                <wp:positionV relativeFrom="margin">
                  <wp:posOffset>7153275</wp:posOffset>
                </wp:positionV>
                <wp:extent cx="740410" cy="60960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609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Alena Pyciak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30.19999999999999pt;margin-top:563.25pt;width:58.300000000000004pt;height:48.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Alena Pyciak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9"/>
        </w:rPr>
        <w:t>Křivoklát 29.04.2022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0" w:name="bookmark0"/>
      <w:r>
        <w:rPr>
          <w:rStyle w:val="CharStyle31"/>
          <w:b/>
          <w:bCs/>
        </w:rPr>
        <w:t>SPECIFIKACE, CENÍK</w:t>
      </w:r>
      <w:bookmarkEnd w:id="0"/>
    </w:p>
    <w:p>
      <w:pPr>
        <w:pStyle w:val="Style30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2" w:name="bookmark2"/>
      <w:r>
        <w:rPr>
          <w:rStyle w:val="CharStyle31"/>
          <w:b/>
          <w:bCs/>
        </w:rPr>
        <w:t>Glukometr</w:t>
      </w:r>
      <w:bookmarkEnd w:id="2"/>
    </w:p>
    <w:tbl>
      <w:tblPr>
        <w:tblOverlap w:val="never"/>
        <w:jc w:val="center"/>
        <w:tblLayout w:type="fixed"/>
      </w:tblPr>
      <w:tblGrid>
        <w:gridCol w:w="4718"/>
        <w:gridCol w:w="3974"/>
      </w:tblGrid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i/>
                <w:iCs/>
                <w:sz w:val="20"/>
                <w:szCs w:val="20"/>
              </w:rPr>
              <w:t>IDIa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i/>
                <w:iCs/>
                <w:sz w:val="20"/>
                <w:szCs w:val="20"/>
              </w:rPr>
              <w:t>IME-DC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Rok výroby: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sz w:val="20"/>
                <w:szCs w:val="20"/>
              </w:rPr>
              <w:t>2022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Pořizovací jednotková cena v Kč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color w:val="111829"/>
              </w:rPr>
              <w:t>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Pořizovací jednotková cena v Kč včetně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color w:val="111829"/>
              </w:rPr>
              <w:t>0</w:t>
            </w:r>
          </w:p>
        </w:tc>
      </w:tr>
    </w:tbl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14"/>
        <w:gridCol w:w="1891"/>
        <w:gridCol w:w="3413"/>
        <w:gridCol w:w="2899"/>
      </w:tblGrid>
      <w:tr>
        <w:trPr>
          <w:trHeight w:val="62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b/>
                <w:bCs/>
              </w:rPr>
              <w:t>Účastníkem nabízená hodnota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Přístroj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3"/>
              </w:rPr>
              <w:t>Rychlé a přesné měření s pohodlnou a jednoduchou obsluhou, nevyžadující žádnou speciální údržbu.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i/>
                <w:iCs/>
                <w:sz w:val="20"/>
                <w:szCs w:val="20"/>
              </w:rPr>
              <w:t>ano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Kalibrace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Bez nutnosti kalibrace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i/>
                <w:iCs/>
                <w:sz w:val="20"/>
                <w:szCs w:val="20"/>
              </w:rPr>
              <w:t>ano</w:t>
            </w:r>
          </w:p>
        </w:tc>
      </w:tr>
      <w:tr>
        <w:trPr>
          <w:trHeight w:val="77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Zapnutí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3"/>
              </w:rPr>
              <w:t>Automatické zapnutí po vložení testovacího proužku nebo pomocí jednoho tlačítka.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sz w:val="20"/>
                <w:szCs w:val="20"/>
              </w:rPr>
              <w:t>ano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Vypnutí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Automatické vypnutí přístroje při jeho nečinnosti.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color w:val="111829"/>
              </w:rPr>
              <w:t>ano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LCD displej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3"/>
              </w:rPr>
              <w:t>ANO, LCD displej zobrazující výsledky měření a chybová měření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color w:val="111829"/>
              </w:rPr>
              <w:t>ano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Doba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Max. 7 sekund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i/>
                <w:iCs/>
                <w:sz w:val="20"/>
                <w:szCs w:val="20"/>
              </w:rPr>
              <w:t>ano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  <w:color w:val="111829"/>
              </w:rPr>
              <w:t>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Rozsah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Min. 1,1, - 27 mmol/l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i/>
                <w:iCs/>
                <w:sz w:val="20"/>
                <w:szCs w:val="20"/>
              </w:rPr>
              <w:t>ano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Ochranné pouzdro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3"/>
              </w:rPr>
              <w:t>ANO, dodávka včetně ochranného pouzdra.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3"/>
                <w:sz w:val="20"/>
                <w:szCs w:val="20"/>
              </w:rPr>
              <w:t>ano</w:t>
            </w:r>
          </w:p>
        </w:tc>
      </w:tr>
      <w:tr>
        <w:trPr>
          <w:trHeight w:val="78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Dokumentace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Veškerá dokumentace k dodávanému zboží včetně návodu k obsluze v českém jazyce.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color w:val="111829"/>
              </w:rPr>
              <w:t>ano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color w:val="111829"/>
              </w:rPr>
              <w:t>Původ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Vyrobeno v EU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—</w:t>
            </w:r>
          </w:p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11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Rozměry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max. 100 x 55 x 18 mm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Normy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ISO 2015, 2020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13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Skladovací teplota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-20C až +70C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60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33"/>
              </w:rPr>
              <w:t>14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Přesnost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Měření ve všech vzorcích +/- 5% oproti laboratoři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ano</w:t>
            </w:r>
          </w:p>
        </w:tc>
      </w:tr>
    </w:tbl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718"/>
        <w:gridCol w:w="3970"/>
      </w:tblGrid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33"/>
                <w:b/>
                <w:bCs/>
                <w:sz w:val="22"/>
                <w:szCs w:val="22"/>
              </w:rPr>
              <w:t>Testační proužky do glukometru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Počet ks v balení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50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Cena za 1 balení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color w:val="111829"/>
              </w:rPr>
              <w:t>-220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Cena za 1 balení v Kč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</w:rPr>
              <w:t>-253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901"/>
        <w:gridCol w:w="3413"/>
        <w:gridCol w:w="2429"/>
      </w:tblGrid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3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rStyle w:val="CharStyle33"/>
                <w:b/>
                <w:bCs/>
              </w:rPr>
              <w:t>Účastníkem nabízená hodnota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Rozměry a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30 x 6 mm, PET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3"/>
                <w:i/>
                <w:iCs/>
                <w:sz w:val="20"/>
                <w:szCs w:val="20"/>
              </w:rPr>
              <w:t>ano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Rozsah měření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Min. 1,1-27 mmol/l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Metoda 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Elektrochemická/dynamická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Enzym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GDH-FAD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3"/>
                <w:i/>
                <w:iCs/>
                <w:sz w:val="20"/>
                <w:szCs w:val="20"/>
              </w:rPr>
              <w:t>ano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3"/>
                <w:color w:val="111829"/>
              </w:rPr>
              <w:t>Potřebné množství krve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0,7 pL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vzorek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3"/>
              </w:rPr>
              <w:t>Čerstvá kapilární, venózní, arteriální nebo novorozenecká krev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  <w:color w:val="111829"/>
              </w:rPr>
              <w:t>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kalibrace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Plazmový ekvivalent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Rozsah hematokritu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20 % - 70 %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33"/>
              </w:rPr>
              <w:t>ano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33"/>
                <w:color w:val="111829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3"/>
              </w:rPr>
              <w:t>Trvanlivost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33"/>
              </w:rPr>
              <w:t>18 měsíců od data výroby, otevřené 180 dnů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33"/>
              </w:rPr>
              <w:t>ano</w:t>
            </w:r>
          </w:p>
        </w:tc>
      </w:tr>
    </w:tbl>
    <w:sectPr>
      <w:headerReference w:type="default" r:id="rId12"/>
      <w:footerReference w:type="default" r:id="rId13"/>
      <w:footnotePr>
        <w:pos w:val="pageBottom"/>
        <w:numFmt w:val="decimal"/>
        <w:numRestart w:val="continuous"/>
      </w:footnotePr>
      <w:pgSz w:w="11900" w:h="16840"/>
      <w:pgMar w:top="1697" w:right="1540" w:bottom="1640" w:left="1595" w:header="0" w:footer="1212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9819640</wp:posOffset>
              </wp:positionV>
              <wp:extent cx="224663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466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6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VZ 15-22 Testační proužky do glukometrů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0.650000000000006pt;margin-top:773.20000000000005pt;width:176.90000000000001pt;height:9.34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>VZ 15-22 Testační proužky do glukometrů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769620</wp:posOffset>
              </wp:positionV>
              <wp:extent cx="591185" cy="9144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1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6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81.450000000000003pt;margin-top:60.600000000000001pt;width:46.550000000000004pt;height:7.2000000000000002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Nadpis #1_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Jiné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20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Nadpis #1"/>
    <w:basedOn w:val="Normal"/>
    <w:link w:val="CharStyle31"/>
    <w:pPr>
      <w:widowControl w:val="0"/>
      <w:shd w:val="clear" w:color="auto" w:fill="auto"/>
      <w:spacing w:after="3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">
    <w:name w:val="Jiné"/>
    <w:basedOn w:val="Normal"/>
    <w:link w:val="CharStyle33"/>
    <w:pPr>
      <w:widowControl w:val="0"/>
      <w:shd w:val="clear" w:color="auto" w:fill="auto"/>
      <w:spacing w:after="20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header" Target="header1.xml"/><Relationship Id="rId13" Type="http://schemas.openxmlformats.org/officeDocument/2006/relationships/footer" Target="footer2.xml"/></Relationships>
</file>