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6C7C" w14:textId="1AAC70B9" w:rsidR="00EA5282" w:rsidRDefault="00EA5282" w:rsidP="00D97E4C">
      <w:pPr>
        <w:shd w:val="clear" w:color="auto" w:fill="FFFFFF"/>
        <w:spacing w:before="100" w:beforeAutospacing="1" w:after="100" w:afterAutospacing="1"/>
        <w:jc w:val="center"/>
        <w:rPr>
          <w:rFonts w:ascii="Arial" w:eastAsia="Calibri" w:hAnsi="Arial" w:cs="Arial"/>
          <w:b/>
          <w:bCs/>
          <w:color w:val="696969"/>
          <w:sz w:val="32"/>
          <w:szCs w:val="32"/>
          <w:lang w:eastAsia="en-US"/>
        </w:rPr>
      </w:pPr>
      <w:r w:rsidRPr="00DC5FFD">
        <w:rPr>
          <w:rFonts w:ascii="Arial" w:eastAsia="Calibri" w:hAnsi="Arial" w:cs="Arial"/>
          <w:b/>
          <w:bCs/>
          <w:color w:val="696969"/>
          <w:sz w:val="32"/>
          <w:szCs w:val="32"/>
          <w:lang w:eastAsia="en-US"/>
        </w:rPr>
        <w:t xml:space="preserve">Prováděcí smlouva č. </w:t>
      </w:r>
      <w:r w:rsidR="00D97E4C">
        <w:rPr>
          <w:rFonts w:ascii="Arial" w:eastAsia="Calibri" w:hAnsi="Arial" w:cs="Arial"/>
          <w:b/>
          <w:bCs/>
          <w:color w:val="696969"/>
          <w:sz w:val="32"/>
          <w:szCs w:val="32"/>
          <w:lang w:eastAsia="en-US"/>
        </w:rPr>
        <w:t>2 na p</w:t>
      </w:r>
      <w:r>
        <w:rPr>
          <w:rFonts w:ascii="Arial" w:eastAsia="Calibri" w:hAnsi="Arial" w:cs="Arial"/>
          <w:b/>
          <w:bCs/>
          <w:color w:val="696969"/>
          <w:sz w:val="32"/>
          <w:szCs w:val="32"/>
          <w:lang w:eastAsia="en-US"/>
        </w:rPr>
        <w:t>oskytování Podpory</w:t>
      </w:r>
      <w:r w:rsidRPr="00DC5FFD">
        <w:rPr>
          <w:rFonts w:ascii="Arial" w:eastAsia="Calibri" w:hAnsi="Arial" w:cs="Arial"/>
          <w:b/>
          <w:bCs/>
          <w:color w:val="696969"/>
          <w:sz w:val="32"/>
          <w:szCs w:val="32"/>
          <w:lang w:eastAsia="en-US"/>
        </w:rPr>
        <w:t xml:space="preserve"> </w:t>
      </w:r>
    </w:p>
    <w:p w14:paraId="646D3BA0" w14:textId="536CE877" w:rsidR="00624564" w:rsidRPr="00624564" w:rsidRDefault="00AF3216" w:rsidP="00D97E4C">
      <w:pPr>
        <w:shd w:val="clear" w:color="auto" w:fill="FFFFFF"/>
        <w:spacing w:before="100" w:beforeAutospacing="1" w:after="100" w:afterAutospacing="1"/>
        <w:jc w:val="center"/>
        <w:rPr>
          <w:rFonts w:ascii="Arial" w:eastAsia="Calibri" w:hAnsi="Arial" w:cs="Arial"/>
          <w:color w:val="696969"/>
          <w:sz w:val="24"/>
          <w:szCs w:val="24"/>
          <w:lang w:eastAsia="en-US"/>
        </w:rPr>
      </w:pPr>
      <w:r w:rsidRPr="00624564">
        <w:rPr>
          <w:rFonts w:ascii="Arial" w:eastAsia="Calibri" w:hAnsi="Arial" w:cs="Arial"/>
          <w:color w:val="696969"/>
          <w:sz w:val="24"/>
          <w:szCs w:val="24"/>
          <w:lang w:eastAsia="en-US"/>
        </w:rPr>
        <w:t>Č</w:t>
      </w:r>
      <w:r w:rsidR="00624564" w:rsidRPr="00624564">
        <w:rPr>
          <w:rFonts w:ascii="Arial" w:eastAsia="Calibri" w:hAnsi="Arial" w:cs="Arial"/>
          <w:color w:val="696969"/>
          <w:sz w:val="24"/>
          <w:szCs w:val="24"/>
          <w:lang w:eastAsia="en-US"/>
        </w:rPr>
        <w:t>íslo</w:t>
      </w:r>
      <w:r>
        <w:rPr>
          <w:rFonts w:ascii="Arial" w:eastAsia="Calibri" w:hAnsi="Arial" w:cs="Arial"/>
          <w:color w:val="696969"/>
          <w:sz w:val="24"/>
          <w:szCs w:val="24"/>
          <w:lang w:eastAsia="en-US"/>
        </w:rPr>
        <w:t xml:space="preserve"> 2022/113 NAKIT</w:t>
      </w:r>
    </w:p>
    <w:p w14:paraId="2CDFF7C9" w14:textId="141EFAF8" w:rsidR="00624564" w:rsidRDefault="00EA5282" w:rsidP="00624564">
      <w:pPr>
        <w:spacing w:before="100" w:beforeAutospacing="1" w:after="100" w:afterAutospacing="1"/>
        <w:jc w:val="center"/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</w:pPr>
      <w:r w:rsidRPr="00DC5FFD">
        <w:rPr>
          <w:rFonts w:ascii="Arial" w:eastAsia="Calibri" w:hAnsi="Arial" w:cs="Arial"/>
          <w:b/>
          <w:bCs/>
          <w:color w:val="696969"/>
          <w:sz w:val="22"/>
          <w:szCs w:val="32"/>
          <w:lang w:eastAsia="en-US"/>
        </w:rPr>
        <w:t xml:space="preserve">k Rámcové </w:t>
      </w:r>
      <w:r w:rsidRPr="00EA5282">
        <w:rPr>
          <w:rFonts w:ascii="Arial" w:eastAsia="Calibri" w:hAnsi="Arial" w:cs="Arial"/>
          <w:b/>
          <w:bCs/>
          <w:color w:val="696969"/>
          <w:sz w:val="22"/>
          <w:szCs w:val="32"/>
          <w:lang w:eastAsia="en-US"/>
        </w:rPr>
        <w:t>dohodě</w:t>
      </w:r>
      <w:r w:rsidRPr="00DC5FFD">
        <w:rPr>
          <w:rFonts w:ascii="Arial" w:eastAsia="Calibri" w:hAnsi="Arial" w:cs="Arial"/>
          <w:b/>
          <w:bCs/>
          <w:color w:val="696969"/>
          <w:sz w:val="22"/>
          <w:szCs w:val="32"/>
          <w:lang w:eastAsia="en-US"/>
        </w:rPr>
        <w:t xml:space="preserve"> na </w:t>
      </w:r>
      <w:r w:rsidRPr="00EA5282">
        <w:rPr>
          <w:rFonts w:ascii="Arial" w:eastAsia="Calibri" w:hAnsi="Arial" w:cs="Arial"/>
          <w:b/>
          <w:bCs/>
          <w:color w:val="696969"/>
          <w:sz w:val="22"/>
          <w:szCs w:val="32"/>
          <w:lang w:eastAsia="en-US"/>
        </w:rPr>
        <w:t xml:space="preserve">dodávku licencí a podpory </w:t>
      </w:r>
      <w:r w:rsidR="00D97E4C">
        <w:rPr>
          <w:rFonts w:ascii="Arial" w:eastAsia="Calibri" w:hAnsi="Arial" w:cs="Arial"/>
          <w:b/>
          <w:bCs/>
          <w:color w:val="696969"/>
          <w:sz w:val="22"/>
          <w:szCs w:val="32"/>
          <w:lang w:eastAsia="en-US"/>
        </w:rPr>
        <w:t xml:space="preserve">č.j. </w:t>
      </w:r>
      <w:r w:rsidR="00C759B4">
        <w:rPr>
          <w:rFonts w:ascii="Arial" w:eastAsia="Calibri" w:hAnsi="Arial" w:cs="Arial"/>
          <w:b/>
          <w:bCs/>
          <w:color w:val="696969"/>
          <w:sz w:val="22"/>
          <w:szCs w:val="32"/>
          <w:lang w:eastAsia="en-US"/>
        </w:rPr>
        <w:t>2019/140</w:t>
      </w:r>
      <w:r w:rsidR="00AF3216">
        <w:rPr>
          <w:rFonts w:ascii="Arial" w:eastAsia="Calibri" w:hAnsi="Arial" w:cs="Arial"/>
          <w:b/>
          <w:bCs/>
          <w:color w:val="696969"/>
          <w:sz w:val="22"/>
          <w:szCs w:val="32"/>
          <w:lang w:eastAsia="en-US"/>
        </w:rPr>
        <w:t xml:space="preserve"> </w:t>
      </w:r>
      <w:r w:rsidR="00C759B4">
        <w:rPr>
          <w:rFonts w:ascii="Arial" w:eastAsia="Calibri" w:hAnsi="Arial" w:cs="Arial"/>
          <w:b/>
          <w:bCs/>
          <w:color w:val="696969"/>
          <w:sz w:val="22"/>
          <w:szCs w:val="32"/>
          <w:lang w:eastAsia="en-US"/>
        </w:rPr>
        <w:t xml:space="preserve">NAKIT </w:t>
      </w:r>
      <w:r w:rsidRPr="00EA5282">
        <w:rPr>
          <w:rFonts w:ascii="Arial" w:eastAsia="Calibri" w:hAnsi="Arial" w:cs="Arial"/>
          <w:b/>
          <w:bCs/>
          <w:color w:val="696969"/>
          <w:sz w:val="22"/>
          <w:szCs w:val="32"/>
          <w:lang w:eastAsia="en-US"/>
        </w:rPr>
        <w:t>ze dne</w:t>
      </w:r>
      <w:r w:rsidR="00D97E4C"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 xml:space="preserve"> 18.12.2019</w:t>
      </w:r>
    </w:p>
    <w:p w14:paraId="1BBE1410" w14:textId="78C5CD9E" w:rsidR="003E03ED" w:rsidRPr="00450078" w:rsidRDefault="00D20F38" w:rsidP="00450078">
      <w:pPr>
        <w:spacing w:before="100" w:beforeAutospacing="1" w:after="100" w:afterAutospacing="1"/>
        <w:jc w:val="center"/>
        <w:rPr>
          <w:rFonts w:ascii="Arial" w:eastAsia="Calibri" w:hAnsi="Arial" w:cs="Arial"/>
          <w:b/>
          <w:bCs/>
          <w:color w:val="696969"/>
          <w:sz w:val="2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696969"/>
          <w:sz w:val="22"/>
          <w:szCs w:val="22"/>
          <w:lang w:eastAsia="en-US"/>
        </w:rPr>
        <w:t>(dále jen „Smlouva“)</w:t>
      </w:r>
    </w:p>
    <w:tbl>
      <w:tblPr>
        <w:tblpPr w:leftFromText="141" w:rightFromText="141" w:vertAnchor="text" w:horzAnchor="margin" w:tblpY="501"/>
        <w:tblW w:w="10271" w:type="dxa"/>
        <w:tblLook w:val="01E0" w:firstRow="1" w:lastRow="1" w:firstColumn="1" w:lastColumn="1" w:noHBand="0" w:noVBand="0"/>
      </w:tblPr>
      <w:tblGrid>
        <w:gridCol w:w="3479"/>
        <w:gridCol w:w="490"/>
        <w:gridCol w:w="142"/>
        <w:gridCol w:w="567"/>
        <w:gridCol w:w="4394"/>
        <w:gridCol w:w="490"/>
        <w:gridCol w:w="142"/>
        <w:gridCol w:w="567"/>
      </w:tblGrid>
      <w:tr w:rsidR="00EA5282" w:rsidRPr="00746A53" w14:paraId="6704E6EC" w14:textId="77777777" w:rsidTr="00EA5282">
        <w:trPr>
          <w:gridAfter w:val="2"/>
          <w:wAfter w:w="709" w:type="dxa"/>
        </w:trPr>
        <w:tc>
          <w:tcPr>
            <w:tcW w:w="3969" w:type="dxa"/>
            <w:gridSpan w:val="2"/>
          </w:tcPr>
          <w:p w14:paraId="66147291" w14:textId="77777777" w:rsidR="00EA5282" w:rsidRPr="002443EC" w:rsidRDefault="00EA5282" w:rsidP="00EA5282">
            <w:pPr>
              <w:jc w:val="both"/>
              <w:rPr>
                <w:sz w:val="28"/>
                <w:szCs w:val="28"/>
              </w:rPr>
            </w:pPr>
            <w:r w:rsidRPr="00DC5FFD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Národní agentura pro komunikační a informační technologie s. p.</w:t>
            </w:r>
          </w:p>
        </w:tc>
        <w:tc>
          <w:tcPr>
            <w:tcW w:w="5593" w:type="dxa"/>
            <w:gridSpan w:val="4"/>
          </w:tcPr>
          <w:p w14:paraId="397C0CD4" w14:textId="77777777" w:rsidR="00EA5282" w:rsidRPr="00746A53" w:rsidRDefault="00EA5282" w:rsidP="00EA5282">
            <w:pPr>
              <w:rPr>
                <w:sz w:val="24"/>
              </w:rPr>
            </w:pPr>
          </w:p>
        </w:tc>
      </w:tr>
      <w:tr w:rsidR="00EA5282" w:rsidRPr="00746A53" w14:paraId="46C980A3" w14:textId="77777777" w:rsidTr="00EA5282">
        <w:tc>
          <w:tcPr>
            <w:tcW w:w="4678" w:type="dxa"/>
            <w:gridSpan w:val="4"/>
          </w:tcPr>
          <w:p w14:paraId="421BD7A2" w14:textId="77777777" w:rsidR="00EA5282" w:rsidRDefault="00EA5282" w:rsidP="00EA5282">
            <w:pPr>
              <w:ind w:right="-256"/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</w:p>
          <w:p w14:paraId="412C2AE8" w14:textId="77777777" w:rsidR="00EA5282" w:rsidRPr="00EA5282" w:rsidRDefault="00EA5282" w:rsidP="00EA5282">
            <w:pPr>
              <w:ind w:right="-256"/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se sídlem:</w:t>
            </w:r>
          </w:p>
        </w:tc>
        <w:tc>
          <w:tcPr>
            <w:tcW w:w="5593" w:type="dxa"/>
            <w:gridSpan w:val="4"/>
          </w:tcPr>
          <w:p w14:paraId="5676E3F1" w14:textId="77777777" w:rsidR="00EA5282" w:rsidRDefault="00EA5282" w:rsidP="00EA5282">
            <w:pPr>
              <w:spacing w:line="360" w:lineRule="auto"/>
              <w:rPr>
                <w:rFonts w:ascii="Arial" w:eastAsia="Calibri" w:hAnsi="Arial" w:cs="Arial"/>
                <w:color w:val="636466"/>
                <w:lang w:eastAsia="en-US"/>
              </w:rPr>
            </w:pPr>
          </w:p>
          <w:p w14:paraId="2A137057" w14:textId="77777777" w:rsidR="00EA5282" w:rsidRPr="00E51AC6" w:rsidRDefault="00EA5282" w:rsidP="00EA5282">
            <w:pPr>
              <w:spacing w:after="120"/>
              <w:ind w:left="511" w:hanging="618"/>
              <w:jc w:val="both"/>
              <w:rPr>
                <w:sz w:val="22"/>
                <w:szCs w:val="22"/>
              </w:rPr>
            </w:pPr>
            <w:r w:rsidRPr="00EA5282">
              <w:rPr>
                <w:rFonts w:ascii="Arial" w:eastAsia="Calibri" w:hAnsi="Arial" w:cs="Arial"/>
                <w:color w:val="636466"/>
                <w:sz w:val="22"/>
                <w:lang w:eastAsia="en-US"/>
              </w:rPr>
              <w:t>Kodaňská 1441/46, Vršovice, 101 00 Praha 10</w:t>
            </w:r>
          </w:p>
        </w:tc>
      </w:tr>
      <w:tr w:rsidR="00EA5282" w:rsidRPr="00746A53" w14:paraId="567189EE" w14:textId="77777777" w:rsidTr="00EA5282">
        <w:trPr>
          <w:gridAfter w:val="1"/>
          <w:wAfter w:w="567" w:type="dxa"/>
        </w:trPr>
        <w:tc>
          <w:tcPr>
            <w:tcW w:w="4111" w:type="dxa"/>
            <w:gridSpan w:val="3"/>
          </w:tcPr>
          <w:p w14:paraId="3B58CE8C" w14:textId="77777777" w:rsidR="00EA5282" w:rsidRPr="00EA5282" w:rsidRDefault="00EA5282" w:rsidP="00EA5282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5593" w:type="dxa"/>
            <w:gridSpan w:val="4"/>
          </w:tcPr>
          <w:p w14:paraId="58F8A8D3" w14:textId="77777777" w:rsidR="00EA5282" w:rsidRPr="00E51AC6" w:rsidRDefault="00EA5282" w:rsidP="00EA5282">
            <w:pPr>
              <w:spacing w:after="120"/>
              <w:ind w:left="511"/>
              <w:jc w:val="both"/>
              <w:rPr>
                <w:sz w:val="22"/>
                <w:szCs w:val="22"/>
              </w:rPr>
            </w:pPr>
            <w:r w:rsidRPr="00DC5FFD">
              <w:rPr>
                <w:rFonts w:ascii="Arial" w:eastAsia="Calibri" w:hAnsi="Arial" w:cs="Arial"/>
                <w:color w:val="636466"/>
                <w:sz w:val="22"/>
                <w:lang w:eastAsia="en-US"/>
              </w:rPr>
              <w:t>04767543</w:t>
            </w:r>
          </w:p>
        </w:tc>
      </w:tr>
      <w:tr w:rsidR="00EA5282" w:rsidRPr="00746A53" w14:paraId="2230A79D" w14:textId="77777777" w:rsidTr="00EA5282">
        <w:trPr>
          <w:gridAfter w:val="1"/>
          <w:wAfter w:w="567" w:type="dxa"/>
        </w:trPr>
        <w:tc>
          <w:tcPr>
            <w:tcW w:w="4111" w:type="dxa"/>
            <w:gridSpan w:val="3"/>
          </w:tcPr>
          <w:p w14:paraId="5CC56326" w14:textId="77777777" w:rsidR="00EA5282" w:rsidRPr="00EA5282" w:rsidRDefault="00EA5282" w:rsidP="00EA5282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5593" w:type="dxa"/>
            <w:gridSpan w:val="4"/>
          </w:tcPr>
          <w:p w14:paraId="1B799408" w14:textId="77777777" w:rsidR="00EA5282" w:rsidRPr="00E51AC6" w:rsidRDefault="00EA5282" w:rsidP="00EA5282">
            <w:pPr>
              <w:spacing w:line="360" w:lineRule="auto"/>
              <w:ind w:left="526"/>
              <w:rPr>
                <w:sz w:val="22"/>
                <w:szCs w:val="22"/>
              </w:rPr>
            </w:pPr>
            <w:r w:rsidRPr="00EA5282">
              <w:rPr>
                <w:rFonts w:ascii="Arial" w:eastAsia="Calibri" w:hAnsi="Arial" w:cs="Arial"/>
                <w:color w:val="636466"/>
                <w:sz w:val="22"/>
                <w:lang w:eastAsia="en-US"/>
              </w:rPr>
              <w:t>CZ</w:t>
            </w:r>
            <w:r w:rsidRPr="00DC5FFD">
              <w:rPr>
                <w:rFonts w:ascii="Arial" w:eastAsia="Calibri" w:hAnsi="Arial" w:cs="Arial"/>
                <w:color w:val="636466"/>
                <w:sz w:val="22"/>
                <w:lang w:eastAsia="en-US"/>
              </w:rPr>
              <w:t>04767543</w:t>
            </w:r>
          </w:p>
        </w:tc>
      </w:tr>
      <w:tr w:rsidR="00EA5282" w:rsidRPr="00746A53" w14:paraId="12FB8804" w14:textId="77777777" w:rsidTr="00EA5282">
        <w:trPr>
          <w:gridAfter w:val="1"/>
          <w:wAfter w:w="567" w:type="dxa"/>
        </w:trPr>
        <w:tc>
          <w:tcPr>
            <w:tcW w:w="4111" w:type="dxa"/>
            <w:gridSpan w:val="3"/>
          </w:tcPr>
          <w:p w14:paraId="3F9AE80F" w14:textId="77777777" w:rsidR="00EA5282" w:rsidRPr="00EA5282" w:rsidRDefault="00EA5282" w:rsidP="00EA5282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zastoupen/</w:t>
            </w:r>
            <w:proofErr w:type="gramStart"/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jednající:   </w:t>
            </w:r>
            <w:proofErr w:type="gramEnd"/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ab/>
            </w:r>
          </w:p>
        </w:tc>
        <w:tc>
          <w:tcPr>
            <w:tcW w:w="5593" w:type="dxa"/>
            <w:gridSpan w:val="4"/>
          </w:tcPr>
          <w:p w14:paraId="34C55FDE" w14:textId="196564E9" w:rsidR="00EA5282" w:rsidRPr="00E51AC6" w:rsidRDefault="00091956" w:rsidP="00EA5282">
            <w:pPr>
              <w:spacing w:line="360" w:lineRule="auto"/>
              <w:ind w:left="526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xxx</w:t>
            </w:r>
            <w:proofErr w:type="spellEnd"/>
          </w:p>
        </w:tc>
      </w:tr>
      <w:tr w:rsidR="00EA5282" w:rsidRPr="00746A53" w14:paraId="5FED8619" w14:textId="77777777" w:rsidTr="00EA5282">
        <w:trPr>
          <w:gridAfter w:val="1"/>
          <w:wAfter w:w="567" w:type="dxa"/>
        </w:trPr>
        <w:tc>
          <w:tcPr>
            <w:tcW w:w="4111" w:type="dxa"/>
            <w:gridSpan w:val="3"/>
          </w:tcPr>
          <w:p w14:paraId="569DB60D" w14:textId="77777777" w:rsidR="00EA5282" w:rsidRPr="00EA5282" w:rsidRDefault="00EA5282" w:rsidP="00EA5282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zapsán v obchodním rejstříku</w:t>
            </w:r>
          </w:p>
        </w:tc>
        <w:tc>
          <w:tcPr>
            <w:tcW w:w="5593" w:type="dxa"/>
            <w:gridSpan w:val="4"/>
          </w:tcPr>
          <w:p w14:paraId="7B5DFE31" w14:textId="77777777" w:rsidR="00EA5282" w:rsidRPr="00E51AC6" w:rsidRDefault="00EA5282" w:rsidP="00EA5282">
            <w:pPr>
              <w:spacing w:line="360" w:lineRule="auto"/>
              <w:ind w:left="526"/>
              <w:rPr>
                <w:sz w:val="22"/>
                <w:szCs w:val="22"/>
              </w:rPr>
            </w:pPr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Městského soudu v Praze, oddíl A, vložka 7565</w:t>
            </w:r>
          </w:p>
        </w:tc>
      </w:tr>
      <w:tr w:rsidR="00EA5282" w:rsidRPr="00746A53" w14:paraId="221855CF" w14:textId="77777777" w:rsidTr="00EA5282">
        <w:trPr>
          <w:gridAfter w:val="1"/>
          <w:wAfter w:w="567" w:type="dxa"/>
        </w:trPr>
        <w:tc>
          <w:tcPr>
            <w:tcW w:w="4111" w:type="dxa"/>
            <w:gridSpan w:val="3"/>
          </w:tcPr>
          <w:p w14:paraId="363E674A" w14:textId="77777777" w:rsidR="00EA5282" w:rsidRPr="00EA5282" w:rsidRDefault="00EA5282" w:rsidP="00EA5282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5593" w:type="dxa"/>
            <w:gridSpan w:val="4"/>
          </w:tcPr>
          <w:p w14:paraId="130D658A" w14:textId="2A7781E1" w:rsidR="00EA5282" w:rsidRPr="00EA5282" w:rsidRDefault="00091956" w:rsidP="00EA5282">
            <w:pPr>
              <w:spacing w:line="360" w:lineRule="auto"/>
              <w:ind w:left="526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xxx</w:t>
            </w:r>
            <w:proofErr w:type="spellEnd"/>
            <w:r w:rsidR="00EA5282"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, </w:t>
            </w:r>
          </w:p>
          <w:p w14:paraId="03FD28F1" w14:textId="4A398948" w:rsidR="00EA5282" w:rsidRPr="00E51AC6" w:rsidRDefault="00091956" w:rsidP="00EA5282">
            <w:pPr>
              <w:spacing w:line="360" w:lineRule="auto"/>
              <w:ind w:left="526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xxx</w:t>
            </w:r>
            <w:proofErr w:type="spellEnd"/>
          </w:p>
        </w:tc>
      </w:tr>
      <w:tr w:rsidR="003E03ED" w:rsidRPr="00746A53" w14:paraId="6FDC4781" w14:textId="77777777" w:rsidTr="00EA5282">
        <w:trPr>
          <w:gridAfter w:val="3"/>
          <w:wAfter w:w="1199" w:type="dxa"/>
        </w:trPr>
        <w:tc>
          <w:tcPr>
            <w:tcW w:w="3479" w:type="dxa"/>
          </w:tcPr>
          <w:p w14:paraId="1AA098C7" w14:textId="77777777" w:rsidR="00EA5282" w:rsidRDefault="00EA5282" w:rsidP="00EA5282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</w:p>
          <w:p w14:paraId="1E11D513" w14:textId="65F28F96" w:rsidR="00EA5282" w:rsidRDefault="00EA5282" w:rsidP="00EA5282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dále jako „</w:t>
            </w:r>
            <w:r w:rsidRPr="00EA5282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Nabyvatel</w:t>
            </w:r>
            <w:r w:rsidRPr="00EA5282"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 xml:space="preserve">“  </w:t>
            </w:r>
          </w:p>
          <w:p w14:paraId="257B60BC" w14:textId="093ACDB7" w:rsidR="00CC778D" w:rsidRDefault="00CC778D" w:rsidP="00EA5282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</w:p>
          <w:p w14:paraId="28838533" w14:textId="77777777" w:rsidR="003E03ED" w:rsidRDefault="00CC778D" w:rsidP="00CC778D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636466"/>
                <w:sz w:val="22"/>
                <w:szCs w:val="22"/>
                <w:lang w:eastAsia="en-US"/>
              </w:rPr>
              <w:t>a</w:t>
            </w:r>
          </w:p>
          <w:p w14:paraId="1ACA1378" w14:textId="77777777" w:rsidR="00CC778D" w:rsidRDefault="00CC778D" w:rsidP="00CC778D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</w:rPr>
            </w:pPr>
          </w:p>
          <w:p w14:paraId="69187F9F" w14:textId="77777777" w:rsidR="00CC778D" w:rsidRDefault="00CC778D" w:rsidP="00CC778D">
            <w:pPr>
              <w:jc w:val="both"/>
              <w:rPr>
                <w:rFonts w:ascii="Arial" w:eastAsia="Calibri" w:hAnsi="Arial" w:cs="Arial"/>
                <w:color w:val="636466"/>
                <w:sz w:val="22"/>
                <w:szCs w:val="22"/>
              </w:rPr>
            </w:pPr>
          </w:p>
          <w:p w14:paraId="2D27F805" w14:textId="55599791" w:rsidR="00CC778D" w:rsidRPr="00E51AC6" w:rsidRDefault="00CC778D" w:rsidP="00CC77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gridSpan w:val="4"/>
          </w:tcPr>
          <w:p w14:paraId="7162A18B" w14:textId="77777777" w:rsidR="003E03ED" w:rsidRPr="00E51AC6" w:rsidRDefault="003E03ED" w:rsidP="00AE410A">
            <w:pPr>
              <w:rPr>
                <w:sz w:val="22"/>
                <w:szCs w:val="22"/>
              </w:rPr>
            </w:pPr>
          </w:p>
        </w:tc>
      </w:tr>
    </w:tbl>
    <w:p w14:paraId="3049783C" w14:textId="77777777" w:rsidR="003E03ED" w:rsidRPr="00746A53" w:rsidRDefault="003E03ED" w:rsidP="003E03ED">
      <w:pPr>
        <w:contextualSpacing/>
      </w:pPr>
      <w:r w:rsidRPr="00746A53">
        <w:tab/>
      </w:r>
      <w:r w:rsidRPr="00746A53">
        <w:tab/>
      </w:r>
    </w:p>
    <w:p w14:paraId="54D950CF" w14:textId="091003FC" w:rsidR="00CC778D" w:rsidRDefault="00CC778D" w:rsidP="00412E6B">
      <w:pPr>
        <w:contextualSpacing/>
        <w:rPr>
          <w:rFonts w:ascii="Arial" w:eastAsia="Calibri" w:hAnsi="Arial" w:cs="Arial"/>
          <w:color w:val="636466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256"/>
        <w:tblOverlap w:val="never"/>
        <w:tblW w:w="9434" w:type="dxa"/>
        <w:tblLook w:val="01E0" w:firstRow="1" w:lastRow="1" w:firstColumn="1" w:lastColumn="1" w:noHBand="0" w:noVBand="0"/>
      </w:tblPr>
      <w:tblGrid>
        <w:gridCol w:w="3583"/>
        <w:gridCol w:w="5851"/>
      </w:tblGrid>
      <w:tr w:rsidR="00CC778D" w:rsidRPr="009E5ADD" w14:paraId="2620B6CC" w14:textId="77777777" w:rsidTr="005F2D48">
        <w:trPr>
          <w:trHeight w:val="377"/>
        </w:trPr>
        <w:tc>
          <w:tcPr>
            <w:tcW w:w="9434" w:type="dxa"/>
            <w:gridSpan w:val="2"/>
          </w:tcPr>
          <w:p w14:paraId="08259DBB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bookmarkStart w:id="0" w:name="_Hlk104186765"/>
            <w:r w:rsidRPr="009E5ADD">
              <w:rPr>
                <w:rFonts w:ascii="Arial" w:eastAsia="Arial" w:hAnsi="Arial" w:cs="Arial"/>
                <w:b/>
                <w:bCs/>
                <w:color w:val="636466"/>
                <w:sz w:val="22"/>
                <w:szCs w:val="22"/>
                <w:lang w:eastAsia="en-US"/>
              </w:rPr>
              <w:t>S&amp;T CZ s.r.o.</w:t>
            </w:r>
          </w:p>
        </w:tc>
      </w:tr>
      <w:tr w:rsidR="00CC778D" w:rsidRPr="009E5ADD" w14:paraId="56098039" w14:textId="77777777" w:rsidTr="005F2D48">
        <w:trPr>
          <w:trHeight w:val="377"/>
        </w:trPr>
        <w:tc>
          <w:tcPr>
            <w:tcW w:w="3583" w:type="dxa"/>
          </w:tcPr>
          <w:p w14:paraId="50117BDC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se sídlem/místem podnikání: </w:t>
            </w:r>
          </w:p>
        </w:tc>
        <w:tc>
          <w:tcPr>
            <w:tcW w:w="5850" w:type="dxa"/>
          </w:tcPr>
          <w:p w14:paraId="49C99943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color w:val="636466"/>
                <w:lang w:eastAsia="en-US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 V Parku 2316/12, 148 00 Praha 4</w:t>
            </w:r>
          </w:p>
        </w:tc>
      </w:tr>
      <w:tr w:rsidR="00CC778D" w:rsidRPr="009E5ADD" w14:paraId="29F7FC8F" w14:textId="77777777" w:rsidTr="005F2D48">
        <w:trPr>
          <w:trHeight w:val="377"/>
        </w:trPr>
        <w:tc>
          <w:tcPr>
            <w:tcW w:w="3583" w:type="dxa"/>
          </w:tcPr>
          <w:p w14:paraId="4588DF3A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5850" w:type="dxa"/>
          </w:tcPr>
          <w:p w14:paraId="2EE889B7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color w:val="636466"/>
                <w:lang w:eastAsia="en-US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 44846029</w:t>
            </w:r>
          </w:p>
        </w:tc>
      </w:tr>
      <w:tr w:rsidR="00CC778D" w:rsidRPr="009E5ADD" w14:paraId="13B9CC42" w14:textId="77777777" w:rsidTr="005F2D48">
        <w:trPr>
          <w:trHeight w:val="362"/>
        </w:trPr>
        <w:tc>
          <w:tcPr>
            <w:tcW w:w="3583" w:type="dxa"/>
          </w:tcPr>
          <w:p w14:paraId="29A0D3F1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5850" w:type="dxa"/>
          </w:tcPr>
          <w:p w14:paraId="19EF7DCC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color w:val="636466"/>
                <w:lang w:eastAsia="en-US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 CZ44846029</w:t>
            </w:r>
          </w:p>
        </w:tc>
      </w:tr>
      <w:tr w:rsidR="00CC778D" w:rsidRPr="009E5ADD" w14:paraId="50E0E4D3" w14:textId="77777777" w:rsidTr="005F2D48">
        <w:trPr>
          <w:trHeight w:val="377"/>
        </w:trPr>
        <w:tc>
          <w:tcPr>
            <w:tcW w:w="3583" w:type="dxa"/>
          </w:tcPr>
          <w:p w14:paraId="59DDCEF3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zastoupen/</w:t>
            </w:r>
            <w:proofErr w:type="gramStart"/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jednající:   </w:t>
            </w:r>
            <w:proofErr w:type="gramEnd"/>
            <w:r w:rsidRPr="009E5ADD">
              <w:tab/>
            </w:r>
          </w:p>
        </w:tc>
        <w:tc>
          <w:tcPr>
            <w:tcW w:w="5850" w:type="dxa"/>
          </w:tcPr>
          <w:p w14:paraId="2D592B5A" w14:textId="36CDAE13" w:rsidR="00CC778D" w:rsidRPr="009E5ADD" w:rsidRDefault="00CC778D" w:rsidP="005F2D48">
            <w:pPr>
              <w:spacing w:after="120"/>
              <w:ind w:left="-105"/>
              <w:jc w:val="both"/>
              <w:rPr>
                <w:color w:val="636466"/>
                <w:lang w:eastAsia="en-US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91956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xxx</w:t>
            </w:r>
            <w:proofErr w:type="spellEnd"/>
          </w:p>
        </w:tc>
      </w:tr>
      <w:tr w:rsidR="00CC778D" w:rsidRPr="009E5ADD" w14:paraId="16D63210" w14:textId="77777777" w:rsidTr="005F2D48">
        <w:trPr>
          <w:trHeight w:val="377"/>
        </w:trPr>
        <w:tc>
          <w:tcPr>
            <w:tcW w:w="3583" w:type="dxa"/>
          </w:tcPr>
          <w:p w14:paraId="5EB75748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zapsán/a v obchodním rejstříku</w:t>
            </w:r>
          </w:p>
        </w:tc>
        <w:tc>
          <w:tcPr>
            <w:tcW w:w="5850" w:type="dxa"/>
          </w:tcPr>
          <w:p w14:paraId="3A9C3CD3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color w:val="636466"/>
                <w:lang w:eastAsia="en-US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 u Městského soudu v Praze, oddíl C, vložka 6033</w:t>
            </w:r>
          </w:p>
        </w:tc>
      </w:tr>
      <w:tr w:rsidR="00CC778D" w:rsidRPr="009E5ADD" w14:paraId="5E63F02E" w14:textId="77777777" w:rsidTr="005F2D48">
        <w:trPr>
          <w:trHeight w:val="377"/>
        </w:trPr>
        <w:tc>
          <w:tcPr>
            <w:tcW w:w="3583" w:type="dxa"/>
          </w:tcPr>
          <w:p w14:paraId="324B4743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5850" w:type="dxa"/>
          </w:tcPr>
          <w:p w14:paraId="0CF998B4" w14:textId="7337905B" w:rsidR="00CC778D" w:rsidRPr="009E5ADD" w:rsidRDefault="00091956" w:rsidP="005F2D48">
            <w:pPr>
              <w:spacing w:after="120"/>
              <w:ind w:left="-105"/>
              <w:jc w:val="both"/>
              <w:rPr>
                <w:color w:val="636466"/>
                <w:lang w:eastAsia="en-US"/>
              </w:rPr>
            </w:pPr>
            <w:r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xxx</w:t>
            </w:r>
            <w:proofErr w:type="spellEnd"/>
          </w:p>
        </w:tc>
      </w:tr>
      <w:bookmarkEnd w:id="0"/>
      <w:tr w:rsidR="00CC778D" w:rsidRPr="009E5ADD" w14:paraId="249682A9" w14:textId="77777777" w:rsidTr="005F2D48">
        <w:trPr>
          <w:trHeight w:val="754"/>
        </w:trPr>
        <w:tc>
          <w:tcPr>
            <w:tcW w:w="3583" w:type="dxa"/>
          </w:tcPr>
          <w:p w14:paraId="3B01F6CB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</w:p>
          <w:p w14:paraId="55659AAB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dále jako „</w:t>
            </w:r>
            <w:r w:rsidRPr="009E5ADD">
              <w:rPr>
                <w:rFonts w:ascii="Arial" w:eastAsia="Arial" w:hAnsi="Arial" w:cs="Arial"/>
                <w:b/>
                <w:bCs/>
                <w:color w:val="636466"/>
                <w:sz w:val="22"/>
                <w:szCs w:val="22"/>
                <w:lang w:eastAsia="en-US"/>
              </w:rPr>
              <w:t>Poskytovatel</w:t>
            </w:r>
            <w:r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5850" w:type="dxa"/>
          </w:tcPr>
          <w:p w14:paraId="35EB728E" w14:textId="77777777" w:rsidR="00CC778D" w:rsidRPr="009E5ADD" w:rsidRDefault="00CC778D" w:rsidP="005F2D48">
            <w:pPr>
              <w:spacing w:after="120"/>
              <w:ind w:left="-105"/>
              <w:jc w:val="both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</w:p>
        </w:tc>
      </w:tr>
    </w:tbl>
    <w:p w14:paraId="14CE6715" w14:textId="48F77E02" w:rsidR="00412E6B" w:rsidRPr="00412E6B" w:rsidRDefault="00CC778D" w:rsidP="00CC778D">
      <w:pPr>
        <w:contextualSpacing/>
        <w:jc w:val="both"/>
        <w:rPr>
          <w:sz w:val="24"/>
        </w:rPr>
      </w:pPr>
      <w:r w:rsidRPr="009E5ADD">
        <w:rPr>
          <w:rFonts w:ascii="Arial" w:eastAsia="Arial" w:hAnsi="Arial" w:cs="Arial"/>
          <w:color w:val="636466"/>
          <w:sz w:val="22"/>
          <w:szCs w:val="22"/>
          <w:lang w:eastAsia="en-US"/>
        </w:rPr>
        <w:t>dále jednotlivě jako „</w:t>
      </w:r>
      <w:r w:rsidRPr="009E5ADD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Smluvní strana</w:t>
      </w:r>
      <w:r w:rsidRPr="009E5ADD">
        <w:rPr>
          <w:rFonts w:ascii="Arial" w:eastAsia="Arial" w:hAnsi="Arial" w:cs="Arial"/>
          <w:color w:val="636466"/>
          <w:sz w:val="22"/>
          <w:szCs w:val="22"/>
          <w:lang w:eastAsia="en-US"/>
        </w:rPr>
        <w:t>“ nebo společně jako „</w:t>
      </w:r>
      <w:r w:rsidRPr="009E5ADD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Smluvní strany</w:t>
      </w:r>
      <w:r w:rsidRPr="009E5ADD">
        <w:rPr>
          <w:rFonts w:ascii="Arial" w:eastAsia="Arial" w:hAnsi="Arial" w:cs="Arial"/>
          <w:color w:val="636466"/>
          <w:sz w:val="22"/>
          <w:szCs w:val="22"/>
          <w:lang w:eastAsia="en-US"/>
        </w:rPr>
        <w:t>“ uzavírají</w:t>
      </w:r>
      <w:r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Pr="009E5ADD">
        <w:rPr>
          <w:rFonts w:ascii="Arial" w:eastAsia="Arial" w:hAnsi="Arial" w:cs="Arial"/>
          <w:color w:val="636466"/>
          <w:sz w:val="22"/>
          <w:szCs w:val="22"/>
          <w:lang w:eastAsia="en-US"/>
        </w:rPr>
        <w:t>v souladu s ustanovením § 1746 odst. 2 zákona č. 89/2012 Sb., občanský zákoník, ve znění pozdějších předpisů (dále jen „</w:t>
      </w:r>
      <w:r w:rsidRPr="009E5ADD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Občanský zákoník</w:t>
      </w:r>
      <w:r w:rsidRPr="009E5ADD">
        <w:rPr>
          <w:rFonts w:ascii="Arial" w:eastAsia="Arial" w:hAnsi="Arial" w:cs="Arial"/>
          <w:color w:val="636466"/>
          <w:sz w:val="22"/>
          <w:szCs w:val="22"/>
          <w:lang w:eastAsia="en-US"/>
        </w:rPr>
        <w:t>“) a dle příslušných ustanovení zákona č. 134/20016 Sb., o zadávání veřejných zakázek, ve znění pozdějších předpisů (dále jen „</w:t>
      </w:r>
      <w:r w:rsidRPr="009E5ADD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Zákon o veřejných zakázkách</w:t>
      </w:r>
      <w:r w:rsidRPr="009E5ADD">
        <w:rPr>
          <w:rFonts w:ascii="Arial" w:eastAsia="Arial" w:hAnsi="Arial" w:cs="Arial"/>
          <w:color w:val="636466"/>
          <w:sz w:val="22"/>
          <w:szCs w:val="22"/>
          <w:lang w:eastAsia="en-US"/>
        </w:rPr>
        <w:t>“), tuto Smlouvu k Rámcové dohodě na dodávku licencí a podpory č.j. 2019/140NAKIT ze dne 18.12.2019 (dále jen „</w:t>
      </w:r>
      <w:r w:rsidRPr="009E5ADD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Dohoda</w:t>
      </w:r>
      <w:r w:rsidRPr="009E5ADD">
        <w:rPr>
          <w:rFonts w:ascii="Arial" w:eastAsia="Arial" w:hAnsi="Arial" w:cs="Arial"/>
          <w:color w:val="636466"/>
          <w:sz w:val="22"/>
          <w:szCs w:val="22"/>
          <w:lang w:eastAsia="en-US"/>
        </w:rPr>
        <w:t>“).</w:t>
      </w:r>
      <w:r w:rsidR="003E03ED" w:rsidRPr="00746A53">
        <w:rPr>
          <w:sz w:val="24"/>
        </w:rPr>
        <w:tab/>
      </w:r>
    </w:p>
    <w:p w14:paraId="4E901E10" w14:textId="77777777" w:rsidR="003E03ED" w:rsidRPr="002F7749" w:rsidRDefault="003E03ED" w:rsidP="30F7B170">
      <w:pPr>
        <w:pStyle w:val="lnek"/>
        <w:tabs>
          <w:tab w:val="clear" w:pos="3551"/>
          <w:tab w:val="num" w:pos="432"/>
        </w:tabs>
        <w:spacing w:line="240" w:lineRule="auto"/>
        <w:ind w:left="432"/>
        <w:rPr>
          <w:rFonts w:ascii="Arial" w:eastAsia="Arial" w:hAnsi="Arial"/>
          <w:color w:val="595959" w:themeColor="text1" w:themeTint="A6"/>
          <w:sz w:val="22"/>
          <w:szCs w:val="22"/>
        </w:rPr>
      </w:pPr>
      <w:r w:rsidRPr="30F7B170">
        <w:rPr>
          <w:rFonts w:ascii="Arial" w:eastAsia="Arial" w:hAnsi="Arial"/>
          <w:color w:val="595959" w:themeColor="text1" w:themeTint="A6"/>
          <w:sz w:val="22"/>
          <w:szCs w:val="22"/>
        </w:rPr>
        <w:lastRenderedPageBreak/>
        <w:t>Předmět Smlouvy</w:t>
      </w:r>
    </w:p>
    <w:p w14:paraId="5D0A6FA8" w14:textId="4BE8CC49" w:rsidR="0063726F" w:rsidRPr="00FF7D0A" w:rsidRDefault="003E03ED" w:rsidP="30F7B170">
      <w:pPr>
        <w:pStyle w:val="Odstavec2"/>
        <w:spacing w:after="0" w:line="240" w:lineRule="auto"/>
        <w:ind w:left="578" w:hanging="578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Předmětem této Smlouvy je poskytování </w:t>
      </w:r>
      <w:r w:rsidR="002F7749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odpory </w:t>
      </w:r>
      <w:r w:rsidR="002F7749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Poskytovatelem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="002F7749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Nabyvateli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="0063726F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k licencím</w:t>
      </w:r>
    </w:p>
    <w:p w14:paraId="1F949298" w14:textId="17932F87" w:rsidR="00B77A34" w:rsidRPr="00E06B63" w:rsidRDefault="00B77A34" w:rsidP="30F7B170">
      <w:pPr>
        <w:pStyle w:val="Odstavecseseznamem"/>
        <w:numPr>
          <w:ilvl w:val="0"/>
          <w:numId w:val="7"/>
        </w:numPr>
        <w:spacing w:after="200" w:line="312" w:lineRule="auto"/>
        <w:ind w:left="990" w:right="-270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Licence </w:t>
      </w:r>
      <w:proofErr w:type="spellStart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Arcsight</w:t>
      </w:r>
      <w:proofErr w:type="spellEnd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proofErr w:type="spellStart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Logger</w:t>
      </w:r>
      <w:proofErr w:type="spellEnd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Standard </w:t>
      </w:r>
      <w:proofErr w:type="spellStart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Edition</w:t>
      </w:r>
      <w:proofErr w:type="spellEnd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EPS SW E-LTU – počet licencí 30 775 </w:t>
      </w:r>
    </w:p>
    <w:p w14:paraId="21C8872B" w14:textId="5C680532" w:rsidR="00B77A34" w:rsidRPr="00E06B63" w:rsidRDefault="00B77A34" w:rsidP="30F7B170">
      <w:pPr>
        <w:pStyle w:val="Odstavecseseznamem"/>
        <w:numPr>
          <w:ilvl w:val="0"/>
          <w:numId w:val="7"/>
        </w:numPr>
        <w:spacing w:after="200" w:line="312" w:lineRule="auto"/>
        <w:ind w:left="990" w:right="-270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Licence </w:t>
      </w:r>
      <w:proofErr w:type="spellStart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Arcsight</w:t>
      </w:r>
      <w:proofErr w:type="spellEnd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ESM Standard </w:t>
      </w:r>
      <w:proofErr w:type="spellStart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Edition</w:t>
      </w:r>
      <w:proofErr w:type="spellEnd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EPS SW LTU </w:t>
      </w:r>
      <w:proofErr w:type="gramStart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-  počet</w:t>
      </w:r>
      <w:proofErr w:type="gramEnd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licencí 20 525</w:t>
      </w:r>
    </w:p>
    <w:p w14:paraId="7F529989" w14:textId="77777777" w:rsidR="00FF7D0A" w:rsidRPr="00FF7D0A" w:rsidRDefault="00FF7D0A" w:rsidP="30F7B170">
      <w:pPr>
        <w:pStyle w:val="Odstavecseseznamem"/>
        <w:ind w:left="851"/>
        <w:rPr>
          <w:rFonts w:ascii="Arial" w:eastAsia="Arial" w:hAnsi="Arial" w:cs="Arial"/>
          <w:color w:val="636466"/>
          <w:sz w:val="22"/>
          <w:szCs w:val="22"/>
          <w:lang w:eastAsia="en-US"/>
        </w:rPr>
      </w:pPr>
    </w:p>
    <w:p w14:paraId="09DE34DE" w14:textId="3764C33A" w:rsidR="003E03ED" w:rsidRPr="002F7749" w:rsidRDefault="00FF7D0A" w:rsidP="30F7B170">
      <w:pPr>
        <w:pStyle w:val="Odstavec2"/>
        <w:numPr>
          <w:ilvl w:val="1"/>
          <w:numId w:val="0"/>
        </w:numPr>
        <w:spacing w:line="240" w:lineRule="auto"/>
        <w:ind w:left="578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a to 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v souladu s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 </w:t>
      </w:r>
      <w:r w:rsidR="002F7749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Dohodu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a </w:t>
      </w:r>
      <w:r w:rsidR="00AC3CDE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výzvou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Objednatele k jednání dle </w:t>
      </w:r>
      <w:r w:rsidR="007B536B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Dohody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(dále jen „</w:t>
      </w:r>
      <w:r w:rsidR="007B536B" w:rsidRPr="30F7B170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Podpora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“).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Rozsah Podpory a reakční doba plně reflektuje podmínky licenční podpory a záruky </w:t>
      </w:r>
      <w:r w:rsidR="00860AFF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l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icencí výrobce dle licenčních podmínek v příloze </w:t>
      </w:r>
      <w:r w:rsidR="000A025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1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Dohody</w:t>
      </w:r>
      <w:r w:rsidR="00860AFF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a/nebo v příloze č. </w:t>
      </w:r>
      <w:r w:rsidR="000A025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1</w:t>
      </w:r>
      <w:r w:rsidR="00860AFF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Smlouvy za předpokladu splnění podmínek v čl. 1 odst. 1.3 Dohody. </w:t>
      </w:r>
    </w:p>
    <w:p w14:paraId="2C9ECF17" w14:textId="0EF5750F" w:rsidR="003E03ED" w:rsidRPr="007B536B" w:rsidRDefault="005B2CCB" w:rsidP="30F7B170">
      <w:pPr>
        <w:pStyle w:val="Odstavec2"/>
        <w:spacing w:line="240" w:lineRule="auto"/>
        <w:ind w:left="578" w:hanging="578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005B2CCB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Po uzavření této Smlouvy sdělí </w:t>
      </w:r>
      <w:r>
        <w:rPr>
          <w:rFonts w:ascii="Arial" w:eastAsia="Arial" w:hAnsi="Arial" w:cs="Arial"/>
          <w:color w:val="636466"/>
          <w:sz w:val="22"/>
          <w:szCs w:val="22"/>
          <w:lang w:eastAsia="en-US"/>
        </w:rPr>
        <w:t>Nabyva</w:t>
      </w:r>
      <w:r w:rsidRPr="005B2CCB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tel Poskytovateli číslo tzv. Evidenční objednávky (EOBJ), která má pouze evidenční charakter pro </w:t>
      </w:r>
      <w:r>
        <w:rPr>
          <w:rFonts w:ascii="Arial" w:eastAsia="Arial" w:hAnsi="Arial" w:cs="Arial"/>
          <w:color w:val="636466"/>
          <w:sz w:val="22"/>
          <w:szCs w:val="22"/>
          <w:lang w:eastAsia="en-US"/>
        </w:rPr>
        <w:t>Nabyv</w:t>
      </w:r>
      <w:r w:rsidRPr="005B2CCB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atele a nemá žádný vliv na plnění této Smlouvy. Číslo evidenční objednávky </w:t>
      </w:r>
      <w:r w:rsidR="00255544">
        <w:rPr>
          <w:rFonts w:ascii="Arial" w:eastAsia="Arial" w:hAnsi="Arial" w:cs="Arial"/>
          <w:color w:val="636466"/>
          <w:sz w:val="22"/>
          <w:szCs w:val="22"/>
          <w:lang w:eastAsia="en-US"/>
        </w:rPr>
        <w:t>Naby</w:t>
      </w:r>
      <w:r w:rsidRPr="005B2CCB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vatele je číslo, které musí být vždy uvedeno na faktuře. Neuvedení čísla evidenční objednávky na faktuře je důvodem k neproplacení faktury a jejímu oprávněnému vrácení Poskytovateli ve smyslu ustanovení odst. </w:t>
      </w:r>
      <w:r w:rsidR="00407035">
        <w:rPr>
          <w:rFonts w:ascii="Arial" w:eastAsia="Arial" w:hAnsi="Arial" w:cs="Arial"/>
          <w:color w:val="636466"/>
          <w:sz w:val="22"/>
          <w:szCs w:val="22"/>
          <w:lang w:eastAsia="en-US"/>
        </w:rPr>
        <w:t>5</w:t>
      </w:r>
      <w:r w:rsidRPr="005B2CCB">
        <w:rPr>
          <w:rFonts w:ascii="Arial" w:eastAsia="Arial" w:hAnsi="Arial" w:cs="Arial"/>
          <w:color w:val="636466"/>
          <w:sz w:val="22"/>
          <w:szCs w:val="22"/>
          <w:lang w:eastAsia="en-US"/>
        </w:rPr>
        <w:t>.</w:t>
      </w:r>
      <w:r w:rsidR="00407035">
        <w:rPr>
          <w:rFonts w:ascii="Arial" w:eastAsia="Arial" w:hAnsi="Arial" w:cs="Arial"/>
          <w:color w:val="636466"/>
          <w:sz w:val="22"/>
          <w:szCs w:val="22"/>
          <w:lang w:eastAsia="en-US"/>
        </w:rPr>
        <w:t>7</w:t>
      </w:r>
      <w:r w:rsidRPr="005B2CCB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="00407035">
        <w:rPr>
          <w:rFonts w:ascii="Arial" w:eastAsia="Arial" w:hAnsi="Arial" w:cs="Arial"/>
          <w:color w:val="636466"/>
          <w:sz w:val="22"/>
          <w:szCs w:val="22"/>
          <w:lang w:eastAsia="en-US"/>
        </w:rPr>
        <w:t>Dohod</w:t>
      </w:r>
      <w:r w:rsidRPr="005B2CCB">
        <w:rPr>
          <w:rFonts w:ascii="Arial" w:eastAsia="Arial" w:hAnsi="Arial" w:cs="Arial"/>
          <w:color w:val="636466"/>
          <w:sz w:val="22"/>
          <w:szCs w:val="22"/>
          <w:lang w:eastAsia="en-US"/>
        </w:rPr>
        <w:t>y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. </w:t>
      </w:r>
    </w:p>
    <w:p w14:paraId="637B5FCC" w14:textId="23D578F4" w:rsidR="003E03ED" w:rsidRPr="007B536B" w:rsidRDefault="007B536B" w:rsidP="30F7B170">
      <w:pPr>
        <w:pStyle w:val="Odstavec2"/>
        <w:spacing w:line="240" w:lineRule="auto"/>
        <w:ind w:left="578" w:hanging="578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Poskytovatel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se zavazuje </w:t>
      </w:r>
      <w:r w:rsidR="006349BF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poskytovat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pro 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Nabyvatele Podporu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za podmínek uvedených v této Smlouvě.</w:t>
      </w:r>
    </w:p>
    <w:p w14:paraId="0F170907" w14:textId="77777777" w:rsidR="003E03ED" w:rsidRPr="007B536B" w:rsidRDefault="007B536B" w:rsidP="30F7B170">
      <w:pPr>
        <w:pStyle w:val="Odstavec2"/>
        <w:spacing w:line="240" w:lineRule="auto"/>
        <w:ind w:left="578" w:hanging="578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Nabyvatel 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se zavazuje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za poskytování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Podpory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zaplatit v souladu s touto Smlouvou 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a Dohodou 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sjednanou cenu.</w:t>
      </w:r>
    </w:p>
    <w:p w14:paraId="01C204F3" w14:textId="75BB5C92" w:rsidR="003E03ED" w:rsidRDefault="007B536B" w:rsidP="30F7B170">
      <w:pPr>
        <w:pStyle w:val="Odstavec2"/>
        <w:spacing w:line="240" w:lineRule="auto"/>
        <w:ind w:left="578" w:hanging="578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odpor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a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na základě této S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mlouvy je poskytována Nabyvateli 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za účelem zajištění funkčnosti a využitelnosti </w:t>
      </w:r>
      <w:r w:rsidR="00521A25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l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icencí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="006349BF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specifikovaných v</w:t>
      </w:r>
      <w:r w:rsidR="00C12346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 čl. 1 odst. 1.1 Smlouvy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.</w:t>
      </w:r>
    </w:p>
    <w:p w14:paraId="2FDB3E2F" w14:textId="77777777" w:rsidR="00CC778D" w:rsidRPr="007B536B" w:rsidRDefault="00CC778D" w:rsidP="00CC778D">
      <w:pPr>
        <w:pStyle w:val="Odstavec2"/>
        <w:numPr>
          <w:ilvl w:val="0"/>
          <w:numId w:val="0"/>
        </w:numPr>
        <w:spacing w:line="240" w:lineRule="auto"/>
        <w:ind w:left="578"/>
        <w:rPr>
          <w:rFonts w:ascii="Arial" w:eastAsia="Arial" w:hAnsi="Arial" w:cs="Arial"/>
          <w:color w:val="636466"/>
          <w:sz w:val="22"/>
          <w:szCs w:val="22"/>
          <w:lang w:eastAsia="en-US"/>
        </w:rPr>
      </w:pPr>
    </w:p>
    <w:p w14:paraId="0B44829F" w14:textId="77777777" w:rsidR="003E03ED" w:rsidRPr="00054ADD" w:rsidRDefault="003E03ED" w:rsidP="30F7B170">
      <w:pPr>
        <w:pStyle w:val="lnek"/>
        <w:tabs>
          <w:tab w:val="clear" w:pos="3551"/>
          <w:tab w:val="num" w:pos="432"/>
        </w:tabs>
        <w:spacing w:line="240" w:lineRule="auto"/>
        <w:ind w:left="432"/>
        <w:rPr>
          <w:rFonts w:ascii="Arial" w:eastAsia="Arial" w:hAnsi="Arial"/>
          <w:sz w:val="22"/>
          <w:szCs w:val="22"/>
        </w:rPr>
      </w:pPr>
      <w:r w:rsidRPr="30F7B170">
        <w:rPr>
          <w:rFonts w:ascii="Arial" w:eastAsia="Arial" w:hAnsi="Arial"/>
          <w:color w:val="595959" w:themeColor="text1" w:themeTint="A6"/>
          <w:sz w:val="22"/>
          <w:szCs w:val="22"/>
        </w:rPr>
        <w:t xml:space="preserve">Cena </w:t>
      </w:r>
      <w:r w:rsidR="00062451" w:rsidRPr="30F7B170">
        <w:rPr>
          <w:rFonts w:ascii="Arial" w:eastAsia="Arial" w:hAnsi="Arial"/>
          <w:color w:val="595959" w:themeColor="text1" w:themeTint="A6"/>
          <w:sz w:val="22"/>
          <w:szCs w:val="22"/>
        </w:rPr>
        <w:t>a platební podmínky</w:t>
      </w:r>
    </w:p>
    <w:p w14:paraId="5E53C4E9" w14:textId="70797FCD" w:rsidR="003E03ED" w:rsidRDefault="003E03ED" w:rsidP="30F7B170">
      <w:pPr>
        <w:pStyle w:val="Odstavec2"/>
        <w:tabs>
          <w:tab w:val="clear" w:pos="576"/>
          <w:tab w:val="num" w:pos="624"/>
          <w:tab w:val="num" w:pos="720"/>
        </w:tabs>
        <w:spacing w:line="240" w:lineRule="auto"/>
        <w:ind w:left="624" w:hanging="624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Cena za poskytování </w:t>
      </w:r>
      <w:r w:rsidR="007B536B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Podpory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="0059471F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na období jednoho roku</w:t>
      </w:r>
      <w:r w:rsidR="007167A6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pro </w:t>
      </w:r>
      <w:r w:rsidR="00E06B63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30 775 ks </w:t>
      </w:r>
      <w:r w:rsidR="007167A6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licenc</w:t>
      </w:r>
      <w:r w:rsidR="00E06B63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í</w:t>
      </w:r>
      <w:r w:rsidR="007167A6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proofErr w:type="spellStart"/>
      <w:r w:rsidR="00CE4751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Arcsight</w:t>
      </w:r>
      <w:proofErr w:type="spellEnd"/>
      <w:r w:rsidR="00CE4751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proofErr w:type="spellStart"/>
      <w:r w:rsidR="00CE4751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Logger</w:t>
      </w:r>
      <w:proofErr w:type="spellEnd"/>
      <w:r w:rsidR="00CE4751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Standard </w:t>
      </w:r>
      <w:proofErr w:type="spellStart"/>
      <w:r w:rsidR="00CE4751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Edition</w:t>
      </w:r>
      <w:proofErr w:type="spellEnd"/>
      <w:r w:rsidR="00CE4751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EPS SW E-LTU</w:t>
      </w:r>
      <w:r w:rsidR="007167A6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činí </w:t>
      </w:r>
      <w:r w:rsidR="008D1761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9</w:t>
      </w:r>
      <w:r w:rsidR="002C10F7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 </w:t>
      </w:r>
      <w:r w:rsidR="008D1761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058</w:t>
      </w:r>
      <w:r w:rsidR="002C10F7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 xml:space="preserve"> </w:t>
      </w:r>
      <w:r w:rsidR="008D1761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695</w:t>
      </w:r>
      <w:r w:rsidR="00450078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,00</w:t>
      </w:r>
      <w:r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 xml:space="preserve"> Kč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bez DPH</w:t>
      </w:r>
      <w:r w:rsidR="003059E7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(slovy: </w:t>
      </w:r>
      <w:proofErr w:type="spellStart"/>
      <w:r w:rsidR="002C10F7">
        <w:rPr>
          <w:rFonts w:ascii="Arial" w:eastAsia="Arial" w:hAnsi="Arial" w:cs="Arial"/>
          <w:color w:val="636466"/>
          <w:sz w:val="22"/>
          <w:szCs w:val="22"/>
          <w:lang w:eastAsia="en-US"/>
        </w:rPr>
        <w:t>Devětmilionůpadesátosmtisícšestsetdevadesátpět</w:t>
      </w:r>
      <w:proofErr w:type="spellEnd"/>
      <w:r w:rsidR="002C10F7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K</w:t>
      </w:r>
      <w:r w:rsidR="003059E7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orun</w:t>
      </w:r>
      <w:r w:rsidR="002C10F7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="003059E7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českých), </w:t>
      </w:r>
      <w:r w:rsidR="002C10F7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10 961 020,95</w:t>
      </w:r>
      <w:r w:rsidR="003059E7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 xml:space="preserve"> Kč</w:t>
      </w:r>
      <w:r w:rsidR="003059E7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s DPH (slovy </w:t>
      </w:r>
      <w:proofErr w:type="spellStart"/>
      <w:r w:rsidR="00412E6B">
        <w:rPr>
          <w:rFonts w:ascii="Arial" w:eastAsia="Arial" w:hAnsi="Arial" w:cs="Arial"/>
          <w:color w:val="636466"/>
          <w:sz w:val="22"/>
          <w:szCs w:val="22"/>
          <w:lang w:eastAsia="en-US"/>
        </w:rPr>
        <w:t>Desetmilionůdevětsetšedesátjednatisícdvacet</w:t>
      </w:r>
      <w:proofErr w:type="spellEnd"/>
      <w:r w:rsidR="00412E6B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Korun </w:t>
      </w:r>
      <w:proofErr w:type="gramStart"/>
      <w:r w:rsidR="00412E6B">
        <w:rPr>
          <w:rFonts w:ascii="Arial" w:eastAsia="Arial" w:hAnsi="Arial" w:cs="Arial"/>
          <w:color w:val="636466"/>
          <w:sz w:val="22"/>
          <w:szCs w:val="22"/>
          <w:lang w:eastAsia="en-US"/>
        </w:rPr>
        <w:t>českých</w:t>
      </w:r>
      <w:r w:rsidR="003059E7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="00412E6B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a</w:t>
      </w:r>
      <w:proofErr w:type="gramEnd"/>
      <w:r w:rsidR="00412E6B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95haléřů</w:t>
      </w:r>
      <w:r w:rsidR="003059E7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)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. </w:t>
      </w:r>
    </w:p>
    <w:p w14:paraId="36E2C507" w14:textId="483F8E37" w:rsidR="00705154" w:rsidRPr="00974190" w:rsidRDefault="007167A6" w:rsidP="30F7B170">
      <w:pPr>
        <w:pStyle w:val="Odstavec2"/>
        <w:tabs>
          <w:tab w:val="clear" w:pos="576"/>
          <w:tab w:val="num" w:pos="624"/>
          <w:tab w:val="num" w:pos="720"/>
        </w:tabs>
        <w:spacing w:line="240" w:lineRule="auto"/>
        <w:ind w:left="624" w:hanging="624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Cena za poskytování Podpory na období jednoho roku pro </w:t>
      </w:r>
      <w:r w:rsidR="00E06B63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20 525 ks 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licenc</w:t>
      </w:r>
      <w:r w:rsidR="00E06B63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í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  </w:t>
      </w:r>
      <w:proofErr w:type="spellStart"/>
      <w:r w:rsidR="00E06B63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Arcsight</w:t>
      </w:r>
      <w:proofErr w:type="spellEnd"/>
      <w:r w:rsidR="00E06B63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ESM Standard </w:t>
      </w:r>
      <w:proofErr w:type="spellStart"/>
      <w:r w:rsidR="00E06B63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Edition</w:t>
      </w:r>
      <w:proofErr w:type="spellEnd"/>
      <w:r w:rsidR="00E06B63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EPS SW LTU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činí </w:t>
      </w:r>
      <w:r w:rsidR="008D1761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5</w:t>
      </w:r>
      <w:r w:rsidR="002C10F7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 </w:t>
      </w:r>
      <w:r w:rsidR="008D1761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129</w:t>
      </w:r>
      <w:r w:rsidR="002C10F7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 xml:space="preserve"> </w:t>
      </w:r>
      <w:r w:rsidR="008D1761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146</w:t>
      </w:r>
      <w:r w:rsidR="00450078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,</w:t>
      </w:r>
      <w:r w:rsidR="00A406DF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50</w:t>
      </w:r>
      <w:r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 xml:space="preserve"> Kč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bez DPH (slovy: </w:t>
      </w:r>
      <w:proofErr w:type="spellStart"/>
      <w:r w:rsidR="002C10F7">
        <w:rPr>
          <w:rFonts w:ascii="Arial" w:eastAsia="Arial" w:hAnsi="Arial" w:cs="Arial"/>
          <w:color w:val="636466"/>
          <w:sz w:val="22"/>
          <w:szCs w:val="22"/>
          <w:lang w:eastAsia="en-US"/>
        </w:rPr>
        <w:t>Pětmilionůjednostodvacetdevěttisícjednostočtyřicetšest</w:t>
      </w:r>
      <w:proofErr w:type="spellEnd"/>
      <w:r w:rsidR="002C10F7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K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orun</w:t>
      </w:r>
      <w:r w:rsidR="002C10F7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českých</w:t>
      </w:r>
      <w:r w:rsidR="002C10F7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a 50haléřů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), </w:t>
      </w:r>
      <w:r w:rsidR="002C10F7"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>6 206 267,27</w:t>
      </w:r>
      <w:r w:rsidRPr="002C10F7">
        <w:rPr>
          <w:rFonts w:ascii="Arial" w:eastAsia="Arial" w:hAnsi="Arial" w:cs="Arial"/>
          <w:b/>
          <w:bCs/>
          <w:color w:val="636466"/>
          <w:sz w:val="22"/>
          <w:szCs w:val="22"/>
          <w:lang w:eastAsia="en-US"/>
        </w:rPr>
        <w:t xml:space="preserve"> Kč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s DPH (slovy </w:t>
      </w:r>
      <w:proofErr w:type="spellStart"/>
      <w:r w:rsidR="002C10F7">
        <w:rPr>
          <w:rFonts w:ascii="Arial" w:eastAsia="Arial" w:hAnsi="Arial" w:cs="Arial"/>
          <w:color w:val="636466"/>
          <w:sz w:val="22"/>
          <w:szCs w:val="22"/>
          <w:lang w:eastAsia="en-US"/>
        </w:rPr>
        <w:t>Šestmilionůdvěstěšesttisícdvěstěšedesátsedm</w:t>
      </w:r>
      <w:proofErr w:type="spellEnd"/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korun českých</w:t>
      </w:r>
      <w:r w:rsidR="002C10F7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a 27haléřů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). </w:t>
      </w:r>
    </w:p>
    <w:p w14:paraId="4EB6037D" w14:textId="77777777" w:rsidR="00062451" w:rsidRPr="00062451" w:rsidRDefault="007B536B" w:rsidP="30F7B170">
      <w:pPr>
        <w:pStyle w:val="Odstavec2"/>
        <w:tabs>
          <w:tab w:val="clear" w:pos="576"/>
          <w:tab w:val="num" w:pos="624"/>
          <w:tab w:val="num" w:pos="720"/>
        </w:tabs>
        <w:spacing w:line="240" w:lineRule="auto"/>
        <w:ind w:left="624" w:hanging="624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Poskytovatel 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výslovně prohlašuje a ujišťuje 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Nabyvatele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, že sjednaná cena již v sobě zahrnuje veškeré náklady 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Poskytovatele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spojené s plněním dle této Smlouvy. Sjednaná cena je cenou konečnou, nejvýše přípustnou a nemůže být změněna.</w:t>
      </w:r>
    </w:p>
    <w:p w14:paraId="37B0AFB2" w14:textId="08ED4F58" w:rsidR="003E03ED" w:rsidRDefault="00062451" w:rsidP="30F7B170">
      <w:pPr>
        <w:pStyle w:val="Odstavec2"/>
        <w:tabs>
          <w:tab w:val="clear" w:pos="576"/>
          <w:tab w:val="num" w:pos="624"/>
          <w:tab w:val="num" w:pos="720"/>
        </w:tabs>
        <w:spacing w:line="240" w:lineRule="auto"/>
        <w:ind w:left="624" w:hanging="624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Platební podmínky se řídí Dohodou.</w:t>
      </w:r>
    </w:p>
    <w:p w14:paraId="13099446" w14:textId="718A08D5" w:rsidR="00CC778D" w:rsidRDefault="00CC778D">
      <w:pPr>
        <w:spacing w:after="160" w:line="259" w:lineRule="auto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>
        <w:rPr>
          <w:rFonts w:ascii="Arial" w:eastAsia="Arial" w:hAnsi="Arial" w:cs="Arial"/>
          <w:color w:val="636466"/>
          <w:sz w:val="22"/>
          <w:szCs w:val="22"/>
          <w:lang w:eastAsia="en-US"/>
        </w:rPr>
        <w:br w:type="page"/>
      </w:r>
    </w:p>
    <w:p w14:paraId="5781D78D" w14:textId="77777777" w:rsidR="00CC778D" w:rsidRPr="007B536B" w:rsidRDefault="00CC778D" w:rsidP="00CC778D">
      <w:pPr>
        <w:pStyle w:val="Odstavec2"/>
        <w:numPr>
          <w:ilvl w:val="0"/>
          <w:numId w:val="0"/>
        </w:numPr>
        <w:tabs>
          <w:tab w:val="num" w:pos="3551"/>
        </w:tabs>
        <w:spacing w:line="240" w:lineRule="auto"/>
        <w:ind w:left="624"/>
        <w:rPr>
          <w:rFonts w:ascii="Arial" w:eastAsia="Arial" w:hAnsi="Arial" w:cs="Arial"/>
          <w:color w:val="636466"/>
          <w:sz w:val="22"/>
          <w:szCs w:val="22"/>
          <w:lang w:eastAsia="en-US"/>
        </w:rPr>
      </w:pPr>
    </w:p>
    <w:p w14:paraId="10511EFA" w14:textId="77777777" w:rsidR="003E03ED" w:rsidRPr="002F7749" w:rsidRDefault="003E03ED" w:rsidP="30F7B170">
      <w:pPr>
        <w:pStyle w:val="lnek"/>
        <w:tabs>
          <w:tab w:val="clear" w:pos="3551"/>
          <w:tab w:val="num" w:pos="432"/>
        </w:tabs>
        <w:spacing w:line="240" w:lineRule="auto"/>
        <w:ind w:left="432"/>
        <w:rPr>
          <w:rFonts w:ascii="Arial" w:eastAsia="Arial" w:hAnsi="Arial"/>
          <w:color w:val="595959" w:themeColor="text1" w:themeTint="A6"/>
          <w:sz w:val="22"/>
          <w:szCs w:val="22"/>
        </w:rPr>
      </w:pPr>
      <w:bookmarkStart w:id="1" w:name="_Toc172995378"/>
      <w:r w:rsidRPr="30F7B170">
        <w:rPr>
          <w:rFonts w:ascii="Arial" w:eastAsia="Arial" w:hAnsi="Arial"/>
          <w:color w:val="595959" w:themeColor="text1" w:themeTint="A6"/>
          <w:sz w:val="22"/>
          <w:szCs w:val="22"/>
        </w:rPr>
        <w:t xml:space="preserve">Doba a místo plnění </w:t>
      </w:r>
      <w:bookmarkEnd w:id="1"/>
    </w:p>
    <w:p w14:paraId="131E1219" w14:textId="799379B9" w:rsidR="003E03ED" w:rsidRPr="007B536B" w:rsidRDefault="003E03ED" w:rsidP="30F7B170">
      <w:pPr>
        <w:pStyle w:val="Odstavec2"/>
        <w:tabs>
          <w:tab w:val="clear" w:pos="576"/>
          <w:tab w:val="num" w:pos="624"/>
          <w:tab w:val="num" w:pos="720"/>
        </w:tabs>
        <w:spacing w:line="240" w:lineRule="auto"/>
        <w:ind w:left="624" w:hanging="624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Místem plnění je </w:t>
      </w:r>
      <w:r w:rsidR="00974190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Praha.</w:t>
      </w:r>
    </w:p>
    <w:p w14:paraId="03A9022E" w14:textId="59A0D86B" w:rsidR="003E03ED" w:rsidRPr="007B536B" w:rsidRDefault="007B536B" w:rsidP="30F7B170">
      <w:pPr>
        <w:pStyle w:val="Odstavec2"/>
        <w:tabs>
          <w:tab w:val="clear" w:pos="576"/>
          <w:tab w:val="num" w:pos="624"/>
          <w:tab w:val="num" w:pos="720"/>
        </w:tabs>
        <w:spacing w:line="240" w:lineRule="auto"/>
        <w:ind w:left="624" w:hanging="624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Poskytovatel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se zavazuje poskytovat Podporu</w:t>
      </w:r>
      <w:r w:rsidR="00A95154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na dobu </w:t>
      </w:r>
      <w:r w:rsidR="00886D5C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dvou ročních období, tj.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od </w:t>
      </w:r>
      <w:r w:rsidR="00914B18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1.</w:t>
      </w:r>
      <w:r w:rsidR="00886D5C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5.20</w:t>
      </w:r>
      <w:r w:rsidR="00F9147A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22 do 30.4.2023 a od 1.5.2023 do 30.4. 2024. </w:t>
      </w:r>
      <w:r w:rsidR="00974190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Objednatel je oprávněn</w:t>
      </w:r>
      <w:r w:rsidR="00F9147A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nejdéle 2 m</w:t>
      </w:r>
      <w:r w:rsidR="00C27534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ě</w:t>
      </w:r>
      <w:r w:rsidR="00F9147A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síce před ukončením 1. roku </w:t>
      </w:r>
      <w:r w:rsidR="0075640B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</w:t>
      </w:r>
      <w:r w:rsidR="00F9147A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odpory, tj. do 30.2. 2023 </w:t>
      </w:r>
      <w:r w:rsidR="00703059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včetně</w:t>
      </w:r>
      <w:r w:rsidR="00F9147A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="00175FB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Poskytovateli oznámit</w:t>
      </w:r>
      <w:r w:rsidR="00E43398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, že </w:t>
      </w:r>
      <w:r w:rsidR="00703059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ne</w:t>
      </w:r>
      <w:r w:rsidR="00E43398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má</w:t>
      </w:r>
      <w:r w:rsidR="00175FB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zájem o poskytování Podpory pro </w:t>
      </w:r>
      <w:r w:rsidR="00A81AB0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následující</w:t>
      </w:r>
      <w:r w:rsidR="00175FB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  <w:r w:rsidR="00A81AB0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rok.</w:t>
      </w:r>
      <w:r w:rsidR="00E43398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</w:t>
      </w:r>
    </w:p>
    <w:p w14:paraId="05C561ED" w14:textId="77777777" w:rsidR="003E03ED" w:rsidRPr="007B536B" w:rsidRDefault="003E03ED" w:rsidP="30F7B170">
      <w:pPr>
        <w:pStyle w:val="lnek"/>
        <w:tabs>
          <w:tab w:val="clear" w:pos="3551"/>
          <w:tab w:val="num" w:pos="432"/>
        </w:tabs>
        <w:spacing w:line="240" w:lineRule="auto"/>
        <w:ind w:left="432"/>
        <w:rPr>
          <w:rFonts w:ascii="Arial" w:eastAsia="Arial" w:hAnsi="Arial"/>
          <w:color w:val="595959" w:themeColor="text1" w:themeTint="A6"/>
          <w:sz w:val="22"/>
          <w:szCs w:val="22"/>
        </w:rPr>
      </w:pPr>
      <w:bookmarkStart w:id="2" w:name="_Toc89982315"/>
      <w:r w:rsidRPr="30F7B170">
        <w:rPr>
          <w:rFonts w:ascii="Arial" w:eastAsia="Arial" w:hAnsi="Arial"/>
          <w:color w:val="595959" w:themeColor="text1" w:themeTint="A6"/>
          <w:sz w:val="22"/>
          <w:szCs w:val="22"/>
        </w:rPr>
        <w:t>Ostatní ujednání</w:t>
      </w:r>
    </w:p>
    <w:p w14:paraId="004A71F5" w14:textId="77777777" w:rsidR="003E03ED" w:rsidRPr="007B536B" w:rsidRDefault="003E03ED" w:rsidP="30F7B170">
      <w:pPr>
        <w:pStyle w:val="Odstavec2"/>
        <w:spacing w:line="240" w:lineRule="auto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Veškerá ujednání této Smlouvy navazují na 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Dohodu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a 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Dohodou 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se řídí, tj. práva, povinnosti či skutečnosti neupravené Smlouvě se řídí ustanoveními 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Dohod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y. V případě, že ujednání obsažené v této Smlouvě se bude odchylovat od ustanovení obsaženého v 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Dohod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ě, má ujednání obsažené v této Smlouvě přednost před ustanovením obsaženým v 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Dohod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ě, ovšem pouze ohledně plnění sjednaného v této Smlouvě. V otázkách touto Smlouvou neupravených se použijí ustanovení </w:t>
      </w:r>
      <w:r w:rsidR="007D00F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Dohod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y.</w:t>
      </w:r>
    </w:p>
    <w:p w14:paraId="4302619A" w14:textId="48459E7C" w:rsidR="003E03ED" w:rsidRPr="007B536B" w:rsidRDefault="004B50C3" w:rsidP="30F7B170">
      <w:pPr>
        <w:pStyle w:val="Odstavec2"/>
        <w:spacing w:line="240" w:lineRule="auto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Tato Smlouva se uzavírá na dobu dvou let</w:t>
      </w:r>
      <w:r w:rsidR="00667E45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, s přihlédnutím k ustanovení odstavce 3.2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. </w:t>
      </w:r>
      <w:r w:rsidR="003E03ED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Tato Smlouva nabývá platnosti dnem podpisu obou Smluvních stran</w:t>
      </w:r>
      <w:r w:rsidR="0097398F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a účinnosti dnem zveřejnění Smlouvy v registru smluv dle zák. č. 340/2015 Sb., o zvláštních podmínkách účinnosti některých smluv, uveřejňování těchto smluv a o registru smluv ve znění pozdějších předpisů.</w:t>
      </w:r>
    </w:p>
    <w:p w14:paraId="4D67211F" w14:textId="77777777" w:rsidR="003E03ED" w:rsidRPr="007B536B" w:rsidRDefault="003E03ED" w:rsidP="30F7B170">
      <w:pPr>
        <w:pStyle w:val="Odstavec2"/>
        <w:spacing w:line="240" w:lineRule="auto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Tato Smlouva je vyhotovena </w:t>
      </w:r>
      <w:r w:rsidR="00A714E3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elektronicky a podepsaná oprávněnými zástupci Smluvních stran zaručeným elektronickým podpisem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.</w:t>
      </w:r>
    </w:p>
    <w:p w14:paraId="086E71C4" w14:textId="77777777" w:rsidR="003E03ED" w:rsidRPr="007B536B" w:rsidRDefault="003E03ED" w:rsidP="30F7B170">
      <w:pPr>
        <w:pStyle w:val="Odstavec2"/>
        <w:spacing w:line="240" w:lineRule="auto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Smluvní strany prohlašují, že tato Smlouva ve spojení s Rámcovou </w:t>
      </w:r>
      <w:r w:rsidR="009F3211"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>dohodou</w:t>
      </w: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</w:t>
      </w:r>
    </w:p>
    <w:bookmarkEnd w:id="2"/>
    <w:p w14:paraId="100F14F8" w14:textId="77777777" w:rsidR="003E03ED" w:rsidRPr="007B536B" w:rsidRDefault="003E03ED" w:rsidP="00AB0EBA">
      <w:pPr>
        <w:pStyle w:val="Odstavec2"/>
        <w:tabs>
          <w:tab w:val="clear" w:pos="576"/>
          <w:tab w:val="num" w:pos="567"/>
        </w:tabs>
        <w:spacing w:line="240" w:lineRule="auto"/>
        <w:ind w:left="624" w:hanging="624"/>
        <w:rPr>
          <w:rFonts w:ascii="Arial" w:eastAsia="Arial" w:hAnsi="Arial" w:cs="Arial"/>
          <w:color w:val="636466"/>
          <w:sz w:val="22"/>
          <w:szCs w:val="22"/>
          <w:lang w:eastAsia="en-US"/>
        </w:rPr>
      </w:pPr>
      <w:r w:rsidRPr="30F7B170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Nedílnou součástí Smlouvy je: </w:t>
      </w:r>
    </w:p>
    <w:p w14:paraId="72D0B246" w14:textId="062CC9D8" w:rsidR="00064F77" w:rsidRDefault="00064F77" w:rsidP="00AB0EBA">
      <w:pPr>
        <w:pStyle w:val="Odstavec2"/>
        <w:numPr>
          <w:ilvl w:val="0"/>
          <w:numId w:val="0"/>
        </w:numPr>
        <w:spacing w:line="240" w:lineRule="auto"/>
        <w:ind w:left="576"/>
        <w:rPr>
          <w:rFonts w:ascii="Arial" w:eastAsia="Arial" w:hAnsi="Arial" w:cs="Arial"/>
          <w:sz w:val="22"/>
          <w:szCs w:val="22"/>
          <w:lang w:eastAsia="en-US"/>
        </w:rPr>
      </w:pPr>
      <w:r w:rsidRPr="5778D4C9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Příloha č. </w:t>
      </w:r>
      <w:r w:rsidR="000A025D" w:rsidRPr="5778D4C9">
        <w:rPr>
          <w:rFonts w:ascii="Arial" w:eastAsia="Arial" w:hAnsi="Arial" w:cs="Arial"/>
          <w:color w:val="636466"/>
          <w:sz w:val="22"/>
          <w:szCs w:val="22"/>
          <w:lang w:eastAsia="en-US"/>
        </w:rPr>
        <w:t>1</w:t>
      </w:r>
      <w:r w:rsidRPr="5778D4C9">
        <w:rPr>
          <w:rFonts w:ascii="Arial" w:eastAsia="Arial" w:hAnsi="Arial" w:cs="Arial"/>
          <w:color w:val="636466"/>
          <w:sz w:val="22"/>
          <w:szCs w:val="22"/>
          <w:lang w:eastAsia="en-US"/>
        </w:rPr>
        <w:t xml:space="preserve"> – Podmínky Podpory výrobce </w:t>
      </w:r>
    </w:p>
    <w:p w14:paraId="6401FD00" w14:textId="6A8B6354" w:rsidR="003E03ED" w:rsidRDefault="003E03ED" w:rsidP="30F7B170">
      <w:pPr>
        <w:pStyle w:val="Zkladntext"/>
        <w:ind w:left="624"/>
        <w:rPr>
          <w:rFonts w:ascii="Arial" w:eastAsia="Arial" w:hAnsi="Arial" w:cs="Arial"/>
          <w:color w:val="636466"/>
          <w:sz w:val="22"/>
          <w:szCs w:val="22"/>
          <w:lang w:eastAsia="en-US"/>
        </w:rPr>
      </w:pPr>
    </w:p>
    <w:p w14:paraId="3B53DFFD" w14:textId="77777777" w:rsidR="003E03ED" w:rsidRDefault="003E03ED" w:rsidP="30F7B170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1BC4B179" w14:textId="77777777" w:rsidR="003E03ED" w:rsidRDefault="003E03ED" w:rsidP="30F7B170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3D92A26" w14:textId="77777777" w:rsidR="003E03ED" w:rsidRPr="00C2727A" w:rsidRDefault="003E03ED" w:rsidP="30F7B170">
      <w:pPr>
        <w:pStyle w:val="Zkladntext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03ED" w:rsidRPr="005609D6" w14:paraId="5582E4A7" w14:textId="77777777" w:rsidTr="30F7B17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D32E0AE" w14:textId="0733888C" w:rsidR="003E03ED" w:rsidRPr="005609D6" w:rsidRDefault="003E03ED" w:rsidP="30F7B170">
            <w:pPr>
              <w:pStyle w:val="Zkladntextodsazen3"/>
              <w:ind w:left="425" w:hanging="425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  <w:r w:rsidRPr="30F7B170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V</w:t>
            </w:r>
            <w:r w:rsid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 Praze </w:t>
            </w:r>
            <w:r w:rsidRPr="30F7B170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dne</w:t>
            </w:r>
            <w:r w:rsid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 dle </w:t>
            </w:r>
            <w:proofErr w:type="spellStart"/>
            <w:proofErr w:type="gramStart"/>
            <w:r w:rsid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el.podpisu</w:t>
            </w:r>
            <w:proofErr w:type="spellEnd"/>
            <w:proofErr w:type="gramEnd"/>
            <w:r w:rsidRPr="30F7B170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3E223C4" w14:textId="3E724706" w:rsidR="003E03ED" w:rsidRPr="005609D6" w:rsidRDefault="009E5ADD" w:rsidP="30F7B170">
            <w:pPr>
              <w:pStyle w:val="Zkladntextodsazen3"/>
              <w:ind w:left="425" w:hanging="425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  <w:r w:rsidRPr="30F7B170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V</w:t>
            </w:r>
            <w:r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 Praze </w:t>
            </w:r>
            <w:r w:rsidRPr="30F7B170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dne</w:t>
            </w:r>
            <w:r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 dle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el.podpisu</w:t>
            </w:r>
            <w:proofErr w:type="spellEnd"/>
            <w:proofErr w:type="gramEnd"/>
            <w:r w:rsidR="003E03ED" w:rsidRPr="30F7B170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 _____________</w:t>
            </w:r>
          </w:p>
        </w:tc>
      </w:tr>
    </w:tbl>
    <w:p w14:paraId="198ABB54" w14:textId="77777777" w:rsidR="003E03ED" w:rsidRPr="005609D6" w:rsidRDefault="003E03ED" w:rsidP="30F7B170">
      <w:pPr>
        <w:pStyle w:val="Zkladntext"/>
        <w:rPr>
          <w:rFonts w:ascii="Arial" w:eastAsia="Arial" w:hAnsi="Arial" w:cs="Arial"/>
          <w:color w:val="636466"/>
          <w:sz w:val="22"/>
          <w:szCs w:val="22"/>
          <w:lang w:eastAsia="en-US"/>
        </w:rPr>
      </w:pPr>
    </w:p>
    <w:p w14:paraId="7A414520" w14:textId="77777777" w:rsidR="003E03ED" w:rsidRPr="00E51AC6" w:rsidRDefault="003E03ED" w:rsidP="30F7B170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3505E4FF" w14:textId="39FE41D3" w:rsidR="003E03ED" w:rsidRDefault="003E03ED" w:rsidP="30F7B170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A300E5F" w14:textId="50A440BB" w:rsidR="009E5ADD" w:rsidRDefault="009E5ADD" w:rsidP="30F7B170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48542731" w14:textId="77777777" w:rsidR="009E5ADD" w:rsidRPr="00E51AC6" w:rsidRDefault="009E5ADD" w:rsidP="30F7B170">
      <w:pPr>
        <w:pStyle w:val="Zkladntext"/>
        <w:rPr>
          <w:rFonts w:ascii="Arial" w:eastAsia="Arial" w:hAnsi="Arial" w:cs="Arial"/>
          <w:sz w:val="22"/>
          <w:szCs w:val="2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4519"/>
      </w:tblGrid>
      <w:tr w:rsidR="003E03ED" w:rsidRPr="00E51AC6" w14:paraId="4E0A51D7" w14:textId="77777777" w:rsidTr="009E5ADD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668ABB12" w14:textId="77777777" w:rsidR="00091956" w:rsidRDefault="003E03ED" w:rsidP="009E5ADD">
            <w:pPr>
              <w:pStyle w:val="Odstavec2"/>
              <w:numPr>
                <w:ilvl w:val="1"/>
                <w:numId w:val="0"/>
              </w:numPr>
              <w:tabs>
                <w:tab w:val="num" w:pos="624"/>
                <w:tab w:val="num" w:pos="720"/>
              </w:tabs>
              <w:spacing w:after="0" w:line="240" w:lineRule="auto"/>
              <w:ind w:right="360"/>
              <w:jc w:val="center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  <w:r w:rsidRPr="30F7B170">
              <w:rPr>
                <w:rFonts w:ascii="Arial" w:eastAsia="Arial" w:hAnsi="Arial" w:cs="Arial"/>
                <w:sz w:val="22"/>
                <w:szCs w:val="22"/>
              </w:rPr>
              <w:t>_________________________________</w:t>
            </w:r>
            <w:r w:rsidRPr="30F7B170">
              <w:rPr>
                <w:rFonts w:ascii="Arial" w:eastAsia="Arial" w:hAnsi="Arial" w:cs="Arial"/>
                <w:color w:val="636466"/>
                <w:sz w:val="22"/>
                <w:szCs w:val="22"/>
                <w:highlight w:val="lightGray"/>
                <w:lang w:eastAsia="en-US"/>
              </w:rPr>
              <w:t xml:space="preserve"> </w:t>
            </w:r>
            <w:proofErr w:type="spellStart"/>
            <w:r w:rsidR="00091956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xxx</w:t>
            </w:r>
            <w:proofErr w:type="spellEnd"/>
            <w:r w:rsidR="009E5ADD" w:rsidRP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 xml:space="preserve">, </w:t>
            </w:r>
          </w:p>
          <w:p w14:paraId="01853479" w14:textId="6F7E9799" w:rsidR="003E03ED" w:rsidRDefault="00091956" w:rsidP="009E5ADD">
            <w:pPr>
              <w:pStyle w:val="Odstavec2"/>
              <w:numPr>
                <w:ilvl w:val="1"/>
                <w:numId w:val="0"/>
              </w:numPr>
              <w:tabs>
                <w:tab w:val="num" w:pos="624"/>
                <w:tab w:val="num" w:pos="720"/>
              </w:tabs>
              <w:spacing w:after="0" w:line="240" w:lineRule="auto"/>
              <w:ind w:right="360"/>
              <w:jc w:val="center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xxx</w:t>
            </w:r>
            <w:proofErr w:type="spellEnd"/>
          </w:p>
          <w:p w14:paraId="4E9B14C0" w14:textId="2E77EA55" w:rsidR="009E5ADD" w:rsidRDefault="009E5ADD" w:rsidP="009E5ADD">
            <w:pPr>
              <w:pStyle w:val="Odstavec2"/>
              <w:numPr>
                <w:ilvl w:val="1"/>
                <w:numId w:val="0"/>
              </w:numPr>
              <w:tabs>
                <w:tab w:val="num" w:pos="624"/>
                <w:tab w:val="num" w:pos="720"/>
              </w:tabs>
              <w:spacing w:line="240" w:lineRule="auto"/>
              <w:ind w:right="360"/>
              <w:jc w:val="center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  <w:r w:rsidRPr="009E5ADD">
              <w:rPr>
                <w:rFonts w:ascii="Arial" w:eastAsia="Arial" w:hAnsi="Arial" w:cs="Arial"/>
                <w:b/>
                <w:bCs/>
                <w:color w:val="636466"/>
                <w:sz w:val="22"/>
                <w:szCs w:val="22"/>
                <w:lang w:eastAsia="en-US"/>
              </w:rPr>
              <w:t>S&amp;T CZ s.r.o.</w:t>
            </w:r>
          </w:p>
          <w:p w14:paraId="3E2ED497" w14:textId="2079F3A8" w:rsidR="009E5ADD" w:rsidRPr="00E51AC6" w:rsidRDefault="009E5ADD" w:rsidP="30F7B170">
            <w:pPr>
              <w:pStyle w:val="Odstavec2"/>
              <w:numPr>
                <w:ilvl w:val="1"/>
                <w:numId w:val="0"/>
              </w:numPr>
              <w:tabs>
                <w:tab w:val="num" w:pos="624"/>
                <w:tab w:val="num" w:pos="720"/>
              </w:tabs>
              <w:spacing w:line="240" w:lineRule="auto"/>
              <w:ind w:right="360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5D2B6D9F" w14:textId="1C4875E2" w:rsidR="009E5ADD" w:rsidRDefault="003E03ED" w:rsidP="009E5ADD">
            <w:pPr>
              <w:pStyle w:val="Odstavec2"/>
              <w:numPr>
                <w:ilvl w:val="1"/>
                <w:numId w:val="0"/>
              </w:numPr>
              <w:tabs>
                <w:tab w:val="num" w:pos="624"/>
                <w:tab w:val="num" w:pos="720"/>
              </w:tabs>
              <w:spacing w:after="0" w:line="240" w:lineRule="auto"/>
              <w:ind w:left="90"/>
              <w:jc w:val="center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  <w:r w:rsidRPr="30F7B170">
              <w:rPr>
                <w:rFonts w:ascii="Arial" w:eastAsia="Arial" w:hAnsi="Arial" w:cs="Arial"/>
                <w:sz w:val="22"/>
                <w:szCs w:val="22"/>
              </w:rPr>
              <w:t>___________________________________</w:t>
            </w:r>
            <w:r w:rsidRPr="30F7B170">
              <w:rPr>
                <w:rFonts w:ascii="Arial" w:eastAsia="Arial" w:hAnsi="Arial" w:cs="Arial"/>
                <w:color w:val="636466"/>
                <w:sz w:val="22"/>
                <w:szCs w:val="22"/>
                <w:highlight w:val="lightGray"/>
                <w:lang w:eastAsia="en-US"/>
              </w:rPr>
              <w:t xml:space="preserve"> </w:t>
            </w:r>
            <w:proofErr w:type="spellStart"/>
            <w:r w:rsidR="00091956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xxx</w:t>
            </w:r>
            <w:proofErr w:type="spellEnd"/>
            <w:r w:rsidR="009E5ADD"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  <w:t>,</w:t>
            </w:r>
          </w:p>
          <w:p w14:paraId="07B29530" w14:textId="58EF4D8A" w:rsidR="009E5ADD" w:rsidRDefault="00091956" w:rsidP="009E5ADD">
            <w:pPr>
              <w:pStyle w:val="Odstavec2"/>
              <w:numPr>
                <w:ilvl w:val="1"/>
                <w:numId w:val="0"/>
              </w:numPr>
              <w:tabs>
                <w:tab w:val="num" w:pos="624"/>
                <w:tab w:val="num" w:pos="720"/>
              </w:tabs>
              <w:spacing w:after="0" w:line="240" w:lineRule="auto"/>
              <w:ind w:left="90"/>
              <w:jc w:val="center"/>
              <w:rPr>
                <w:rFonts w:ascii="Arial" w:eastAsia="Arial" w:hAnsi="Arial" w:cs="Arial"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595959" w:themeColor="text1" w:themeTint="A6"/>
                <w:sz w:val="22"/>
                <w:szCs w:val="22"/>
              </w:rPr>
              <w:t>xxx</w:t>
            </w:r>
            <w:proofErr w:type="spellEnd"/>
          </w:p>
          <w:p w14:paraId="259E8969" w14:textId="69121160" w:rsidR="009E5ADD" w:rsidRPr="00E51AC6" w:rsidRDefault="009E5ADD" w:rsidP="009E5ADD">
            <w:pPr>
              <w:pStyle w:val="Odstavec2"/>
              <w:numPr>
                <w:ilvl w:val="1"/>
                <w:numId w:val="0"/>
              </w:numPr>
              <w:tabs>
                <w:tab w:val="num" w:pos="624"/>
                <w:tab w:val="num" w:pos="720"/>
              </w:tabs>
              <w:spacing w:after="0" w:line="240" w:lineRule="auto"/>
              <w:ind w:left="90"/>
              <w:jc w:val="center"/>
              <w:rPr>
                <w:rFonts w:ascii="Arial" w:eastAsia="Arial" w:hAnsi="Arial" w:cs="Arial"/>
                <w:color w:val="636466"/>
                <w:sz w:val="22"/>
                <w:szCs w:val="22"/>
                <w:lang w:eastAsia="en-US"/>
              </w:rPr>
            </w:pPr>
            <w:r w:rsidRPr="00DC5FFD">
              <w:rPr>
                <w:rFonts w:ascii="Arial" w:eastAsia="Calibri" w:hAnsi="Arial" w:cs="Arial"/>
                <w:b/>
                <w:color w:val="636466"/>
                <w:sz w:val="22"/>
                <w:szCs w:val="22"/>
                <w:lang w:eastAsia="en-US"/>
              </w:rPr>
              <w:t>Národní agentura pro komunikační a informační technologie s. p.</w:t>
            </w:r>
          </w:p>
        </w:tc>
      </w:tr>
      <w:tr w:rsidR="003E03ED" w:rsidRPr="00E51AC6" w14:paraId="2ECBA9DC" w14:textId="77777777" w:rsidTr="009E5ADD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7CF296FE" w14:textId="77777777" w:rsidR="003E03ED" w:rsidRPr="0083304B" w:rsidRDefault="003E03ED" w:rsidP="009E5ADD">
            <w:pPr>
              <w:pStyle w:val="Nzev"/>
              <w:ind w:left="0"/>
              <w:jc w:val="both"/>
              <w:rPr>
                <w:rFonts w:eastAsia="Arial"/>
                <w:sz w:val="22"/>
                <w:szCs w:val="22"/>
                <w:lang w:val="it-IT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01979214" w14:textId="77777777" w:rsidR="003E03ED" w:rsidRPr="0083304B" w:rsidRDefault="003E03ED" w:rsidP="30F7B170">
            <w:pPr>
              <w:pStyle w:val="Nzev"/>
              <w:jc w:val="both"/>
              <w:rPr>
                <w:rFonts w:eastAsia="Arial"/>
                <w:sz w:val="22"/>
                <w:szCs w:val="22"/>
                <w:lang w:val="it-IT"/>
              </w:rPr>
            </w:pPr>
          </w:p>
        </w:tc>
      </w:tr>
    </w:tbl>
    <w:p w14:paraId="5FB37D30" w14:textId="77777777" w:rsidR="00C82A6F" w:rsidRDefault="00C82A6F" w:rsidP="00C82A6F">
      <w:pPr>
        <w:pStyle w:val="Odstavec2"/>
        <w:numPr>
          <w:ilvl w:val="1"/>
          <w:numId w:val="0"/>
        </w:numPr>
        <w:spacing w:line="240" w:lineRule="auto"/>
        <w:ind w:left="1560" w:hanging="1560"/>
        <w:rPr>
          <w:rFonts w:ascii="Arial" w:eastAsia="Calibri" w:hAnsi="Arial" w:cs="Arial"/>
          <w:b/>
          <w:bCs/>
          <w:color w:val="636466"/>
          <w:sz w:val="22"/>
          <w:szCs w:val="22"/>
          <w:lang w:eastAsia="en-US"/>
        </w:rPr>
      </w:pPr>
    </w:p>
    <w:p w14:paraId="643E72C2" w14:textId="27D73584" w:rsidR="00A633DD" w:rsidRPr="00A633DD" w:rsidRDefault="00A633DD" w:rsidP="30F7B170">
      <w:pPr>
        <w:pStyle w:val="Odstavec2"/>
        <w:numPr>
          <w:ilvl w:val="1"/>
          <w:numId w:val="0"/>
        </w:numPr>
        <w:spacing w:line="240" w:lineRule="auto"/>
        <w:ind w:left="1560" w:hanging="1560"/>
        <w:rPr>
          <w:rFonts w:ascii="Arial" w:eastAsia="Calibri" w:hAnsi="Arial" w:cs="Arial"/>
          <w:b/>
          <w:bCs/>
          <w:color w:val="636466"/>
          <w:sz w:val="22"/>
          <w:szCs w:val="22"/>
          <w:highlight w:val="yellow"/>
          <w:lang w:eastAsia="en-US"/>
        </w:rPr>
      </w:pPr>
      <w:r w:rsidRPr="30F7B170">
        <w:rPr>
          <w:rFonts w:ascii="Arial" w:eastAsia="Calibri" w:hAnsi="Arial" w:cs="Arial"/>
          <w:b/>
          <w:bCs/>
          <w:color w:val="636466"/>
          <w:sz w:val="22"/>
          <w:szCs w:val="22"/>
          <w:lang w:eastAsia="en-US"/>
        </w:rPr>
        <w:t xml:space="preserve">Příloha č. 1 – Podmínky Podpory výrobce </w:t>
      </w:r>
    </w:p>
    <w:p w14:paraId="56403749" w14:textId="7D7E74FA" w:rsidR="0036282D" w:rsidRDefault="0036282D"/>
    <w:p w14:paraId="0EF67C14" w14:textId="158486F9" w:rsidR="00D24863" w:rsidRPr="009E5ADD" w:rsidRDefault="000A29E2" w:rsidP="000A29E2">
      <w:r w:rsidRPr="009E5ADD">
        <w:t>Společnost S&amp;T CZ s.r.o. prohlašuje, že ke změně podmínek Podpory výrobce nedochází</w:t>
      </w:r>
    </w:p>
    <w:sectPr w:rsidR="00D24863" w:rsidRPr="009E5ADD" w:rsidSect="00412E6B">
      <w:headerReference w:type="default" r:id="rId11"/>
      <w:pgSz w:w="11906" w:h="16838"/>
      <w:pgMar w:top="18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2079" w14:textId="77777777" w:rsidR="009E5BFF" w:rsidRDefault="009E5BFF" w:rsidP="00EA5282">
      <w:r>
        <w:separator/>
      </w:r>
    </w:p>
  </w:endnote>
  <w:endnote w:type="continuationSeparator" w:id="0">
    <w:p w14:paraId="5F05354F" w14:textId="77777777" w:rsidR="009E5BFF" w:rsidRDefault="009E5BFF" w:rsidP="00EA5282">
      <w:r>
        <w:continuationSeparator/>
      </w:r>
    </w:p>
  </w:endnote>
  <w:endnote w:type="continuationNotice" w:id="1">
    <w:p w14:paraId="1F4B0073" w14:textId="77777777" w:rsidR="009E5BFF" w:rsidRDefault="009E5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4C58" w14:textId="77777777" w:rsidR="009E5BFF" w:rsidRDefault="009E5BFF" w:rsidP="00EA5282">
      <w:r>
        <w:separator/>
      </w:r>
    </w:p>
  </w:footnote>
  <w:footnote w:type="continuationSeparator" w:id="0">
    <w:p w14:paraId="31A22403" w14:textId="77777777" w:rsidR="009E5BFF" w:rsidRDefault="009E5BFF" w:rsidP="00EA5282">
      <w:r>
        <w:continuationSeparator/>
      </w:r>
    </w:p>
  </w:footnote>
  <w:footnote w:type="continuationNotice" w:id="1">
    <w:p w14:paraId="6E88FAA7" w14:textId="77777777" w:rsidR="009E5BFF" w:rsidRDefault="009E5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A467" w14:textId="5C67A041" w:rsidR="00EA5282" w:rsidRDefault="00EA5282" w:rsidP="00EA5282">
    <w:pPr>
      <w:spacing w:line="276" w:lineRule="auto"/>
      <w:ind w:left="3540" w:right="288"/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31654E4" wp14:editId="6AC3A6B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800225" cy="532765"/>
          <wp:effectExtent l="0" t="0" r="0" b="0"/>
          <wp:wrapNone/>
          <wp:docPr id="3" name="Obrázek 3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FE92DA2" wp14:editId="3F887725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800225" cy="532765"/>
          <wp:effectExtent l="0" t="0" r="0" b="0"/>
          <wp:wrapNone/>
          <wp:docPr id="8" name="Obrázek 8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FFD">
      <w:rPr>
        <w:rFonts w:ascii="Arial" w:eastAsia="Calibri" w:hAnsi="Arial" w:cs="Arial"/>
        <w:b/>
        <w:color w:val="00B0F0"/>
        <w:sz w:val="24"/>
      </w:rPr>
      <w:t xml:space="preserve"> </w:t>
    </w:r>
    <w:r w:rsidR="00D97E4C">
      <w:rPr>
        <w:rFonts w:ascii="Arial" w:eastAsia="Calibri" w:hAnsi="Arial" w:cs="Arial"/>
        <w:b/>
        <w:color w:val="00B0F0"/>
        <w:sz w:val="24"/>
      </w:rPr>
      <w:t>Prováděcí</w:t>
    </w:r>
    <w:r w:rsidRPr="00DC5FFD">
      <w:rPr>
        <w:rFonts w:ascii="Arial" w:eastAsia="Calibri" w:hAnsi="Arial" w:cs="Arial"/>
        <w:b/>
        <w:color w:val="00B0F0"/>
        <w:sz w:val="24"/>
      </w:rPr>
      <w:t xml:space="preserve"> smlouv</w:t>
    </w:r>
    <w:r w:rsidR="00D97E4C">
      <w:rPr>
        <w:rFonts w:ascii="Arial" w:eastAsia="Calibri" w:hAnsi="Arial" w:cs="Arial"/>
        <w:b/>
        <w:color w:val="00B0F0"/>
        <w:sz w:val="24"/>
      </w:rPr>
      <w:t>a č. 2</w:t>
    </w:r>
    <w:r w:rsidRPr="00DC5FFD">
      <w:rPr>
        <w:rFonts w:ascii="Arial" w:eastAsia="Calibri" w:hAnsi="Arial" w:cs="Arial"/>
        <w:b/>
        <w:color w:val="00B0F0"/>
        <w:sz w:val="24"/>
      </w:rPr>
      <w:t xml:space="preserve"> </w:t>
    </w:r>
    <w:r w:rsidR="00D97E4C">
      <w:rPr>
        <w:rFonts w:ascii="Arial" w:eastAsia="Calibri" w:hAnsi="Arial" w:cs="Arial"/>
        <w:b/>
        <w:color w:val="00B0F0"/>
        <w:sz w:val="24"/>
      </w:rPr>
      <w:t xml:space="preserve">na </w:t>
    </w:r>
    <w:r>
      <w:rPr>
        <w:rFonts w:ascii="Arial" w:eastAsia="Calibri" w:hAnsi="Arial" w:cs="Arial"/>
        <w:b/>
        <w:color w:val="00B0F0"/>
        <w:sz w:val="24"/>
      </w:rPr>
      <w:t>poskytování</w:t>
    </w:r>
    <w:r w:rsidRPr="00DC5FFD">
      <w:rPr>
        <w:rFonts w:ascii="Arial" w:eastAsia="Calibri" w:hAnsi="Arial" w:cs="Arial"/>
        <w:b/>
        <w:color w:val="00B0F0"/>
        <w:sz w:val="24"/>
      </w:rPr>
      <w:t xml:space="preserve"> </w:t>
    </w:r>
    <w:r>
      <w:rPr>
        <w:rFonts w:ascii="Arial" w:eastAsia="Calibri" w:hAnsi="Arial" w:cs="Arial"/>
        <w:b/>
        <w:color w:val="00B0F0"/>
        <w:sz w:val="24"/>
      </w:rPr>
      <w:t>Podpory</w:t>
    </w:r>
  </w:p>
  <w:p w14:paraId="2D3FC4FB" w14:textId="77777777" w:rsidR="00EA5282" w:rsidRDefault="00EA52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269"/>
    <w:multiLevelType w:val="hybridMultilevel"/>
    <w:tmpl w:val="62A4A8C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E33069"/>
    <w:multiLevelType w:val="hybridMultilevel"/>
    <w:tmpl w:val="B9069F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1913"/>
    <w:multiLevelType w:val="hybridMultilevel"/>
    <w:tmpl w:val="1C4CEC48"/>
    <w:lvl w:ilvl="0" w:tplc="7242E002">
      <w:start w:val="1"/>
      <w:numFmt w:val="decimal"/>
      <w:lvlText w:val="1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0D6FF80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AC14F8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7A4"/>
    <w:multiLevelType w:val="hybridMultilevel"/>
    <w:tmpl w:val="E056FEF8"/>
    <w:lvl w:ilvl="0" w:tplc="35904232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4" w15:restartNumberingAfterBreak="0">
    <w:nsid w:val="3F8D5261"/>
    <w:multiLevelType w:val="hybridMultilevel"/>
    <w:tmpl w:val="4FB89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76C96"/>
    <w:multiLevelType w:val="multilevel"/>
    <w:tmpl w:val="ABA21104"/>
    <w:lvl w:ilvl="0">
      <w:start w:val="1"/>
      <w:numFmt w:val="decimal"/>
      <w:pStyle w:val="lnek"/>
      <w:lvlText w:val="%1"/>
      <w:lvlJc w:val="left"/>
      <w:pPr>
        <w:tabs>
          <w:tab w:val="num" w:pos="3551"/>
        </w:tabs>
        <w:ind w:left="3551" w:hanging="432"/>
      </w:pPr>
      <w:rPr>
        <w:rFonts w:ascii="Arial" w:hAnsi="Arial" w:cs="Arial" w:hint="default"/>
        <w:color w:val="595959" w:themeColor="text1" w:themeTint="A6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576"/>
        </w:tabs>
        <w:ind w:left="576" w:hanging="576"/>
      </w:pPr>
      <w:rPr>
        <w:color w:val="595959" w:themeColor="text1" w:themeTint="A6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447368B"/>
    <w:multiLevelType w:val="hybridMultilevel"/>
    <w:tmpl w:val="64243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04244">
    <w:abstractNumId w:val="5"/>
  </w:num>
  <w:num w:numId="2" w16cid:durableId="1067847952">
    <w:abstractNumId w:val="2"/>
  </w:num>
  <w:num w:numId="3" w16cid:durableId="999970119">
    <w:abstractNumId w:val="0"/>
  </w:num>
  <w:num w:numId="4" w16cid:durableId="1602571631">
    <w:abstractNumId w:val="5"/>
  </w:num>
  <w:num w:numId="5" w16cid:durableId="630283517">
    <w:abstractNumId w:val="5"/>
  </w:num>
  <w:num w:numId="6" w16cid:durableId="1088692445">
    <w:abstractNumId w:val="5"/>
  </w:num>
  <w:num w:numId="7" w16cid:durableId="2108380050">
    <w:abstractNumId w:val="4"/>
  </w:num>
  <w:num w:numId="8" w16cid:durableId="889927541">
    <w:abstractNumId w:val="3"/>
  </w:num>
  <w:num w:numId="9" w16cid:durableId="221258913">
    <w:abstractNumId w:val="6"/>
  </w:num>
  <w:num w:numId="10" w16cid:durableId="99834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ED"/>
    <w:rsid w:val="0000345C"/>
    <w:rsid w:val="00020E77"/>
    <w:rsid w:val="00062451"/>
    <w:rsid w:val="00064B4A"/>
    <w:rsid w:val="00064F77"/>
    <w:rsid w:val="00091956"/>
    <w:rsid w:val="000A025D"/>
    <w:rsid w:val="000A29E2"/>
    <w:rsid w:val="000C3EFC"/>
    <w:rsid w:val="001016BA"/>
    <w:rsid w:val="00175FBD"/>
    <w:rsid w:val="00205694"/>
    <w:rsid w:val="002476EF"/>
    <w:rsid w:val="00255544"/>
    <w:rsid w:val="002C10F7"/>
    <w:rsid w:val="002C55DD"/>
    <w:rsid w:val="002F7749"/>
    <w:rsid w:val="003059E7"/>
    <w:rsid w:val="0036282D"/>
    <w:rsid w:val="003C204C"/>
    <w:rsid w:val="003E03ED"/>
    <w:rsid w:val="003E7FDF"/>
    <w:rsid w:val="0040344B"/>
    <w:rsid w:val="00407035"/>
    <w:rsid w:val="00412E6B"/>
    <w:rsid w:val="00434E96"/>
    <w:rsid w:val="00444837"/>
    <w:rsid w:val="00450078"/>
    <w:rsid w:val="00471CED"/>
    <w:rsid w:val="004B50C3"/>
    <w:rsid w:val="005013B2"/>
    <w:rsid w:val="005135E6"/>
    <w:rsid w:val="00521A25"/>
    <w:rsid w:val="005609D6"/>
    <w:rsid w:val="0059471F"/>
    <w:rsid w:val="005B2CCB"/>
    <w:rsid w:val="005C427B"/>
    <w:rsid w:val="005D1D7A"/>
    <w:rsid w:val="005E00E1"/>
    <w:rsid w:val="005E2544"/>
    <w:rsid w:val="005E52C1"/>
    <w:rsid w:val="00624564"/>
    <w:rsid w:val="006349BF"/>
    <w:rsid w:val="0063726F"/>
    <w:rsid w:val="006377C8"/>
    <w:rsid w:val="006659E8"/>
    <w:rsid w:val="00667E45"/>
    <w:rsid w:val="00684F2A"/>
    <w:rsid w:val="00703059"/>
    <w:rsid w:val="00705154"/>
    <w:rsid w:val="007167A6"/>
    <w:rsid w:val="00736997"/>
    <w:rsid w:val="0075640B"/>
    <w:rsid w:val="007B536B"/>
    <w:rsid w:val="007D00FD"/>
    <w:rsid w:val="00860AFF"/>
    <w:rsid w:val="00876324"/>
    <w:rsid w:val="00886D5C"/>
    <w:rsid w:val="008D1761"/>
    <w:rsid w:val="00914B18"/>
    <w:rsid w:val="0097398F"/>
    <w:rsid w:val="00974190"/>
    <w:rsid w:val="009E5ADD"/>
    <w:rsid w:val="009E5BFF"/>
    <w:rsid w:val="009F3211"/>
    <w:rsid w:val="00A04041"/>
    <w:rsid w:val="00A406DF"/>
    <w:rsid w:val="00A633DD"/>
    <w:rsid w:val="00A714E3"/>
    <w:rsid w:val="00A803AF"/>
    <w:rsid w:val="00A81AB0"/>
    <w:rsid w:val="00A95154"/>
    <w:rsid w:val="00AA2DAC"/>
    <w:rsid w:val="00AB0EBA"/>
    <w:rsid w:val="00AC3CDE"/>
    <w:rsid w:val="00AE410A"/>
    <w:rsid w:val="00AF3216"/>
    <w:rsid w:val="00B30C0B"/>
    <w:rsid w:val="00B3222F"/>
    <w:rsid w:val="00B72B7E"/>
    <w:rsid w:val="00B77A34"/>
    <w:rsid w:val="00BE2927"/>
    <w:rsid w:val="00C12346"/>
    <w:rsid w:val="00C1456B"/>
    <w:rsid w:val="00C27534"/>
    <w:rsid w:val="00C759B4"/>
    <w:rsid w:val="00C75E40"/>
    <w:rsid w:val="00C82A6F"/>
    <w:rsid w:val="00CC778D"/>
    <w:rsid w:val="00CE4751"/>
    <w:rsid w:val="00D20F38"/>
    <w:rsid w:val="00D24863"/>
    <w:rsid w:val="00D41CD0"/>
    <w:rsid w:val="00D85936"/>
    <w:rsid w:val="00D97E4C"/>
    <w:rsid w:val="00DC5B5D"/>
    <w:rsid w:val="00DD2406"/>
    <w:rsid w:val="00DF7334"/>
    <w:rsid w:val="00E0178B"/>
    <w:rsid w:val="00E06B63"/>
    <w:rsid w:val="00E273D6"/>
    <w:rsid w:val="00E43398"/>
    <w:rsid w:val="00E7613C"/>
    <w:rsid w:val="00E8645A"/>
    <w:rsid w:val="00EA5282"/>
    <w:rsid w:val="00EC334D"/>
    <w:rsid w:val="00EE7CFE"/>
    <w:rsid w:val="00F0213F"/>
    <w:rsid w:val="00F87398"/>
    <w:rsid w:val="00F9147A"/>
    <w:rsid w:val="00FA2D55"/>
    <w:rsid w:val="00FB216E"/>
    <w:rsid w:val="00FD30FD"/>
    <w:rsid w:val="00FF34EF"/>
    <w:rsid w:val="00FF7D0A"/>
    <w:rsid w:val="0B78B9ED"/>
    <w:rsid w:val="0EB05AAF"/>
    <w:rsid w:val="118B0B15"/>
    <w:rsid w:val="1D1537AE"/>
    <w:rsid w:val="1DA1FF5E"/>
    <w:rsid w:val="2089BC1D"/>
    <w:rsid w:val="2380C73F"/>
    <w:rsid w:val="2AE3CBB6"/>
    <w:rsid w:val="2C98C474"/>
    <w:rsid w:val="2FB73CD9"/>
    <w:rsid w:val="30F7B170"/>
    <w:rsid w:val="342F5232"/>
    <w:rsid w:val="3E397DC8"/>
    <w:rsid w:val="41711E8A"/>
    <w:rsid w:val="497C306F"/>
    <w:rsid w:val="4E367935"/>
    <w:rsid w:val="536686A5"/>
    <w:rsid w:val="5778D4C9"/>
    <w:rsid w:val="5D60C792"/>
    <w:rsid w:val="630ED34B"/>
    <w:rsid w:val="6C05B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406E3"/>
  <w15:chartTrackingRefBased/>
  <w15:docId w15:val="{EC7BA75E-B48E-4A60-A8EF-C7B88BB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0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3E03ED"/>
    <w:pPr>
      <w:numPr>
        <w:ilvl w:val="4"/>
        <w:numId w:val="1"/>
      </w:numPr>
      <w:spacing w:before="240" w:after="60"/>
      <w:jc w:val="both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3E03ED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3E03ED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link w:val="Nadpis8Char"/>
    <w:qFormat/>
    <w:rsid w:val="003E03ED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link w:val="Nadpis9Char"/>
    <w:qFormat/>
    <w:rsid w:val="003E03ED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E03E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E03ED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E03E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E03ED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E03ED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aliases w:val="Základní text Char2,Základní text Char1 Char,Základní text Char Char Char,Základní text Char Char1,Základní text Char1,Základní text Char Char"/>
    <w:basedOn w:val="Normln"/>
    <w:link w:val="ZkladntextChar3"/>
    <w:rsid w:val="003E03ED"/>
    <w:pPr>
      <w:widowControl w:val="0"/>
      <w:tabs>
        <w:tab w:val="left" w:pos="181"/>
      </w:tabs>
      <w:jc w:val="both"/>
    </w:pPr>
  </w:style>
  <w:style w:type="character" w:customStyle="1" w:styleId="ZkladntextChar">
    <w:name w:val="Základní text Char"/>
    <w:basedOn w:val="Standardnpsmoodstavce"/>
    <w:uiPriority w:val="99"/>
    <w:semiHidden/>
    <w:rsid w:val="003E03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3E03ED"/>
    <w:pPr>
      <w:ind w:firstLine="181"/>
      <w:jc w:val="both"/>
    </w:pPr>
    <w:rPr>
      <w:color w:val="00008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E03ED"/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character" w:customStyle="1" w:styleId="ZkladntextChar3">
    <w:name w:val="Základní text Char3"/>
    <w:aliases w:val="Základní text Char2 Char,Základní text Char1 Char Char,Základní text Char Char Char Char,Základní text Char Char1 Char,Základní text Char1 Char1,Základní text Char Char Char1"/>
    <w:basedOn w:val="Standardnpsmoodstavce"/>
    <w:link w:val="Zkladntext"/>
    <w:rsid w:val="003E03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Podnadpis"/>
    <w:link w:val="NzevChar"/>
    <w:qFormat/>
    <w:rsid w:val="003E03ED"/>
    <w:pPr>
      <w:keepNext/>
      <w:keepLines/>
      <w:suppressAutoHyphens/>
      <w:autoSpaceDE w:val="0"/>
      <w:autoSpaceDN w:val="0"/>
      <w:spacing w:before="360" w:after="160"/>
      <w:ind w:left="851"/>
      <w:jc w:val="center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3E03ED"/>
    <w:rPr>
      <w:rFonts w:ascii="Arial" w:eastAsia="Times New Roman" w:hAnsi="Arial" w:cs="Arial"/>
      <w:b/>
      <w:bCs/>
      <w:kern w:val="28"/>
      <w:sz w:val="40"/>
      <w:szCs w:val="40"/>
      <w:lang w:eastAsia="cs-CZ"/>
    </w:rPr>
  </w:style>
  <w:style w:type="paragraph" w:styleId="Podnadpis">
    <w:name w:val="Subtitle"/>
    <w:basedOn w:val="Normln"/>
    <w:link w:val="PodnadpisChar"/>
    <w:qFormat/>
    <w:rsid w:val="003E03ED"/>
    <w:pPr>
      <w:spacing w:before="60" w:after="60"/>
      <w:ind w:firstLine="142"/>
      <w:jc w:val="center"/>
      <w:outlineLvl w:val="1"/>
    </w:pPr>
    <w:rPr>
      <w:rFonts w:ascii="Arial" w:hAnsi="Arial" w:cs="Arial"/>
      <w:sz w:val="24"/>
      <w:szCs w:val="24"/>
      <w:lang w:val="en-US"/>
    </w:rPr>
  </w:style>
  <w:style w:type="character" w:customStyle="1" w:styleId="PodnadpisChar">
    <w:name w:val="Podnadpis Char"/>
    <w:basedOn w:val="Standardnpsmoodstavce"/>
    <w:link w:val="Podnadpis"/>
    <w:rsid w:val="003E03ED"/>
    <w:rPr>
      <w:rFonts w:ascii="Arial" w:eastAsia="Times New Roman" w:hAnsi="Arial" w:cs="Arial"/>
      <w:sz w:val="24"/>
      <w:szCs w:val="24"/>
      <w:lang w:val="en-US" w:eastAsia="cs-CZ"/>
    </w:rPr>
  </w:style>
  <w:style w:type="paragraph" w:customStyle="1" w:styleId="Zkladntext21">
    <w:name w:val="Základní text 21"/>
    <w:basedOn w:val="Normln"/>
    <w:rsid w:val="003E03ED"/>
    <w:pPr>
      <w:jc w:val="both"/>
    </w:pPr>
    <w:rPr>
      <w:sz w:val="24"/>
    </w:rPr>
  </w:style>
  <w:style w:type="character" w:customStyle="1" w:styleId="platne1">
    <w:name w:val="platne1"/>
    <w:basedOn w:val="Standardnpsmoodstavce"/>
    <w:rsid w:val="003E03ED"/>
  </w:style>
  <w:style w:type="paragraph" w:customStyle="1" w:styleId="lnek">
    <w:name w:val="Článek"/>
    <w:basedOn w:val="Nadpis1"/>
    <w:rsid w:val="003E03ED"/>
    <w:pPr>
      <w:keepLines w:val="0"/>
      <w:numPr>
        <w:numId w:val="1"/>
      </w:numPr>
      <w:spacing w:after="120" w:line="360" w:lineRule="auto"/>
      <w:jc w:val="center"/>
    </w:pPr>
    <w:rPr>
      <w:rFonts w:ascii="Times New Roman" w:eastAsia="Times New Roman" w:hAnsi="Times New Roman" w:cs="Arial"/>
      <w:b/>
      <w:bCs/>
      <w:color w:val="auto"/>
      <w:kern w:val="32"/>
      <w:sz w:val="20"/>
    </w:rPr>
  </w:style>
  <w:style w:type="paragraph" w:customStyle="1" w:styleId="Odstavec2">
    <w:name w:val="Odstavec 2"/>
    <w:basedOn w:val="Normln"/>
    <w:link w:val="Odstavec2Char"/>
    <w:rsid w:val="003E03ED"/>
    <w:pPr>
      <w:numPr>
        <w:ilvl w:val="1"/>
        <w:numId w:val="1"/>
      </w:numPr>
      <w:spacing w:after="120" w:line="360" w:lineRule="auto"/>
      <w:jc w:val="both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3E03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03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2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2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B7E"/>
  </w:style>
  <w:style w:type="character" w:customStyle="1" w:styleId="TextkomenteChar">
    <w:name w:val="Text komentáře Char"/>
    <w:basedOn w:val="Standardnpsmoodstavce"/>
    <w:link w:val="Textkomente"/>
    <w:uiPriority w:val="99"/>
    <w:rsid w:val="00B72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B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B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NAKIT List Paragraph,Odstavec 1,cp_Odstavec se seznamem"/>
    <w:basedOn w:val="Normln"/>
    <w:link w:val="OdstavecseseznamemChar"/>
    <w:uiPriority w:val="34"/>
    <w:qFormat/>
    <w:rsid w:val="00FF7D0A"/>
    <w:pPr>
      <w:ind w:left="720"/>
      <w:contextualSpacing/>
    </w:pPr>
  </w:style>
  <w:style w:type="character" w:customStyle="1" w:styleId="OdstavecseseznamemChar">
    <w:name w:val="Odstavec se seznamem Char"/>
    <w:aliases w:val="NAKIT List Paragraph Char,Odstavec 1 Char,cp_Odstavec se seznamem Char"/>
    <w:link w:val="Odstavecseseznamem"/>
    <w:uiPriority w:val="34"/>
    <w:rsid w:val="00B77A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15" ma:contentTypeDescription="Create a new document." ma:contentTypeScope="" ma:versionID="6b2edc42e6a1db945089c7cb88a4f754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9677ebe82ac7ffdd3e6dc1c36d7742f6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ED492-F990-43DB-8D1F-D1FBC4C0F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701FF-BEA4-41EC-9DC8-56B7B6C1C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F8ED1-46C8-4D93-AA75-6FDE392FD9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35B28-22CA-43E1-9380-E6343548A6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Mičeková Ivana</dc:creator>
  <cp:keywords/>
  <dc:description/>
  <cp:lastModifiedBy>Matěj Baloun</cp:lastModifiedBy>
  <cp:revision>112</cp:revision>
  <cp:lastPrinted>2022-05-04T13:48:00Z</cp:lastPrinted>
  <dcterms:created xsi:type="dcterms:W3CDTF">2019-08-15T20:52:00Z</dcterms:created>
  <dcterms:modified xsi:type="dcterms:W3CDTF">2022-05-27T06:40:00Z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MSIP_Label_1a68a11f-5296-45db-bc37-b2d360301df4_Enabled">
    <vt:lpwstr>true</vt:lpwstr>
  </property>
  <property fmtid="{D5CDD505-2E9C-101B-9397-08002B2CF9AE}" pid="4" name="MSIP_Label_1a68a11f-5296-45db-bc37-b2d360301df4_SetDate">
    <vt:lpwstr>2022-04-13T14:44:37Z</vt:lpwstr>
  </property>
  <property fmtid="{D5CDD505-2E9C-101B-9397-08002B2CF9AE}" pid="5" name="MSIP_Label_1a68a11f-5296-45db-bc37-b2d360301df4_Method">
    <vt:lpwstr>Privileged</vt:lpwstr>
  </property>
  <property fmtid="{D5CDD505-2E9C-101B-9397-08002B2CF9AE}" pid="6" name="MSIP_Label_1a68a11f-5296-45db-bc37-b2d360301df4_Name">
    <vt:lpwstr>1a68a11f-5296-45db-bc37-b2d360301df4</vt:lpwstr>
  </property>
  <property fmtid="{D5CDD505-2E9C-101B-9397-08002B2CF9AE}" pid="7" name="MSIP_Label_1a68a11f-5296-45db-bc37-b2d360301df4_SiteId">
    <vt:lpwstr>1db41d6f-1f37-46db-bd3e-c483abb8105d</vt:lpwstr>
  </property>
  <property fmtid="{D5CDD505-2E9C-101B-9397-08002B2CF9AE}" pid="8" name="MSIP_Label_1a68a11f-5296-45db-bc37-b2d360301df4_ActionId">
    <vt:lpwstr>694153c1-c0bc-499a-b3f1-b755a73c0af5</vt:lpwstr>
  </property>
  <property fmtid="{D5CDD505-2E9C-101B-9397-08002B2CF9AE}" pid="9" name="MSIP_Label_1a68a11f-5296-45db-bc37-b2d360301df4_ContentBits">
    <vt:lpwstr>0</vt:lpwstr>
  </property>
</Properties>
</file>