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</w:rPr>
      </w:pPr>
      <w:bookmarkStart w:id="0" w:name="_GoBack"/>
      <w:bookmarkStart w:id="1" w:name="_GoBack"/>
      <w:bookmarkEnd w:id="1"/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/>
        <w:drawing>
          <wp:inline distT="0" distB="0" distL="0" distR="0">
            <wp:extent cx="2487295" cy="115252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Národní muzeum</w:t>
      </w:r>
    </w:p>
    <w:p>
      <w:pPr>
        <w:pStyle w:val="Normal"/>
        <w:rPr>
          <w:sz w:val="24"/>
        </w:rPr>
      </w:pPr>
      <w:r>
        <w:rPr>
          <w:sz w:val="24"/>
        </w:rPr>
        <w:t>se sídlem Václavské náměstí 68, 115 79 Praha 1</w:t>
      </w:r>
    </w:p>
    <w:p>
      <w:pPr>
        <w:pStyle w:val="Normal"/>
        <w:rPr>
          <w:i/>
          <w:i/>
          <w:sz w:val="24"/>
        </w:rPr>
      </w:pPr>
      <w:r>
        <w:rPr>
          <w:sz w:val="24"/>
        </w:rPr>
        <w:t xml:space="preserve">jehož jménem jedná </w:t>
      </w:r>
      <w:r>
        <w:rPr>
          <w:b/>
          <w:sz w:val="24"/>
        </w:rPr>
        <w:t xml:space="preserve">Mgr. Martin Sekera, Ph.D., </w:t>
      </w:r>
      <w:r>
        <w:rPr>
          <w:bCs/>
          <w:sz w:val="24"/>
        </w:rPr>
        <w:t>pověřený řízením</w:t>
      </w:r>
      <w:r>
        <w:rPr>
          <w:b/>
          <w:sz w:val="24"/>
        </w:rPr>
        <w:t xml:space="preserve"> </w:t>
      </w:r>
      <w:r>
        <w:rPr>
          <w:sz w:val="24"/>
        </w:rPr>
        <w:t>Historického muzea</w:t>
      </w:r>
    </w:p>
    <w:p>
      <w:pPr>
        <w:pStyle w:val="Normal"/>
        <w:rPr>
          <w:sz w:val="24"/>
        </w:rPr>
      </w:pPr>
      <w:r>
        <w:rPr>
          <w:sz w:val="24"/>
        </w:rPr>
        <w:t>IČ: 00023272 DIČ: CZ00023272</w:t>
      </w:r>
    </w:p>
    <w:p>
      <w:pPr>
        <w:pStyle w:val="Normal"/>
        <w:rPr/>
      </w:pPr>
      <w:r>
        <w:rPr>
          <w:sz w:val="24"/>
        </w:rPr>
        <w:t xml:space="preserve">Kontaktní osoba: </w:t>
      </w:r>
      <w:r>
        <w:rPr>
          <w:sz w:val="24"/>
        </w:rPr>
        <w:t>xxxxxxxxxxxxxxxxx</w:t>
      </w:r>
    </w:p>
    <w:p>
      <w:pPr>
        <w:pStyle w:val="Normal"/>
        <w:rPr/>
      </w:pPr>
      <w:r>
        <w:rPr>
          <w:sz w:val="24"/>
        </w:rPr>
        <w:t xml:space="preserve">e-mail: </w:t>
      </w:r>
      <w:r>
        <w:rPr>
          <w:rFonts w:eastAsia="Times New Roman" w:cs="Tahoma"/>
          <w:sz w:val="24"/>
        </w:rPr>
        <w:t>xxxxxxxxxxxx</w:t>
      </w:r>
    </w:p>
    <w:p>
      <w:pPr>
        <w:pStyle w:val="Normal"/>
        <w:rPr>
          <w:sz w:val="24"/>
        </w:rPr>
      </w:pPr>
      <w:r>
        <w:rPr>
          <w:sz w:val="24"/>
        </w:rPr>
        <w:t>(dále jen „pronajímatel“)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  <w:t>a</w:t>
      </w:r>
    </w:p>
    <w:p>
      <w:pPr>
        <w:pStyle w:val="Normal"/>
        <w:widowControl w:val="false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Pražské Benátky, s r.o.</w:t>
      </w:r>
    </w:p>
    <w:p>
      <w:pPr>
        <w:pStyle w:val="Normal"/>
        <w:rPr>
          <w:sz w:val="24"/>
        </w:rPr>
      </w:pPr>
      <w:r>
        <w:rPr>
          <w:sz w:val="24"/>
        </w:rPr>
        <w:t>se sídlem Platnéřská 191/4, 110 00 Praha 1</w:t>
      </w:r>
    </w:p>
    <w:p>
      <w:pPr>
        <w:pStyle w:val="Normal"/>
        <w:rPr>
          <w:sz w:val="24"/>
        </w:rPr>
      </w:pPr>
      <w:r>
        <w:rPr>
          <w:sz w:val="24"/>
        </w:rPr>
        <w:t xml:space="preserve">jejímž jménem jedná </w:t>
      </w:r>
      <w:r>
        <w:rPr>
          <w:b/>
          <w:bCs/>
          <w:sz w:val="24"/>
        </w:rPr>
        <w:t>Zdeněk Bergman</w:t>
      </w:r>
      <w:r>
        <w:rPr>
          <w:sz w:val="24"/>
        </w:rPr>
        <w:t xml:space="preserve">, jednatel </w:t>
      </w:r>
    </w:p>
    <w:p>
      <w:pPr>
        <w:pStyle w:val="Normal"/>
        <w:rPr>
          <w:sz w:val="24"/>
        </w:rPr>
      </w:pPr>
      <w:r>
        <w:rPr>
          <w:sz w:val="24"/>
        </w:rPr>
        <w:t>IČ: 25759051 DIČ: CZ25759051</w:t>
      </w:r>
    </w:p>
    <w:p>
      <w:pPr>
        <w:pStyle w:val="Normal"/>
        <w:rPr>
          <w:sz w:val="24"/>
        </w:rPr>
      </w:pPr>
      <w:r>
        <w:rPr>
          <w:sz w:val="24"/>
        </w:rPr>
        <w:t>(dále jen „nájemce“)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uzavírají tento 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DODATEK č. 1 KE SMLOUVĚ O NÁJMU č. 210408</w:t>
      </w:r>
    </w:p>
    <w:p>
      <w:pPr>
        <w:pStyle w:val="Normal"/>
        <w:spacing w:lineRule="auto" w:line="276"/>
        <w:jc w:val="center"/>
        <w:rPr>
          <w:sz w:val="24"/>
        </w:rPr>
      </w:pPr>
      <w:r>
        <w:rPr>
          <w:sz w:val="24"/>
        </w:rPr>
        <w:t>dle ustanovení § 2193 a násl. občanského zákoníku, ve znění pozdějších předpisů</w:t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</w:rPr>
      </w:pPr>
      <w:r>
        <w:rPr>
          <w:b/>
          <w:sz w:val="24"/>
        </w:rPr>
        <w:t>Článek 1</w:t>
      </w:r>
    </w:p>
    <w:p>
      <w:pPr>
        <w:pStyle w:val="Normal"/>
        <w:spacing w:lineRule="auto" w:line="276"/>
        <w:jc w:val="center"/>
        <w:rPr>
          <w:b/>
          <w:b/>
          <w:sz w:val="24"/>
        </w:rPr>
      </w:pPr>
      <w:r>
        <w:rPr>
          <w:b/>
          <w:sz w:val="24"/>
        </w:rPr>
        <w:t>ÚČEL A PLATNOST DODATKU</w:t>
      </w:r>
    </w:p>
    <w:p>
      <w:pPr>
        <w:pStyle w:val="Odstavecseseznamem1"/>
        <w:numPr>
          <w:ilvl w:val="0"/>
          <w:numId w:val="1"/>
        </w:numPr>
        <w:spacing w:lineRule="auto" w:line="276"/>
        <w:jc w:val="both"/>
        <w:rPr>
          <w:sz w:val="24"/>
        </w:rPr>
      </w:pPr>
      <w:r>
        <w:rPr>
          <w:sz w:val="24"/>
        </w:rPr>
        <w:t>Doba nájmu</w:t>
      </w:r>
      <w:r>
        <w:rPr>
          <w:rFonts w:cs="Arial"/>
          <w:sz w:val="24"/>
          <w:lang w:val="x-none"/>
        </w:rPr>
        <w:t xml:space="preserve"> se sjednává na dobu určitou, a to na období od </w:t>
      </w:r>
      <w:r>
        <w:rPr>
          <w:rFonts w:cs="Arial"/>
          <w:b/>
          <w:sz w:val="24"/>
        </w:rPr>
        <w:t xml:space="preserve">26. 4. 2022 </w:t>
      </w:r>
      <w:r>
        <w:rPr>
          <w:b/>
          <w:sz w:val="24"/>
        </w:rPr>
        <w:t>do 26. 4. 2023</w:t>
      </w:r>
      <w:r>
        <w:rPr>
          <w:sz w:val="24"/>
        </w:rPr>
        <w:t>.</w:t>
      </w:r>
    </w:p>
    <w:p>
      <w:pPr>
        <w:pStyle w:val="Normal"/>
        <w:spacing w:lineRule="auto" w:line="276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</w:rPr>
      </w:pPr>
      <w:r>
        <w:rPr>
          <w:b/>
          <w:sz w:val="24"/>
        </w:rPr>
        <w:t>Článek 2</w:t>
      </w:r>
    </w:p>
    <w:p>
      <w:pPr>
        <w:pStyle w:val="Normal"/>
        <w:spacing w:lineRule="auto" w:line="276"/>
        <w:jc w:val="center"/>
        <w:rPr>
          <w:b/>
          <w:b/>
          <w:sz w:val="24"/>
        </w:rPr>
      </w:pPr>
      <w:r>
        <w:rPr>
          <w:b/>
          <w:sz w:val="24"/>
        </w:rPr>
        <w:t>ZÁVĚREČNÁ USTANOVENÍ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jc w:val="both"/>
        <w:rPr>
          <w:sz w:val="24"/>
        </w:rPr>
      </w:pPr>
      <w:r>
        <w:rPr>
          <w:sz w:val="24"/>
        </w:rPr>
        <w:t>Ve všech ostatních ustanoveních zůstává nájemní smlouva, ke které je tento dodatek vyhotoven, nezměněna.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jc w:val="both"/>
        <w:rPr>
          <w:sz w:val="24"/>
        </w:rPr>
      </w:pPr>
      <w:r>
        <w:rPr>
          <w:sz w:val="24"/>
        </w:rPr>
        <w:t xml:space="preserve">Dodatek je vyhotoven ve třech stejnopisech s platností originálu, z nichž jeden obdrží nájemce a dva stejnopisy obdrží Národní muzeum. </w:t>
      </w:r>
    </w:p>
    <w:p>
      <w:pPr>
        <w:pStyle w:val="Normal"/>
        <w:widowControl w:val="false"/>
        <w:numPr>
          <w:ilvl w:val="0"/>
          <w:numId w:val="2"/>
        </w:numPr>
        <w:spacing w:lineRule="auto" w:line="276"/>
        <w:jc w:val="both"/>
        <w:rPr>
          <w:sz w:val="24"/>
        </w:rPr>
      </w:pPr>
      <w:r>
        <w:rPr>
          <w:sz w:val="24"/>
        </w:rPr>
        <w:t>Dodatek nabývá platnosti podpisem obou smluvních stran.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>
      <w:pPr>
        <w:pStyle w:val="Odstavecseseznamem1"/>
        <w:spacing w:lineRule="auto" w:line="276"/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Odstavecseseznamem1"/>
        <w:spacing w:lineRule="auto" w:line="276"/>
        <w:ind w:left="0" w:hanging="0"/>
        <w:jc w:val="both"/>
        <w:rPr>
          <w:sz w:val="24"/>
        </w:rPr>
      </w:pPr>
      <w:r>
        <w:rPr>
          <w:sz w:val="24"/>
        </w:rPr>
      </w:r>
    </w:p>
    <w:tbl>
      <w:tblPr>
        <w:tblW w:w="92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36"/>
        <w:gridCol w:w="1392"/>
        <w:gridCol w:w="3960"/>
      </w:tblGrid>
      <w:tr>
        <w:trPr/>
        <w:tc>
          <w:tcPr>
            <w:tcW w:w="3936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V Praze dne</w:t>
            </w:r>
          </w:p>
        </w:tc>
        <w:tc>
          <w:tcPr>
            <w:tcW w:w="1392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  <w:t>V Praze dne</w:t>
            </w:r>
          </w:p>
        </w:tc>
      </w:tr>
      <w:tr>
        <w:trPr/>
        <w:tc>
          <w:tcPr>
            <w:tcW w:w="3936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2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936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2" w:type="dxa"/>
            <w:tcBorders/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93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</w:rPr>
            </w:pPr>
            <w:r>
              <w:rPr>
                <w:sz w:val="24"/>
              </w:rPr>
              <w:t>Mgr. Martin Sekera, Ph.D.</w:t>
            </w:r>
          </w:p>
          <w:p>
            <w:pPr>
              <w:pStyle w:val="Normal"/>
              <w:spacing w:lineRule="auto" w:line="2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pověřený řízením Historického muzea </w:t>
            </w:r>
          </w:p>
        </w:tc>
        <w:tc>
          <w:tcPr>
            <w:tcW w:w="1392" w:type="dxa"/>
            <w:tcBorders/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76"/>
              <w:jc w:val="center"/>
              <w:rPr>
                <w:sz w:val="24"/>
              </w:rPr>
            </w:pPr>
            <w:r>
              <w:rPr>
                <w:sz w:val="24"/>
              </w:rPr>
              <w:t>Zdeněk Bergman</w:t>
            </w:r>
          </w:p>
          <w:p>
            <w:pPr>
              <w:pStyle w:val="Normal"/>
              <w:spacing w:lineRule="auto" w:line="2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jednatel </w:t>
            </w:r>
          </w:p>
          <w:p>
            <w:pPr>
              <w:pStyle w:val="Normal"/>
              <w:spacing w:lineRule="auto" w:line="276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Odstavecseseznamem1"/>
        <w:spacing w:lineRule="auto" w:line="276"/>
        <w:ind w:left="0" w:hanging="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t>-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>/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>
      <w:rPr/>
      <w:t>-</w:t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center"/>
      <w:rPr/>
    </w:pPr>
    <w:r>
      <w:rPr>
        <w:b/>
      </w:rPr>
      <w:tab/>
      <w:tab/>
    </w:r>
    <w:r>
      <w:rPr/>
      <w:t>č.j 2022/1377/NM</w:t>
    </w:r>
  </w:p>
  <w:p>
    <w:pPr>
      <w:pStyle w:val="Zhlav"/>
      <w:tabs>
        <w:tab w:val="center" w:pos="4536" w:leader="none"/>
        <w:tab w:val="left" w:pos="5085" w:leader="none"/>
        <w:tab w:val="right" w:pos="9072" w:leader="none"/>
      </w:tabs>
      <w:pPrChange w:id="0" w:author="Voldřichová Michaela" w:date="2022-03-24T10:00:00Z">
        <w:pPr>
          <w:jc w:val="right"/>
        </w:pPr>
      </w:pPrChange>
      <w:rPr/>
    </w:pPr>
    <w:ins w:id="0" w:author="Voldřichová Michaela" w:date="2022-03-24T10:00:00Z">
      <w:r>
        <w:rPr/>
        <w:tab/>
      </w:r>
    </w:ins>
    <w:ins w:id="1" w:author="Voldřichová Michaela" w:date="2022-03-24T10:00:00Z">
      <w:r>
        <w:rPr/>
        <w:tab/>
      </w:r>
    </w:ins>
    <w:ins w:id="2" w:author="Voldřichová Michaela" w:date="2022-03-24T10:00:00Z">
      <w:r>
        <w:rPr/>
        <w:tab/>
      </w:r>
    </w:ins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0ef1"/>
    <w:pPr>
      <w:widowControl/>
      <w:bidi w:val="0"/>
      <w:jc w:val="left"/>
    </w:pPr>
    <w:rPr>
      <w:rFonts w:ascii="Calibri" w:hAnsi="Calibri" w:eastAsia="Calibri" w:cs="Times New Roman"/>
      <w:color w:val="00000A"/>
      <w:sz w:val="22"/>
      <w:szCs w:val="24"/>
      <w:lang w:val="cs-CZ" w:eastAsia="cs-CZ" w:bidi="ar-SA"/>
    </w:rPr>
  </w:style>
  <w:style w:type="paragraph" w:styleId="Nadpis5">
    <w:name w:val="Nadpis 5"/>
    <w:basedOn w:val="Normal"/>
    <w:link w:val="Nadpis5Char"/>
    <w:qFormat/>
    <w:locked/>
    <w:rsid w:val="00256aea"/>
    <w:pPr>
      <w:keepNext/>
      <w:overflowPunct w:val="false"/>
      <w:spacing w:before="0" w:after="240"/>
      <w:jc w:val="both"/>
      <w:outlineLvl w:val="4"/>
    </w:pPr>
    <w:rPr>
      <w:rFonts w:ascii="Times New Roman" w:hAnsi="Times New Roman" w:eastAsia="Times New Roman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qFormat/>
    <w:rsid w:val="004043b4"/>
    <w:rPr>
      <w:sz w:val="22"/>
      <w:szCs w:val="24"/>
    </w:rPr>
  </w:style>
  <w:style w:type="character" w:styleId="ZpatChar" w:customStyle="1">
    <w:name w:val="Zápatí Char"/>
    <w:basedOn w:val="DefaultParagraphFont"/>
    <w:link w:val="Zpat"/>
    <w:uiPriority w:val="99"/>
    <w:qFormat/>
    <w:rsid w:val="004043b4"/>
    <w:rPr>
      <w:sz w:val="22"/>
      <w:szCs w:val="24"/>
    </w:rPr>
  </w:style>
  <w:style w:type="character" w:styleId="Annotationreference">
    <w:name w:val="annotation reference"/>
    <w:basedOn w:val="DefaultParagraphFont"/>
    <w:qFormat/>
    <w:rsid w:val="003054ac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3054ac"/>
    <w:rPr/>
  </w:style>
  <w:style w:type="character" w:styleId="PedmtkomenteChar" w:customStyle="1">
    <w:name w:val="Předmět komentáře Char"/>
    <w:basedOn w:val="TextkomenteChar"/>
    <w:link w:val="Pedmtkomente"/>
    <w:qFormat/>
    <w:rsid w:val="003054ac"/>
    <w:rPr>
      <w:b/>
      <w:bCs/>
    </w:rPr>
  </w:style>
  <w:style w:type="character" w:styleId="TextbublinyChar" w:customStyle="1">
    <w:name w:val="Text bubliny Char"/>
    <w:basedOn w:val="DefaultParagraphFont"/>
    <w:link w:val="Textbubliny"/>
    <w:qFormat/>
    <w:rsid w:val="003054ac"/>
    <w:rPr>
      <w:rFonts w:ascii="Tahoma" w:hAnsi="Tahoma" w:cs="Tahoma"/>
      <w:sz w:val="16"/>
      <w:szCs w:val="16"/>
    </w:rPr>
  </w:style>
  <w:style w:type="character" w:styleId="Nadpis5Char" w:customStyle="1">
    <w:name w:val="Nadpis 5 Char"/>
    <w:basedOn w:val="DefaultParagraphFont"/>
    <w:link w:val="Nadpis5"/>
    <w:qFormat/>
    <w:rsid w:val="00256aea"/>
    <w:rPr>
      <w:rFonts w:ascii="Times New Roman" w:hAnsi="Times New Roman" w:eastAsia="Times New Roman"/>
      <w:b/>
      <w:bCs/>
      <w:sz w:val="28"/>
    </w:rPr>
  </w:style>
  <w:style w:type="character" w:styleId="ListLabel1">
    <w:name w:val="ListLabel 1"/>
    <w:qFormat/>
    <w:rPr>
      <w:rFonts w:cs="Times New Roman"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  <w:sz w:val="24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  <w:sz w:val="24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  <w:sz w:val="24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tavecseseznamem1" w:customStyle="1">
    <w:name w:val="Odstavec se seznamem1"/>
    <w:basedOn w:val="Normal"/>
    <w:qFormat/>
    <w:rsid w:val="00740ef1"/>
    <w:pPr>
      <w:spacing w:before="0" w:after="0"/>
      <w:ind w:left="720" w:hanging="0"/>
      <w:contextualSpacing/>
    </w:pPr>
    <w:rPr/>
  </w:style>
  <w:style w:type="paragraph" w:styleId="Zhlav">
    <w:name w:val="Záhlaví"/>
    <w:basedOn w:val="Normal"/>
    <w:link w:val="ZhlavChar"/>
    <w:rsid w:val="004043b4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link w:val="ZpatChar"/>
    <w:uiPriority w:val="99"/>
    <w:rsid w:val="004043b4"/>
    <w:pPr>
      <w:tabs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xtkomenteChar"/>
    <w:qFormat/>
    <w:rsid w:val="003054ac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3054ac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3054a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a6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AC83C30C4D634DA006550DF272E00F" ma:contentTypeVersion="0" ma:contentTypeDescription="Vytvoří nový dokument" ma:contentTypeScope="" ma:versionID="8a8c371897e453132dfe4210b25e8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63013-BE36-4089-81B4-CD6F9AA08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E43C5-1B9A-4A7C-BECB-59BA335E7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349DB-45E5-4C9A-8CDB-14C7413BA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LibreOffice/5.1.0.3$Windows_x86 LibreOffice_project/5e3e00a007d9b3b6efb6797a8b8e57b51ab1f737</Application>
  <Pages>2</Pages>
  <Words>208</Word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2022-05-03T08:04:00Z</dcterms:created>
  <dc:creator>Petr Zeman</dc:creator>
  <dc:description/>
  <dc:language>cs-CZ</dc:language>
  <cp:lastModifiedBy/>
  <cp:lastPrinted>2022-03-24T09:59:00Z</cp:lastPrinted>
  <dcterms:modified xsi:type="dcterms:W3CDTF">2022-05-04T13:09:42Z</dcterms:modified>
  <cp:revision>3</cp:revision>
  <dc:subject/>
  <dc:title>Dodatek sml. o výpujčce HM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