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3A5780FA"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C82DA7">
        <w:rPr>
          <w:b/>
          <w:sz w:val="32"/>
          <w:szCs w:val="32"/>
        </w:rPr>
        <w:t>22040</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44C9DDA9" w:rsidR="007E4B42" w:rsidRPr="00D9208C" w:rsidRDefault="00EF7EC9" w:rsidP="007E4B42">
      <w:pPr>
        <w:pStyle w:val="Normlnweb"/>
        <w:shd w:val="clear" w:color="auto" w:fill="FFFFFF"/>
        <w:rPr>
          <w:b/>
        </w:rPr>
      </w:pPr>
      <w:r>
        <w:rPr>
          <w:b/>
        </w:rPr>
        <w:t>2.</w:t>
      </w:r>
      <w:r w:rsidR="003070A2">
        <w:rPr>
          <w:b/>
        </w:rPr>
        <w:t xml:space="preserve"> Jiří </w:t>
      </w:r>
      <w:proofErr w:type="spellStart"/>
      <w:r w:rsidR="003070A2">
        <w:rPr>
          <w:b/>
        </w:rPr>
        <w:t>Baják</w:t>
      </w:r>
      <w:proofErr w:type="spellEnd"/>
    </w:p>
    <w:p w14:paraId="79B19F1A" w14:textId="1F62FF9D" w:rsidR="00347244" w:rsidRPr="00D9208C" w:rsidRDefault="00347244" w:rsidP="007E4B42">
      <w:pPr>
        <w:pStyle w:val="Normlnweb"/>
        <w:shd w:val="clear" w:color="auto" w:fill="FFFFFF"/>
      </w:pPr>
      <w:r w:rsidRPr="00D9208C">
        <w:t>sídlo:</w:t>
      </w:r>
      <w:r w:rsidR="003070A2">
        <w:t xml:space="preserve"> </w:t>
      </w:r>
      <w:proofErr w:type="spellStart"/>
      <w:r w:rsidR="003070A2">
        <w:t>Fejfalíkova</w:t>
      </w:r>
      <w:proofErr w:type="spellEnd"/>
      <w:r w:rsidR="003070A2">
        <w:t xml:space="preserve"> 1880/16, 669 02 Znojmo</w:t>
      </w:r>
    </w:p>
    <w:p w14:paraId="2E31B0D1" w14:textId="3E510640" w:rsidR="00287F3D" w:rsidRPr="00D9208C" w:rsidRDefault="00287F3D" w:rsidP="007E4B42">
      <w:pPr>
        <w:pStyle w:val="Normlnweb"/>
        <w:shd w:val="clear" w:color="auto" w:fill="FFFFFF"/>
      </w:pPr>
      <w:r w:rsidRPr="00D9208C">
        <w:t>zapsán:</w:t>
      </w:r>
      <w:r w:rsidR="003070A2">
        <w:t xml:space="preserve"> fyzická osoba podnikající dle živnostenského zákona</w:t>
      </w:r>
    </w:p>
    <w:p w14:paraId="43590BE1" w14:textId="09122073" w:rsidR="00287F3D" w:rsidRPr="00D9208C" w:rsidRDefault="00287F3D" w:rsidP="007E4B42">
      <w:pPr>
        <w:pStyle w:val="Normlnweb"/>
        <w:shd w:val="clear" w:color="auto" w:fill="FFFFFF"/>
      </w:pPr>
      <w:r w:rsidRPr="00D9208C">
        <w:t>zastoupený:</w:t>
      </w:r>
      <w:r w:rsidR="003070A2">
        <w:t xml:space="preserve"> Jiří </w:t>
      </w:r>
      <w:proofErr w:type="spellStart"/>
      <w:r w:rsidR="003070A2">
        <w:t>Baják</w:t>
      </w:r>
      <w:proofErr w:type="spellEnd"/>
    </w:p>
    <w:p w14:paraId="4A299B4B" w14:textId="5CD16C5E" w:rsidR="00347244" w:rsidRPr="00D9208C" w:rsidRDefault="00347244" w:rsidP="007E4B42">
      <w:pPr>
        <w:pStyle w:val="Normlnweb"/>
        <w:shd w:val="clear" w:color="auto" w:fill="FFFFFF"/>
      </w:pPr>
      <w:r w:rsidRPr="00D9208C">
        <w:t>IČ</w:t>
      </w:r>
      <w:r w:rsidR="00AC713F">
        <w:t>O</w:t>
      </w:r>
      <w:r w:rsidRPr="00D9208C">
        <w:t>:</w:t>
      </w:r>
      <w:r w:rsidR="003070A2">
        <w:t xml:space="preserve"> 46481125</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FB9403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2B33" w:rsidRPr="00DF2B33">
        <w:t xml:space="preserve">VÝMĚNA STÁVAJÍCÍCH VRAT V AREÁLU ÚDRŽBY SNMZ DOBŠICKÁ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BBD7833"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3070A2">
        <w:t>16.05.2022</w:t>
      </w:r>
      <w:r w:rsidRPr="00D9208C">
        <w:t>,</w:t>
      </w:r>
    </w:p>
    <w:p w14:paraId="6F83EEAA" w14:textId="3CE1DBFA" w:rsidR="00006FE9" w:rsidRPr="00D9208C" w:rsidRDefault="00006FE9" w:rsidP="00EF7EC9">
      <w:pPr>
        <w:pStyle w:val="Normlnweb"/>
        <w:numPr>
          <w:ilvl w:val="0"/>
          <w:numId w:val="20"/>
        </w:numPr>
        <w:shd w:val="clear" w:color="auto" w:fill="FFFFFF"/>
        <w:jc w:val="both"/>
      </w:pPr>
      <w:r w:rsidRPr="00D9208C">
        <w:t xml:space="preserve">nabídka zhotovitele ze dne </w:t>
      </w:r>
      <w:r w:rsidR="003070A2">
        <w:t>19.05.2022</w:t>
      </w:r>
      <w:r w:rsidRPr="00D9208C">
        <w:t>,</w:t>
      </w:r>
    </w:p>
    <w:p w14:paraId="3367E4CC" w14:textId="0327E5F1"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3070A2">
        <w:t>23.05.2022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3A62AA7F"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F2B33">
        <w:t>31.07.2022</w:t>
      </w:r>
    </w:p>
    <w:p w14:paraId="07C0BA54" w14:textId="0B0EBB6B"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F2B33">
        <w:t>31.07.2022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B30951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DF2B33">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B22499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w:t>
      </w:r>
      <w:proofErr w:type="gramStart"/>
      <w:r w:rsidRPr="00D9208C">
        <w:t xml:space="preserve">je: </w:t>
      </w:r>
      <w:r w:rsidR="004256E8">
        <w:t xml:space="preserve"> </w:t>
      </w:r>
      <w:r w:rsidR="00DF2B33">
        <w:t>areál</w:t>
      </w:r>
      <w:proofErr w:type="gramEnd"/>
      <w:r w:rsidR="00DF2B33">
        <w:t xml:space="preserve"> údržby SNMZ Dobšická</w:t>
      </w:r>
      <w:r w:rsidR="004256E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20F3FA6C"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3070A2">
        <w:t>130.345,-</w:t>
      </w:r>
      <w:r w:rsidR="00721575" w:rsidRPr="00D9208C">
        <w:t xml:space="preserve"> Kč, (slovy </w:t>
      </w:r>
      <w:r w:rsidR="003070A2">
        <w:t>jedno sto třicet tisíc tři sta čtyřicet pět korun českých</w:t>
      </w:r>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A05B4DF"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3070A2">
        <w:rPr>
          <w:b/>
        </w:rPr>
        <w:t xml:space="preserve"> 107.722,88</w:t>
      </w:r>
      <w:proofErr w:type="gramEnd"/>
      <w:r w:rsidR="004F632A" w:rsidRPr="00D9208C">
        <w:rPr>
          <w:b/>
        </w:rPr>
        <w:t xml:space="preserve"> Kč</w:t>
      </w:r>
    </w:p>
    <w:p w14:paraId="70A5E0EF" w14:textId="5C046B91"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B33C66" w:rsidRPr="00D9208C">
        <w:rPr>
          <w:b/>
        </w:rPr>
        <w:t>21</w:t>
      </w:r>
      <w:r w:rsidRPr="00D9208C">
        <w:rPr>
          <w:b/>
        </w:rPr>
        <w:t xml:space="preserve">% </w:t>
      </w:r>
      <w:r w:rsidR="003070A2">
        <w:rPr>
          <w:b/>
        </w:rPr>
        <w:t xml:space="preserve">            22.621,80</w:t>
      </w:r>
      <w:proofErr w:type="gramEnd"/>
      <w:r w:rsidR="001700CD" w:rsidRPr="00D9208C">
        <w:rPr>
          <w:b/>
        </w:rPr>
        <w:t xml:space="preserve"> </w:t>
      </w:r>
      <w:r w:rsidRPr="00D9208C">
        <w:rPr>
          <w:b/>
        </w:rPr>
        <w:t>Kč</w:t>
      </w:r>
    </w:p>
    <w:p w14:paraId="26B32F61" w14:textId="77C1838E" w:rsidR="00C03739" w:rsidRPr="00D9208C" w:rsidRDefault="005967EE" w:rsidP="003C716B">
      <w:pPr>
        <w:pStyle w:val="Normlnweb"/>
        <w:shd w:val="clear" w:color="auto" w:fill="FFFFFF"/>
        <w:ind w:left="426" w:hanging="426"/>
      </w:pPr>
      <w:r w:rsidRPr="00D9208C">
        <w:rPr>
          <w:b/>
        </w:rPr>
        <w:br/>
        <w:t xml:space="preserve">Celková cena včetně DPH </w:t>
      </w:r>
      <w:r w:rsidR="003070A2">
        <w:rPr>
          <w:b/>
        </w:rPr>
        <w:t>130.345,-</w:t>
      </w:r>
      <w:r w:rsidR="001700CD" w:rsidRPr="00D9208C">
        <w:rPr>
          <w:b/>
        </w:rPr>
        <w:t xml:space="preserve"> </w:t>
      </w:r>
      <w:r w:rsidR="00C03739" w:rsidRPr="00D9208C">
        <w:rPr>
          <w:b/>
        </w:rPr>
        <w:t xml:space="preserve">Kč </w:t>
      </w:r>
      <w:r w:rsidR="00C03739" w:rsidRPr="00D9208C">
        <w:rPr>
          <w:b/>
        </w:rPr>
        <w:br/>
      </w:r>
    </w:p>
    <w:p w14:paraId="432D6E23" w14:textId="63CE124D"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3070A2">
        <w:t xml:space="preserve"> jedno sto třicet tisíc tři sta čtyřicet pět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461AFA2" w14:textId="77777777" w:rsidR="00C82DA7" w:rsidRDefault="00C82DA7" w:rsidP="00EF7EC9">
      <w:pPr>
        <w:pStyle w:val="Normlnweb"/>
        <w:shd w:val="clear" w:color="auto" w:fill="FFFFFF"/>
        <w:spacing w:before="240"/>
        <w:jc w:val="center"/>
        <w:rPr>
          <w:b/>
        </w:rPr>
      </w:pPr>
    </w:p>
    <w:p w14:paraId="4EDD915E" w14:textId="4ADABBC1"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lastRenderedPageBreak/>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lastRenderedPageBreak/>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3B3BC953"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C82DA7">
        <w:rPr>
          <w:rFonts w:ascii="Times New Roman" w:hAnsi="Times New Roman" w:cs="Times New Roman"/>
        </w:rPr>
        <w:t xml:space="preserve">Jiří </w:t>
      </w:r>
      <w:proofErr w:type="spellStart"/>
      <w:r w:rsidR="00C82DA7">
        <w:rPr>
          <w:rFonts w:ascii="Times New Roman" w:hAnsi="Times New Roman" w:cs="Times New Roman"/>
        </w:rPr>
        <w:t>Baják</w:t>
      </w:r>
      <w:proofErr w:type="spellEnd"/>
    </w:p>
    <w:p w14:paraId="11D301E2" w14:textId="41EDB1B1"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C82DA7">
        <w:rPr>
          <w:rFonts w:ascii="Times New Roman" w:hAnsi="Times New Roman" w:cs="Times New Roman"/>
        </w:rPr>
        <w:t xml:space="preserve">                                      </w:t>
      </w:r>
      <w:proofErr w:type="spellStart"/>
      <w:r w:rsidR="00C82DA7">
        <w:rPr>
          <w:rFonts w:ascii="Times New Roman" w:hAnsi="Times New Roman" w:cs="Times New Roman"/>
        </w:rPr>
        <w:t>Fejfalíkova</w:t>
      </w:r>
      <w:proofErr w:type="spellEnd"/>
      <w:r w:rsidR="00C82DA7">
        <w:rPr>
          <w:rFonts w:ascii="Times New Roman" w:hAnsi="Times New Roman" w:cs="Times New Roman"/>
        </w:rPr>
        <w:t xml:space="preserve"> 1880/16</w:t>
      </w:r>
    </w:p>
    <w:p w14:paraId="66FBF565" w14:textId="48E81536"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sidR="00C82DA7">
        <w:rPr>
          <w:rFonts w:ascii="Times New Roman" w:hAnsi="Times New Roman" w:cs="Times New Roman"/>
        </w:rPr>
        <w:t xml:space="preserve">                        Znojmo</w:t>
      </w:r>
      <w:hyperlink r:id="rId6"/>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Default="005967EE" w:rsidP="00CB271E">
      <w:pPr>
        <w:pStyle w:val="Normlnweb"/>
        <w:shd w:val="clear" w:color="auto" w:fill="FFFFFF"/>
      </w:pPr>
      <w:r w:rsidRPr="00D066CC">
        <w:br/>
      </w:r>
      <w:r w:rsidRPr="00D066CC">
        <w:br/>
      </w:r>
    </w:p>
    <w:p w14:paraId="1EF8865B" w14:textId="74FD316D" w:rsidR="002D40F0" w:rsidRPr="00C67ED6" w:rsidRDefault="002D40F0" w:rsidP="00CB271E">
      <w:pPr>
        <w:pStyle w:val="Normlnweb"/>
        <w:shd w:val="clear" w:color="auto" w:fill="FFFFFF"/>
        <w:rPr>
          <w:rFonts w:asciiTheme="minorHAnsi" w:eastAsia="Calibri" w:hAnsiTheme="minorHAnsi" w:cstheme="minorHAnsi"/>
          <w:color w:val="000000"/>
          <w:sz w:val="22"/>
          <w:szCs w:val="22"/>
          <w:lang w:eastAsia="en-US"/>
        </w:rPr>
      </w:pPr>
      <w:r w:rsidRPr="00C67ED6">
        <w:rPr>
          <w:rStyle w:val="fontstyle01"/>
          <w:rFonts w:asciiTheme="minorHAnsi" w:hAnsiTheme="minorHAnsi" w:cstheme="minorHAnsi"/>
          <w:sz w:val="22"/>
          <w:szCs w:val="22"/>
        </w:rPr>
        <w:lastRenderedPageBreak/>
        <w:t>Dodávka a montáž sekč</w:t>
      </w:r>
      <w:r w:rsidRPr="00C67ED6">
        <w:rPr>
          <w:rStyle w:val="fontstyle01"/>
          <w:rFonts w:asciiTheme="minorHAnsi" w:hAnsiTheme="minorHAnsi" w:cstheme="minorHAnsi"/>
          <w:sz w:val="22"/>
          <w:szCs w:val="22"/>
        </w:rPr>
        <w:t>ní</w:t>
      </w:r>
      <w:r w:rsidRPr="00C67ED6">
        <w:rPr>
          <w:rStyle w:val="fontstyle01"/>
          <w:rFonts w:asciiTheme="minorHAnsi" w:hAnsiTheme="minorHAnsi" w:cstheme="minorHAnsi"/>
          <w:sz w:val="22"/>
          <w:szCs w:val="22"/>
        </w:rPr>
        <w:t>ch vrat, s bočním průmyslovým pohonem na 400 V</w:t>
      </w:r>
      <w:r w:rsidRPr="00C67ED6">
        <w:rPr>
          <w:rStyle w:val="fontstyle01"/>
          <w:rFonts w:asciiTheme="minorHAnsi" w:hAnsiTheme="minorHAnsi" w:cstheme="minorHAnsi"/>
          <w:sz w:val="22"/>
          <w:szCs w:val="22"/>
        </w:rPr>
        <w:t xml:space="preserve">, </w:t>
      </w:r>
      <w:r w:rsidRPr="00C67ED6">
        <w:rPr>
          <w:rFonts w:asciiTheme="minorHAnsi" w:eastAsia="Calibri" w:hAnsiTheme="minorHAnsi" w:cstheme="minorHAnsi"/>
          <w:color w:val="000000"/>
          <w:sz w:val="22"/>
          <w:szCs w:val="22"/>
          <w:lang w:eastAsia="en-US"/>
        </w:rPr>
        <w:t>včetně dveří, v barvě RAL 7016 Antracit.</w:t>
      </w:r>
    </w:p>
    <w:p w14:paraId="6ECA15E8" w14:textId="77777777" w:rsidR="002D40F0" w:rsidRDefault="002D40F0" w:rsidP="00CB271E">
      <w:pPr>
        <w:pStyle w:val="Normlnweb"/>
        <w:shd w:val="clear" w:color="auto" w:fill="FFFFFF"/>
        <w:rPr>
          <w:rFonts w:ascii="Helvetica" w:eastAsia="Calibri" w:hAnsi="Helvetica"/>
          <w:color w:val="000000"/>
          <w:sz w:val="18"/>
          <w:szCs w:val="18"/>
          <w:lang w:eastAsia="en-US"/>
        </w:rPr>
      </w:pPr>
    </w:p>
    <w:tbl>
      <w:tblPr>
        <w:tblStyle w:val="Mkatabulky"/>
        <w:tblW w:w="0" w:type="auto"/>
        <w:tblLook w:val="04A0" w:firstRow="1" w:lastRow="0" w:firstColumn="1" w:lastColumn="0" w:noHBand="0" w:noVBand="1"/>
      </w:tblPr>
      <w:tblGrid>
        <w:gridCol w:w="6204"/>
        <w:gridCol w:w="567"/>
        <w:gridCol w:w="708"/>
        <w:gridCol w:w="1418"/>
      </w:tblGrid>
      <w:tr w:rsidR="008631CB" w14:paraId="5F5866AA" w14:textId="77777777" w:rsidTr="00C67ED6">
        <w:tc>
          <w:tcPr>
            <w:tcW w:w="6204" w:type="dxa"/>
          </w:tcPr>
          <w:p w14:paraId="49CB2080" w14:textId="653ED91E"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Vrata 3900 X 3900 mm</w:t>
            </w:r>
          </w:p>
        </w:tc>
        <w:tc>
          <w:tcPr>
            <w:tcW w:w="567" w:type="dxa"/>
          </w:tcPr>
          <w:p w14:paraId="10AA9FF3" w14:textId="00481104" w:rsidR="008631CB" w:rsidRPr="00C67ED6" w:rsidRDefault="008631CB"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ks</w:t>
            </w:r>
          </w:p>
        </w:tc>
        <w:tc>
          <w:tcPr>
            <w:tcW w:w="708" w:type="dxa"/>
          </w:tcPr>
          <w:p w14:paraId="7CC6F1C2" w14:textId="79538CF8"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1,00</w:t>
            </w:r>
          </w:p>
        </w:tc>
        <w:tc>
          <w:tcPr>
            <w:tcW w:w="1418" w:type="dxa"/>
          </w:tcPr>
          <w:p w14:paraId="7735A06D" w14:textId="6AA8DDA3"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55 379 Kč</w:t>
            </w:r>
          </w:p>
        </w:tc>
      </w:tr>
      <w:tr w:rsidR="008631CB" w14:paraId="1D099C0F" w14:textId="77777777" w:rsidTr="00C67ED6">
        <w:tc>
          <w:tcPr>
            <w:tcW w:w="6204" w:type="dxa"/>
          </w:tcPr>
          <w:p w14:paraId="5D676557" w14:textId="679B0EEA"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Pohon boční průmyslový 400V</w:t>
            </w:r>
          </w:p>
        </w:tc>
        <w:tc>
          <w:tcPr>
            <w:tcW w:w="567" w:type="dxa"/>
          </w:tcPr>
          <w:p w14:paraId="62A7B5C9" w14:textId="5447E14E"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k</w:t>
            </w:r>
            <w:r w:rsidRPr="00C67ED6">
              <w:rPr>
                <w:rFonts w:asciiTheme="minorHAnsi" w:hAnsiTheme="minorHAnsi" w:cstheme="minorHAnsi"/>
                <w:sz w:val="20"/>
                <w:szCs w:val="20"/>
              </w:rPr>
              <w:t>s</w:t>
            </w:r>
          </w:p>
        </w:tc>
        <w:tc>
          <w:tcPr>
            <w:tcW w:w="708" w:type="dxa"/>
          </w:tcPr>
          <w:p w14:paraId="56F5D189" w14:textId="3255FFC1"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1,00</w:t>
            </w:r>
          </w:p>
        </w:tc>
        <w:tc>
          <w:tcPr>
            <w:tcW w:w="1418" w:type="dxa"/>
          </w:tcPr>
          <w:p w14:paraId="2F7455BA" w14:textId="2E8247B2"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17 993 Kč</w:t>
            </w:r>
          </w:p>
        </w:tc>
      </w:tr>
      <w:tr w:rsidR="008631CB" w14:paraId="21D283E6" w14:textId="77777777" w:rsidTr="00C67ED6">
        <w:tc>
          <w:tcPr>
            <w:tcW w:w="6204" w:type="dxa"/>
          </w:tcPr>
          <w:p w14:paraId="14B4BCF9" w14:textId="553E4D7A"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Příplatek za zvýšené kování</w:t>
            </w:r>
          </w:p>
        </w:tc>
        <w:tc>
          <w:tcPr>
            <w:tcW w:w="567" w:type="dxa"/>
          </w:tcPr>
          <w:p w14:paraId="74C267E8" w14:textId="385CD565"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ks</w:t>
            </w:r>
          </w:p>
        </w:tc>
        <w:tc>
          <w:tcPr>
            <w:tcW w:w="708" w:type="dxa"/>
          </w:tcPr>
          <w:p w14:paraId="61192C1C" w14:textId="284162CF"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1,00</w:t>
            </w:r>
          </w:p>
        </w:tc>
        <w:tc>
          <w:tcPr>
            <w:tcW w:w="1418" w:type="dxa"/>
          </w:tcPr>
          <w:p w14:paraId="1DBE1FB1" w14:textId="3A310ACE"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5 538 Kč</w:t>
            </w:r>
          </w:p>
        </w:tc>
      </w:tr>
      <w:tr w:rsidR="008631CB" w14:paraId="75107158" w14:textId="77777777" w:rsidTr="00C67ED6">
        <w:tc>
          <w:tcPr>
            <w:tcW w:w="6204" w:type="dxa"/>
          </w:tcPr>
          <w:p w14:paraId="241AC3AE" w14:textId="78247AD2"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Integrované dveře se sníženým prahem</w:t>
            </w:r>
          </w:p>
        </w:tc>
        <w:tc>
          <w:tcPr>
            <w:tcW w:w="567" w:type="dxa"/>
          </w:tcPr>
          <w:p w14:paraId="31D1BBBC" w14:textId="5C7365B2"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ks</w:t>
            </w:r>
          </w:p>
        </w:tc>
        <w:tc>
          <w:tcPr>
            <w:tcW w:w="708" w:type="dxa"/>
          </w:tcPr>
          <w:p w14:paraId="561BE6C0" w14:textId="6F7874EA"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1,00</w:t>
            </w:r>
          </w:p>
        </w:tc>
        <w:tc>
          <w:tcPr>
            <w:tcW w:w="1418" w:type="dxa"/>
          </w:tcPr>
          <w:p w14:paraId="07702A39" w14:textId="7DFB2A03"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14 960 Kč</w:t>
            </w:r>
          </w:p>
        </w:tc>
      </w:tr>
      <w:tr w:rsidR="008631CB" w14:paraId="6B9F650A" w14:textId="77777777" w:rsidTr="00C67ED6">
        <w:tc>
          <w:tcPr>
            <w:tcW w:w="6204" w:type="dxa"/>
          </w:tcPr>
          <w:p w14:paraId="12D9365B" w14:textId="05FB8801"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 xml:space="preserve">Elektro magnetické jištění </w:t>
            </w:r>
            <w:proofErr w:type="spellStart"/>
            <w:r w:rsidRPr="00C67ED6">
              <w:rPr>
                <w:rStyle w:val="fontstyle01"/>
                <w:rFonts w:asciiTheme="minorHAnsi" w:hAnsiTheme="minorHAnsi" w:cstheme="minorHAnsi"/>
              </w:rPr>
              <w:t>integr</w:t>
            </w:r>
            <w:proofErr w:type="spellEnd"/>
            <w:r w:rsidRPr="00C67ED6">
              <w:rPr>
                <w:rStyle w:val="fontstyle01"/>
                <w:rFonts w:asciiTheme="minorHAnsi" w:hAnsiTheme="minorHAnsi" w:cstheme="minorHAnsi"/>
              </w:rPr>
              <w:t>. dveří</w:t>
            </w:r>
          </w:p>
        </w:tc>
        <w:tc>
          <w:tcPr>
            <w:tcW w:w="567" w:type="dxa"/>
          </w:tcPr>
          <w:p w14:paraId="3206FE6D" w14:textId="52114DFB"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ks</w:t>
            </w:r>
          </w:p>
        </w:tc>
        <w:tc>
          <w:tcPr>
            <w:tcW w:w="708" w:type="dxa"/>
          </w:tcPr>
          <w:p w14:paraId="515B6C5F" w14:textId="7B2A2D6A"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1,00</w:t>
            </w:r>
          </w:p>
        </w:tc>
        <w:tc>
          <w:tcPr>
            <w:tcW w:w="1418" w:type="dxa"/>
          </w:tcPr>
          <w:p w14:paraId="3B594B02" w14:textId="1946C6B9"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1 496 Kč</w:t>
            </w:r>
          </w:p>
        </w:tc>
      </w:tr>
      <w:tr w:rsidR="008631CB" w14:paraId="7091F419" w14:textId="77777777" w:rsidTr="00C67ED6">
        <w:tc>
          <w:tcPr>
            <w:tcW w:w="6204" w:type="dxa"/>
          </w:tcPr>
          <w:p w14:paraId="5CF41E40" w14:textId="3E5AE2F4"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Podvěsné fotobuňky</w:t>
            </w:r>
          </w:p>
        </w:tc>
        <w:tc>
          <w:tcPr>
            <w:tcW w:w="567" w:type="dxa"/>
          </w:tcPr>
          <w:p w14:paraId="1C397390" w14:textId="1AD6C896"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ks</w:t>
            </w:r>
          </w:p>
        </w:tc>
        <w:tc>
          <w:tcPr>
            <w:tcW w:w="708" w:type="dxa"/>
          </w:tcPr>
          <w:p w14:paraId="63132DE2" w14:textId="1C1D37D1"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1,00</w:t>
            </w:r>
          </w:p>
        </w:tc>
        <w:tc>
          <w:tcPr>
            <w:tcW w:w="1418" w:type="dxa"/>
          </w:tcPr>
          <w:p w14:paraId="71D41762" w14:textId="5E1188F8"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3 944 Kč</w:t>
            </w:r>
          </w:p>
        </w:tc>
      </w:tr>
      <w:tr w:rsidR="008631CB" w14:paraId="4CC65D44" w14:textId="77777777" w:rsidTr="00C67ED6">
        <w:tc>
          <w:tcPr>
            <w:tcW w:w="6204" w:type="dxa"/>
          </w:tcPr>
          <w:p w14:paraId="2A4E59B2" w14:textId="1EADB3BE"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Přijímač DO + 2 Ks ovladačů</w:t>
            </w:r>
          </w:p>
        </w:tc>
        <w:tc>
          <w:tcPr>
            <w:tcW w:w="567" w:type="dxa"/>
          </w:tcPr>
          <w:p w14:paraId="1AD3C9D3" w14:textId="3CD9E541"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ks</w:t>
            </w:r>
          </w:p>
        </w:tc>
        <w:tc>
          <w:tcPr>
            <w:tcW w:w="708" w:type="dxa"/>
          </w:tcPr>
          <w:p w14:paraId="49F2540E" w14:textId="27F30D97"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1,00</w:t>
            </w:r>
          </w:p>
        </w:tc>
        <w:tc>
          <w:tcPr>
            <w:tcW w:w="1418" w:type="dxa"/>
          </w:tcPr>
          <w:p w14:paraId="708F83F6" w14:textId="489B4C89"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2 633 Kč</w:t>
            </w:r>
          </w:p>
        </w:tc>
      </w:tr>
      <w:tr w:rsidR="008631CB" w14:paraId="644183EA" w14:textId="77777777" w:rsidTr="00C67ED6">
        <w:tc>
          <w:tcPr>
            <w:tcW w:w="6204" w:type="dxa"/>
          </w:tcPr>
          <w:p w14:paraId="70F4DEEE" w14:textId="6EBD5609"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Montáž, demontáž, přesun hmot, doprava</w:t>
            </w:r>
          </w:p>
        </w:tc>
        <w:tc>
          <w:tcPr>
            <w:tcW w:w="567" w:type="dxa"/>
          </w:tcPr>
          <w:p w14:paraId="7D193982" w14:textId="0E3CC263"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ks</w:t>
            </w:r>
          </w:p>
        </w:tc>
        <w:tc>
          <w:tcPr>
            <w:tcW w:w="708" w:type="dxa"/>
          </w:tcPr>
          <w:p w14:paraId="4BC0238A" w14:textId="325D2A54"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1,00</w:t>
            </w:r>
          </w:p>
        </w:tc>
        <w:tc>
          <w:tcPr>
            <w:tcW w:w="1418" w:type="dxa"/>
          </w:tcPr>
          <w:p w14:paraId="252053F4" w14:textId="6BC52F55"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5 780 Kč</w:t>
            </w:r>
          </w:p>
        </w:tc>
      </w:tr>
      <w:tr w:rsidR="008631CB" w14:paraId="1E46CAF2" w14:textId="77777777" w:rsidTr="00C67ED6">
        <w:tc>
          <w:tcPr>
            <w:tcW w:w="6204" w:type="dxa"/>
          </w:tcPr>
          <w:p w14:paraId="69F42EC3" w14:textId="70E3C185"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Celkem bez DPH</w:t>
            </w:r>
          </w:p>
        </w:tc>
        <w:tc>
          <w:tcPr>
            <w:tcW w:w="567" w:type="dxa"/>
          </w:tcPr>
          <w:p w14:paraId="57B2E7B3" w14:textId="44367C83" w:rsidR="008631CB" w:rsidRPr="00C67ED6" w:rsidRDefault="008631CB" w:rsidP="00C67ED6">
            <w:pPr>
              <w:pStyle w:val="Normlnweb"/>
              <w:jc w:val="right"/>
              <w:rPr>
                <w:rFonts w:asciiTheme="minorHAnsi" w:hAnsiTheme="minorHAnsi" w:cstheme="minorHAnsi"/>
                <w:sz w:val="20"/>
                <w:szCs w:val="20"/>
              </w:rPr>
            </w:pPr>
          </w:p>
        </w:tc>
        <w:tc>
          <w:tcPr>
            <w:tcW w:w="708" w:type="dxa"/>
          </w:tcPr>
          <w:p w14:paraId="056F9759" w14:textId="77777777" w:rsidR="008631CB" w:rsidRPr="00C67ED6" w:rsidRDefault="008631CB" w:rsidP="00CB271E">
            <w:pPr>
              <w:pStyle w:val="Normlnweb"/>
              <w:rPr>
                <w:rFonts w:asciiTheme="minorHAnsi" w:hAnsiTheme="minorHAnsi" w:cstheme="minorHAnsi"/>
                <w:sz w:val="20"/>
                <w:szCs w:val="20"/>
              </w:rPr>
            </w:pPr>
          </w:p>
        </w:tc>
        <w:tc>
          <w:tcPr>
            <w:tcW w:w="1418" w:type="dxa"/>
          </w:tcPr>
          <w:p w14:paraId="250DD23A" w14:textId="2FBF4B0E"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107 723 Kč</w:t>
            </w:r>
          </w:p>
        </w:tc>
      </w:tr>
      <w:tr w:rsidR="008631CB" w14:paraId="40AB6BAC" w14:textId="77777777" w:rsidTr="00C67ED6">
        <w:tc>
          <w:tcPr>
            <w:tcW w:w="6204" w:type="dxa"/>
          </w:tcPr>
          <w:p w14:paraId="7662FB27" w14:textId="2D20C126" w:rsidR="008631CB" w:rsidRPr="00C67ED6" w:rsidRDefault="008631CB" w:rsidP="008631CB">
            <w:pPr>
              <w:rPr>
                <w:rFonts w:asciiTheme="minorHAnsi" w:hAnsiTheme="minorHAnsi" w:cstheme="minorHAnsi"/>
                <w:sz w:val="20"/>
                <w:szCs w:val="20"/>
              </w:rPr>
            </w:pPr>
            <w:r w:rsidRPr="00C67ED6">
              <w:rPr>
                <w:rStyle w:val="fontstyle01"/>
                <w:rFonts w:asciiTheme="minorHAnsi" w:hAnsiTheme="minorHAnsi" w:cstheme="minorHAnsi"/>
              </w:rPr>
              <w:t>DPH 21%</w:t>
            </w:r>
          </w:p>
        </w:tc>
        <w:tc>
          <w:tcPr>
            <w:tcW w:w="567" w:type="dxa"/>
          </w:tcPr>
          <w:p w14:paraId="4E4A0AD1" w14:textId="77777777" w:rsidR="008631CB" w:rsidRPr="00C67ED6" w:rsidRDefault="008631CB" w:rsidP="00C67ED6">
            <w:pPr>
              <w:pStyle w:val="Normlnweb"/>
              <w:jc w:val="right"/>
              <w:rPr>
                <w:rFonts w:asciiTheme="minorHAnsi" w:hAnsiTheme="minorHAnsi" w:cstheme="minorHAnsi"/>
                <w:sz w:val="20"/>
                <w:szCs w:val="20"/>
              </w:rPr>
            </w:pPr>
          </w:p>
        </w:tc>
        <w:tc>
          <w:tcPr>
            <w:tcW w:w="708" w:type="dxa"/>
          </w:tcPr>
          <w:p w14:paraId="098DD350" w14:textId="77777777" w:rsidR="008631CB" w:rsidRPr="00C67ED6" w:rsidRDefault="008631CB" w:rsidP="00CB271E">
            <w:pPr>
              <w:pStyle w:val="Normlnweb"/>
              <w:rPr>
                <w:rFonts w:asciiTheme="minorHAnsi" w:hAnsiTheme="minorHAnsi" w:cstheme="minorHAnsi"/>
                <w:sz w:val="20"/>
                <w:szCs w:val="20"/>
              </w:rPr>
            </w:pPr>
          </w:p>
        </w:tc>
        <w:tc>
          <w:tcPr>
            <w:tcW w:w="1418" w:type="dxa"/>
          </w:tcPr>
          <w:p w14:paraId="20F0604F" w14:textId="6980C96A"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22 622 Kč</w:t>
            </w:r>
          </w:p>
        </w:tc>
      </w:tr>
      <w:tr w:rsidR="008631CB" w14:paraId="6889D5DC" w14:textId="77777777" w:rsidTr="00C67ED6">
        <w:tc>
          <w:tcPr>
            <w:tcW w:w="6204" w:type="dxa"/>
          </w:tcPr>
          <w:p w14:paraId="5DBDF011" w14:textId="4BA8C25E" w:rsidR="008631CB" w:rsidRPr="00C67ED6" w:rsidRDefault="008631CB" w:rsidP="00CB271E">
            <w:pPr>
              <w:pStyle w:val="Normlnweb"/>
              <w:rPr>
                <w:rFonts w:asciiTheme="minorHAnsi" w:hAnsiTheme="minorHAnsi" w:cstheme="minorHAnsi"/>
                <w:sz w:val="20"/>
                <w:szCs w:val="20"/>
              </w:rPr>
            </w:pPr>
            <w:r w:rsidRPr="00C67ED6">
              <w:rPr>
                <w:rFonts w:asciiTheme="minorHAnsi" w:eastAsia="Calibri" w:hAnsiTheme="minorHAnsi" w:cstheme="minorHAnsi"/>
                <w:color w:val="000000"/>
                <w:sz w:val="20"/>
                <w:szCs w:val="20"/>
                <w:lang w:eastAsia="en-US"/>
              </w:rPr>
              <w:t>Celkem včetně DPH</w:t>
            </w:r>
          </w:p>
        </w:tc>
        <w:tc>
          <w:tcPr>
            <w:tcW w:w="567" w:type="dxa"/>
          </w:tcPr>
          <w:p w14:paraId="5AAFA06E" w14:textId="77777777" w:rsidR="008631CB" w:rsidRPr="00C67ED6" w:rsidRDefault="008631CB" w:rsidP="00C67ED6">
            <w:pPr>
              <w:pStyle w:val="Normlnweb"/>
              <w:jc w:val="right"/>
              <w:rPr>
                <w:rFonts w:asciiTheme="minorHAnsi" w:hAnsiTheme="minorHAnsi" w:cstheme="minorHAnsi"/>
                <w:sz w:val="20"/>
                <w:szCs w:val="20"/>
              </w:rPr>
            </w:pPr>
          </w:p>
        </w:tc>
        <w:tc>
          <w:tcPr>
            <w:tcW w:w="708" w:type="dxa"/>
          </w:tcPr>
          <w:p w14:paraId="1EAA7727" w14:textId="77777777" w:rsidR="008631CB" w:rsidRPr="00C67ED6" w:rsidRDefault="008631CB" w:rsidP="00CB271E">
            <w:pPr>
              <w:pStyle w:val="Normlnweb"/>
              <w:rPr>
                <w:rFonts w:asciiTheme="minorHAnsi" w:hAnsiTheme="minorHAnsi" w:cstheme="minorHAnsi"/>
                <w:sz w:val="20"/>
                <w:szCs w:val="20"/>
              </w:rPr>
            </w:pPr>
          </w:p>
        </w:tc>
        <w:tc>
          <w:tcPr>
            <w:tcW w:w="1418" w:type="dxa"/>
          </w:tcPr>
          <w:p w14:paraId="0CA9C8D2" w14:textId="19954D5A" w:rsidR="008631CB" w:rsidRPr="00C67ED6" w:rsidRDefault="00C67ED6" w:rsidP="00C67ED6">
            <w:pPr>
              <w:pStyle w:val="Normlnweb"/>
              <w:jc w:val="right"/>
              <w:rPr>
                <w:rFonts w:asciiTheme="minorHAnsi" w:hAnsiTheme="minorHAnsi" w:cstheme="minorHAnsi"/>
                <w:sz w:val="20"/>
                <w:szCs w:val="20"/>
              </w:rPr>
            </w:pPr>
            <w:r w:rsidRPr="00C67ED6">
              <w:rPr>
                <w:rFonts w:asciiTheme="minorHAnsi" w:hAnsiTheme="minorHAnsi" w:cstheme="minorHAnsi"/>
                <w:sz w:val="20"/>
                <w:szCs w:val="20"/>
              </w:rPr>
              <w:t>130 345 Kč</w:t>
            </w:r>
          </w:p>
        </w:tc>
      </w:tr>
    </w:tbl>
    <w:p w14:paraId="59B75B11" w14:textId="77777777" w:rsidR="002D40F0" w:rsidRDefault="002D40F0" w:rsidP="00CB271E">
      <w:pPr>
        <w:pStyle w:val="Normlnweb"/>
        <w:shd w:val="clear" w:color="auto" w:fill="FFFFFF"/>
      </w:pPr>
    </w:p>
    <w:p w14:paraId="42A3A0F7" w14:textId="77777777" w:rsidR="00C67ED6" w:rsidRDefault="00C67ED6" w:rsidP="00CB271E">
      <w:pPr>
        <w:pStyle w:val="Normlnweb"/>
        <w:shd w:val="clear" w:color="auto" w:fill="FFFFFF"/>
      </w:pPr>
    </w:p>
    <w:p w14:paraId="1A62EA8A" w14:textId="77777777" w:rsidR="00C67ED6" w:rsidRDefault="00C67ED6" w:rsidP="00CB271E">
      <w:pPr>
        <w:pStyle w:val="Normlnweb"/>
        <w:shd w:val="clear" w:color="auto" w:fill="FFFFFF"/>
      </w:pPr>
    </w:p>
    <w:p w14:paraId="5FCC7C8F" w14:textId="77777777" w:rsidR="00C67ED6" w:rsidRDefault="00C67ED6" w:rsidP="00CB271E">
      <w:pPr>
        <w:pStyle w:val="Normlnweb"/>
        <w:shd w:val="clear" w:color="auto" w:fill="FFFFFF"/>
      </w:pPr>
    </w:p>
    <w:p w14:paraId="42D35E47" w14:textId="77777777" w:rsidR="00C67ED6" w:rsidRDefault="00C67ED6" w:rsidP="00CB271E">
      <w:pPr>
        <w:pStyle w:val="Normlnweb"/>
        <w:shd w:val="clear" w:color="auto" w:fill="FFFFFF"/>
      </w:pPr>
    </w:p>
    <w:p w14:paraId="41D4ABF3" w14:textId="77777777" w:rsidR="00C67ED6" w:rsidRDefault="00C67ED6" w:rsidP="00CB271E">
      <w:pPr>
        <w:pStyle w:val="Normlnweb"/>
        <w:shd w:val="clear" w:color="auto" w:fill="FFFFFF"/>
      </w:pPr>
    </w:p>
    <w:p w14:paraId="16D5612C" w14:textId="77777777" w:rsidR="00C67ED6" w:rsidRDefault="00C67ED6" w:rsidP="00CB271E">
      <w:pPr>
        <w:pStyle w:val="Normlnweb"/>
        <w:shd w:val="clear" w:color="auto" w:fill="FFFFFF"/>
      </w:pPr>
    </w:p>
    <w:p w14:paraId="12FD8AF0" w14:textId="77777777" w:rsidR="00C67ED6" w:rsidRDefault="00C67ED6" w:rsidP="00CB271E">
      <w:pPr>
        <w:pStyle w:val="Normlnweb"/>
        <w:shd w:val="clear" w:color="auto" w:fill="FFFFFF"/>
      </w:pPr>
    </w:p>
    <w:p w14:paraId="23C7C446" w14:textId="77777777" w:rsidR="00C67ED6" w:rsidRDefault="00C67ED6" w:rsidP="00CB271E">
      <w:pPr>
        <w:pStyle w:val="Normlnweb"/>
        <w:shd w:val="clear" w:color="auto" w:fill="FFFFFF"/>
      </w:pPr>
    </w:p>
    <w:p w14:paraId="41C175EA" w14:textId="77777777" w:rsidR="00C67ED6" w:rsidRDefault="00C67ED6" w:rsidP="00CB271E">
      <w:pPr>
        <w:pStyle w:val="Normlnweb"/>
        <w:shd w:val="clear" w:color="auto" w:fill="FFFFFF"/>
      </w:pPr>
    </w:p>
    <w:p w14:paraId="35D56C99" w14:textId="77777777" w:rsidR="00C67ED6" w:rsidRDefault="00C67ED6" w:rsidP="00CB271E">
      <w:pPr>
        <w:pStyle w:val="Normlnweb"/>
        <w:shd w:val="clear" w:color="auto" w:fill="FFFFFF"/>
      </w:pPr>
    </w:p>
    <w:p w14:paraId="57B3F436" w14:textId="77777777" w:rsidR="00C67ED6" w:rsidRDefault="00C67ED6" w:rsidP="00CB271E">
      <w:pPr>
        <w:pStyle w:val="Normlnweb"/>
        <w:shd w:val="clear" w:color="auto" w:fill="FFFFFF"/>
      </w:pPr>
    </w:p>
    <w:p w14:paraId="2DAC9229" w14:textId="77777777" w:rsidR="00C67ED6" w:rsidRDefault="00C67ED6" w:rsidP="00CB271E">
      <w:pPr>
        <w:pStyle w:val="Normlnweb"/>
        <w:shd w:val="clear" w:color="auto" w:fill="FFFFFF"/>
      </w:pPr>
    </w:p>
    <w:p w14:paraId="507000DE" w14:textId="77777777" w:rsidR="00C67ED6" w:rsidRDefault="00C67ED6" w:rsidP="00CB271E">
      <w:pPr>
        <w:pStyle w:val="Normlnweb"/>
        <w:shd w:val="clear" w:color="auto" w:fill="FFFFFF"/>
      </w:pPr>
    </w:p>
    <w:p w14:paraId="73DE138C" w14:textId="77777777" w:rsidR="00C67ED6" w:rsidRDefault="00C67ED6" w:rsidP="00CB271E">
      <w:pPr>
        <w:pStyle w:val="Normlnweb"/>
        <w:shd w:val="clear" w:color="auto" w:fill="FFFFFF"/>
      </w:pPr>
    </w:p>
    <w:p w14:paraId="29A0C5F7" w14:textId="77777777" w:rsidR="00C67ED6" w:rsidRDefault="00C67ED6" w:rsidP="00CB271E">
      <w:pPr>
        <w:pStyle w:val="Normlnweb"/>
        <w:shd w:val="clear" w:color="auto" w:fill="FFFFFF"/>
      </w:pPr>
    </w:p>
    <w:p w14:paraId="17D761FC" w14:textId="77777777" w:rsidR="00C67ED6" w:rsidRDefault="00C67ED6" w:rsidP="00CB271E">
      <w:pPr>
        <w:pStyle w:val="Normlnweb"/>
        <w:shd w:val="clear" w:color="auto" w:fill="FFFFFF"/>
      </w:pPr>
    </w:p>
    <w:p w14:paraId="3CD6BE70" w14:textId="77777777" w:rsidR="00C67ED6" w:rsidRDefault="00C67ED6" w:rsidP="00CB271E">
      <w:pPr>
        <w:pStyle w:val="Normlnweb"/>
        <w:shd w:val="clear" w:color="auto" w:fill="FFFFFF"/>
      </w:pPr>
    </w:p>
    <w:p w14:paraId="1554A9E1" w14:textId="77777777" w:rsidR="00C67ED6" w:rsidRDefault="00C67ED6" w:rsidP="00CB271E">
      <w:pPr>
        <w:pStyle w:val="Normlnweb"/>
        <w:shd w:val="clear" w:color="auto" w:fill="FFFFFF"/>
      </w:pPr>
    </w:p>
    <w:p w14:paraId="6C05D262" w14:textId="77777777" w:rsidR="00C67ED6" w:rsidRDefault="00C67ED6" w:rsidP="00CB271E">
      <w:pPr>
        <w:pStyle w:val="Normlnweb"/>
        <w:shd w:val="clear" w:color="auto" w:fill="FFFFFF"/>
      </w:pPr>
    </w:p>
    <w:p w14:paraId="3664FBE7" w14:textId="77777777" w:rsidR="00C67ED6" w:rsidRDefault="00C67ED6" w:rsidP="00CB271E">
      <w:pPr>
        <w:pStyle w:val="Normlnweb"/>
        <w:shd w:val="clear" w:color="auto" w:fill="FFFFFF"/>
      </w:pPr>
    </w:p>
    <w:p w14:paraId="5B20A1F6" w14:textId="77777777" w:rsidR="00C67ED6" w:rsidRDefault="00C67ED6" w:rsidP="00CB271E">
      <w:pPr>
        <w:pStyle w:val="Normlnweb"/>
        <w:shd w:val="clear" w:color="auto" w:fill="FFFFFF"/>
      </w:pPr>
    </w:p>
    <w:p w14:paraId="0DF23A6E" w14:textId="77777777" w:rsidR="00C67ED6" w:rsidRDefault="00C67ED6" w:rsidP="00CB271E">
      <w:pPr>
        <w:pStyle w:val="Normlnweb"/>
        <w:shd w:val="clear" w:color="auto" w:fill="FFFFFF"/>
      </w:pPr>
    </w:p>
    <w:p w14:paraId="20B83C32" w14:textId="77777777" w:rsidR="00C67ED6" w:rsidRDefault="00C67ED6" w:rsidP="00CB271E">
      <w:pPr>
        <w:pStyle w:val="Normlnweb"/>
        <w:shd w:val="clear" w:color="auto" w:fill="FFFFFF"/>
      </w:pPr>
    </w:p>
    <w:p w14:paraId="56EA0069" w14:textId="77777777" w:rsidR="00C67ED6" w:rsidRDefault="00C67ED6" w:rsidP="00CB271E">
      <w:pPr>
        <w:pStyle w:val="Normlnweb"/>
        <w:shd w:val="clear" w:color="auto" w:fill="FFFFFF"/>
      </w:pPr>
    </w:p>
    <w:p w14:paraId="6A1EA976" w14:textId="77777777" w:rsidR="00C67ED6" w:rsidRDefault="00C67ED6" w:rsidP="00CB271E">
      <w:pPr>
        <w:pStyle w:val="Normlnweb"/>
        <w:shd w:val="clear" w:color="auto" w:fill="FFFFFF"/>
      </w:pPr>
    </w:p>
    <w:p w14:paraId="35581498" w14:textId="77777777" w:rsidR="00C67ED6" w:rsidRDefault="00C67ED6" w:rsidP="00CB271E">
      <w:pPr>
        <w:pStyle w:val="Normlnweb"/>
        <w:shd w:val="clear" w:color="auto" w:fill="FFFFFF"/>
      </w:pPr>
    </w:p>
    <w:p w14:paraId="0F1AE74F" w14:textId="77777777" w:rsidR="00C67ED6" w:rsidRDefault="00C67ED6" w:rsidP="00CB271E">
      <w:pPr>
        <w:pStyle w:val="Normlnweb"/>
        <w:shd w:val="clear" w:color="auto" w:fill="FFFFFF"/>
      </w:pPr>
    </w:p>
    <w:p w14:paraId="16287E3F" w14:textId="77777777" w:rsidR="00C67ED6" w:rsidRDefault="00C67ED6" w:rsidP="00CB271E">
      <w:pPr>
        <w:pStyle w:val="Normlnweb"/>
        <w:shd w:val="clear" w:color="auto" w:fill="FFFFFF"/>
      </w:pPr>
    </w:p>
    <w:p w14:paraId="2A7FE15F" w14:textId="77777777" w:rsidR="00C67ED6" w:rsidRDefault="00C67ED6" w:rsidP="00CB271E">
      <w:pPr>
        <w:pStyle w:val="Normlnweb"/>
        <w:shd w:val="clear" w:color="auto" w:fill="FFFFFF"/>
      </w:pPr>
    </w:p>
    <w:p w14:paraId="06F5D2FB" w14:textId="77777777" w:rsidR="00C67ED6" w:rsidRDefault="00C67ED6" w:rsidP="00CB271E">
      <w:pPr>
        <w:pStyle w:val="Normlnweb"/>
        <w:shd w:val="clear" w:color="auto" w:fill="FFFFFF"/>
      </w:pPr>
    </w:p>
    <w:p w14:paraId="1FAB9604" w14:textId="77777777" w:rsidR="00C67ED6" w:rsidRDefault="00C67ED6" w:rsidP="00CB271E">
      <w:pPr>
        <w:pStyle w:val="Normlnweb"/>
        <w:shd w:val="clear" w:color="auto" w:fill="FFFFFF"/>
      </w:pPr>
    </w:p>
    <w:p w14:paraId="14A6DF16" w14:textId="77777777" w:rsidR="00C67ED6" w:rsidRDefault="00C67ED6" w:rsidP="00CB271E">
      <w:pPr>
        <w:pStyle w:val="Normlnweb"/>
        <w:shd w:val="clear" w:color="auto" w:fill="FFFFFF"/>
      </w:pPr>
    </w:p>
    <w:p w14:paraId="60C91B58" w14:textId="77777777" w:rsidR="00C67ED6" w:rsidRDefault="00C67ED6" w:rsidP="00CB271E">
      <w:pPr>
        <w:pStyle w:val="Normlnweb"/>
        <w:shd w:val="clear" w:color="auto" w:fill="FFFFFF"/>
      </w:pPr>
    </w:p>
    <w:p w14:paraId="1E2ADC55" w14:textId="77777777" w:rsidR="00C67ED6" w:rsidRDefault="00C67ED6" w:rsidP="00CB271E">
      <w:pPr>
        <w:pStyle w:val="Normlnweb"/>
        <w:shd w:val="clear" w:color="auto" w:fill="FFFFFF"/>
      </w:pPr>
    </w:p>
    <w:p w14:paraId="6D5368CA" w14:textId="77777777" w:rsidR="00C67ED6" w:rsidRDefault="00C67ED6" w:rsidP="00CB271E">
      <w:pPr>
        <w:pStyle w:val="Normlnweb"/>
        <w:shd w:val="clear" w:color="auto" w:fill="FFFFFF"/>
      </w:pPr>
    </w:p>
    <w:p w14:paraId="33E80B43" w14:textId="7244A417" w:rsidR="00C67ED6" w:rsidRPr="00C67ED6" w:rsidRDefault="00C67ED6" w:rsidP="00CB271E">
      <w:pPr>
        <w:pStyle w:val="Normlnweb"/>
        <w:shd w:val="clear" w:color="auto" w:fill="FFFFFF"/>
        <w:rPr>
          <w:rFonts w:asciiTheme="minorHAnsi" w:hAnsiTheme="minorHAnsi" w:cstheme="minorHAnsi"/>
          <w:sz w:val="32"/>
          <w:szCs w:val="32"/>
        </w:rPr>
      </w:pPr>
      <w:r w:rsidRPr="00C67ED6">
        <w:rPr>
          <w:rFonts w:asciiTheme="minorHAnsi" w:eastAsia="Calibri" w:hAnsiTheme="minorHAnsi" w:cstheme="minorHAnsi"/>
          <w:color w:val="000000"/>
          <w:sz w:val="32"/>
          <w:szCs w:val="32"/>
          <w:lang w:eastAsia="en-US"/>
        </w:rPr>
        <w:lastRenderedPageBreak/>
        <w:t>Závazný postup prací dodá dodavatel:</w:t>
      </w:r>
      <w:r w:rsidRPr="00C67ED6">
        <w:rPr>
          <w:rFonts w:asciiTheme="minorHAnsi" w:eastAsia="Calibri" w:hAnsiTheme="minorHAnsi" w:cstheme="minorHAnsi"/>
          <w:color w:val="000000"/>
          <w:sz w:val="32"/>
          <w:szCs w:val="32"/>
          <w:lang w:eastAsia="en-US"/>
        </w:rPr>
        <w:br/>
        <w:t>Po podpisu smlouvy - objednání vrat</w:t>
      </w:r>
      <w:r w:rsidRPr="00C67ED6">
        <w:rPr>
          <w:rFonts w:asciiTheme="minorHAnsi" w:eastAsia="Calibri" w:hAnsiTheme="minorHAnsi" w:cstheme="minorHAnsi"/>
          <w:color w:val="000000"/>
          <w:sz w:val="32"/>
          <w:szCs w:val="32"/>
          <w:lang w:eastAsia="en-US"/>
        </w:rPr>
        <w:br/>
      </w:r>
      <w:proofErr w:type="gramStart"/>
      <w:r w:rsidRPr="00C67ED6">
        <w:rPr>
          <w:rFonts w:asciiTheme="minorHAnsi" w:eastAsia="Calibri" w:hAnsiTheme="minorHAnsi" w:cstheme="minorHAnsi"/>
          <w:color w:val="000000"/>
          <w:sz w:val="32"/>
          <w:szCs w:val="32"/>
          <w:lang w:eastAsia="en-US"/>
        </w:rPr>
        <w:t>29.7. 2022</w:t>
      </w:r>
      <w:proofErr w:type="gramEnd"/>
      <w:r w:rsidRPr="00C67ED6">
        <w:rPr>
          <w:rFonts w:asciiTheme="minorHAnsi" w:eastAsia="Calibri" w:hAnsiTheme="minorHAnsi" w:cstheme="minorHAnsi"/>
          <w:color w:val="000000"/>
          <w:sz w:val="32"/>
          <w:szCs w:val="32"/>
          <w:lang w:eastAsia="en-US"/>
        </w:rPr>
        <w:t xml:space="preserve"> montáž vrat</w:t>
      </w:r>
      <w:r w:rsidRPr="00C67ED6">
        <w:rPr>
          <w:rFonts w:asciiTheme="minorHAnsi" w:eastAsia="Calibri" w:hAnsiTheme="minorHAnsi" w:cstheme="minorHAnsi"/>
          <w:color w:val="000000"/>
          <w:sz w:val="32"/>
          <w:szCs w:val="32"/>
          <w:lang w:eastAsia="en-US"/>
        </w:rPr>
        <w:br/>
        <w:t>30.7.2022 montáž vrat</w:t>
      </w:r>
      <w:r w:rsidRPr="00C67ED6">
        <w:rPr>
          <w:rFonts w:asciiTheme="minorHAnsi" w:eastAsia="Calibri" w:hAnsiTheme="minorHAnsi" w:cstheme="minorHAnsi"/>
          <w:color w:val="000000"/>
          <w:sz w:val="32"/>
          <w:szCs w:val="32"/>
          <w:lang w:eastAsia="en-US"/>
        </w:rPr>
        <w:br/>
        <w:t>31.7.2022 naprog</w:t>
      </w:r>
      <w:bookmarkStart w:id="0" w:name="_GoBack"/>
      <w:bookmarkEnd w:id="0"/>
      <w:r w:rsidRPr="00C67ED6">
        <w:rPr>
          <w:rFonts w:asciiTheme="minorHAnsi" w:eastAsia="Calibri" w:hAnsiTheme="minorHAnsi" w:cstheme="minorHAnsi"/>
          <w:color w:val="000000"/>
          <w:sz w:val="32"/>
          <w:szCs w:val="32"/>
          <w:lang w:eastAsia="en-US"/>
        </w:rPr>
        <w:t>ramování, seřízení, úklid pracoviště</w:t>
      </w:r>
    </w:p>
    <w:sectPr w:rsidR="00C67ED6" w:rsidRPr="00C67ED6"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40F0"/>
    <w:rsid w:val="002D56B5"/>
    <w:rsid w:val="002F24C9"/>
    <w:rsid w:val="00304015"/>
    <w:rsid w:val="003070A2"/>
    <w:rsid w:val="0030728A"/>
    <w:rsid w:val="00311E78"/>
    <w:rsid w:val="003460BE"/>
    <w:rsid w:val="00347244"/>
    <w:rsid w:val="00355B24"/>
    <w:rsid w:val="003C716B"/>
    <w:rsid w:val="00402CFB"/>
    <w:rsid w:val="004256E8"/>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31CB"/>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67ED6"/>
    <w:rsid w:val="00C82DA7"/>
    <w:rsid w:val="00CA23FB"/>
    <w:rsid w:val="00CB271E"/>
    <w:rsid w:val="00CC6510"/>
    <w:rsid w:val="00CD3FDC"/>
    <w:rsid w:val="00CF36BF"/>
    <w:rsid w:val="00D066CC"/>
    <w:rsid w:val="00D9055B"/>
    <w:rsid w:val="00D9208C"/>
    <w:rsid w:val="00DF2B33"/>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2D40F0"/>
    <w:rPr>
      <w:rFonts w:ascii="Helvetica" w:hAnsi="Helvetica" w:hint="default"/>
      <w:b w:val="0"/>
      <w:bCs w:val="0"/>
      <w:i w:val="0"/>
      <w:iCs w:val="0"/>
      <w:color w:val="000000"/>
      <w:sz w:val="20"/>
      <w:szCs w:val="20"/>
    </w:rPr>
  </w:style>
  <w:style w:type="table" w:styleId="Mkatabulky">
    <w:name w:val="Table Grid"/>
    <w:basedOn w:val="Normlntabulka"/>
    <w:uiPriority w:val="59"/>
    <w:rsid w:val="0086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2D40F0"/>
    <w:rPr>
      <w:rFonts w:ascii="Helvetica" w:hAnsi="Helvetica" w:hint="default"/>
      <w:b w:val="0"/>
      <w:bCs w:val="0"/>
      <w:i w:val="0"/>
      <w:iCs w:val="0"/>
      <w:color w:val="000000"/>
      <w:sz w:val="20"/>
      <w:szCs w:val="20"/>
    </w:rPr>
  </w:style>
  <w:style w:type="table" w:styleId="Mkatabulky">
    <w:name w:val="Table Grid"/>
    <w:basedOn w:val="Normlntabulka"/>
    <w:uiPriority w:val="59"/>
    <w:rsid w:val="0086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478309143">
      <w:bodyDiv w:val="1"/>
      <w:marLeft w:val="0"/>
      <w:marRight w:val="0"/>
      <w:marTop w:val="0"/>
      <w:marBottom w:val="0"/>
      <w:divBdr>
        <w:top w:val="none" w:sz="0" w:space="0" w:color="auto"/>
        <w:left w:val="none" w:sz="0" w:space="0" w:color="auto"/>
        <w:bottom w:val="none" w:sz="0" w:space="0" w:color="auto"/>
        <w:right w:val="none" w:sz="0" w:space="0" w:color="auto"/>
      </w:divBdr>
    </w:div>
    <w:div w:id="749232867">
      <w:bodyDiv w:val="1"/>
      <w:marLeft w:val="0"/>
      <w:marRight w:val="0"/>
      <w:marTop w:val="0"/>
      <w:marBottom w:val="0"/>
      <w:divBdr>
        <w:top w:val="none" w:sz="0" w:space="0" w:color="auto"/>
        <w:left w:val="none" w:sz="0" w:space="0" w:color="auto"/>
        <w:bottom w:val="none" w:sz="0" w:space="0" w:color="auto"/>
        <w:right w:val="none" w:sz="0" w:space="0" w:color="auto"/>
      </w:divBdr>
    </w:div>
    <w:div w:id="787286281">
      <w:bodyDiv w:val="1"/>
      <w:marLeft w:val="0"/>
      <w:marRight w:val="0"/>
      <w:marTop w:val="0"/>
      <w:marBottom w:val="0"/>
      <w:divBdr>
        <w:top w:val="none" w:sz="0" w:space="0" w:color="auto"/>
        <w:left w:val="none" w:sz="0" w:space="0" w:color="auto"/>
        <w:bottom w:val="none" w:sz="0" w:space="0" w:color="auto"/>
        <w:right w:val="none" w:sz="0" w:space="0" w:color="auto"/>
      </w:divBdr>
    </w:div>
    <w:div w:id="790511277">
      <w:bodyDiv w:val="1"/>
      <w:marLeft w:val="0"/>
      <w:marRight w:val="0"/>
      <w:marTop w:val="0"/>
      <w:marBottom w:val="0"/>
      <w:divBdr>
        <w:top w:val="none" w:sz="0" w:space="0" w:color="auto"/>
        <w:left w:val="none" w:sz="0" w:space="0" w:color="auto"/>
        <w:bottom w:val="none" w:sz="0" w:space="0" w:color="auto"/>
        <w:right w:val="none" w:sz="0" w:space="0" w:color="auto"/>
      </w:divBdr>
    </w:div>
    <w:div w:id="1186477600">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533062">
      <w:bodyDiv w:val="1"/>
      <w:marLeft w:val="0"/>
      <w:marRight w:val="0"/>
      <w:marTop w:val="0"/>
      <w:marBottom w:val="0"/>
      <w:divBdr>
        <w:top w:val="none" w:sz="0" w:space="0" w:color="auto"/>
        <w:left w:val="none" w:sz="0" w:space="0" w:color="auto"/>
        <w:bottom w:val="none" w:sz="0" w:space="0" w:color="auto"/>
        <w:right w:val="none" w:sz="0" w:space="0" w:color="auto"/>
      </w:divBdr>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26547621">
      <w:bodyDiv w:val="1"/>
      <w:marLeft w:val="0"/>
      <w:marRight w:val="0"/>
      <w:marTop w:val="0"/>
      <w:marBottom w:val="0"/>
      <w:divBdr>
        <w:top w:val="none" w:sz="0" w:space="0" w:color="auto"/>
        <w:left w:val="none" w:sz="0" w:space="0" w:color="auto"/>
        <w:bottom w:val="none" w:sz="0" w:space="0" w:color="auto"/>
        <w:right w:val="none" w:sz="0" w:space="0" w:color="auto"/>
      </w:divBdr>
    </w:div>
    <w:div w:id="1629780704">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718362">
      <w:bodyDiv w:val="1"/>
      <w:marLeft w:val="0"/>
      <w:marRight w:val="0"/>
      <w:marTop w:val="0"/>
      <w:marBottom w:val="0"/>
      <w:divBdr>
        <w:top w:val="none" w:sz="0" w:space="0" w:color="auto"/>
        <w:left w:val="none" w:sz="0" w:space="0" w:color="auto"/>
        <w:bottom w:val="none" w:sz="0" w:space="0" w:color="auto"/>
        <w:right w:val="none" w:sz="0" w:space="0" w:color="auto"/>
      </w:divBdr>
    </w:div>
    <w:div w:id="1929852502">
      <w:bodyDiv w:val="1"/>
      <w:marLeft w:val="0"/>
      <w:marRight w:val="0"/>
      <w:marTop w:val="0"/>
      <w:marBottom w:val="0"/>
      <w:divBdr>
        <w:top w:val="none" w:sz="0" w:space="0" w:color="auto"/>
        <w:left w:val="none" w:sz="0" w:space="0" w:color="auto"/>
        <w:bottom w:val="none" w:sz="0" w:space="0" w:color="auto"/>
        <w:right w:val="none" w:sz="0" w:space="0" w:color="auto"/>
      </w:divBdr>
    </w:div>
    <w:div w:id="2053529977">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3070</Words>
  <Characters>18117</Characters>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2022-05-24T12:54:00Z</cp:lastPrinted>
  <dcterms:created xsi:type="dcterms:W3CDTF">2022-05-24T12:56:00Z</dcterms:created>
  <dcterms:modified xsi:type="dcterms:W3CDTF">2022-05-26T11:43:00Z</dcterms:modified>
</cp:coreProperties>
</file>