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035" w:right="102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35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1190400113</w:t>
      </w:r>
    </w:p>
    <w:p>
      <w:pPr>
        <w:spacing w:line="425" w:lineRule="exact" w:before="2"/>
        <w:ind w:left="103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3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2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02" w:val="left" w:leader="none"/>
        </w:tabs>
        <w:spacing w:before="1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66" w:val="right" w:leader="none"/>
        </w:tabs>
        <w:spacing w:line="265" w:lineRule="exact"/>
        <w:ind w:left="122"/>
      </w:pPr>
      <w:r>
        <w:rPr/>
        <w:t>IČO:</w:t>
        <w:tab/>
        <w:t>00020729</w:t>
      </w:r>
    </w:p>
    <w:p>
      <w:pPr>
        <w:pStyle w:val="BodyText"/>
        <w:tabs>
          <w:tab w:pos="3002" w:val="left" w:leader="none"/>
        </w:tabs>
        <w:spacing w:before="1"/>
        <w:ind w:left="12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2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Velký</w:t>
      </w:r>
      <w:r>
        <w:rPr>
          <w:spacing w:val="-3"/>
        </w:rPr>
        <w:t> </w:t>
      </w:r>
      <w:r>
        <w:rPr/>
        <w:t>Valtinov</w:t>
      </w:r>
    </w:p>
    <w:p>
      <w:pPr>
        <w:pStyle w:val="BodyText"/>
        <w:tabs>
          <w:tab w:pos="3002" w:val="left" w:leader="none"/>
        </w:tabs>
        <w:spacing w:before="1"/>
        <w:ind w:left="122" w:right="65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Velký</w:t>
      </w:r>
      <w:r>
        <w:rPr>
          <w:spacing w:val="-4"/>
        </w:rPr>
        <w:t> </w:t>
      </w:r>
      <w:r>
        <w:rPr/>
        <w:t>Valtinov,</w:t>
      </w:r>
      <w:r>
        <w:rPr>
          <w:spacing w:val="-2"/>
        </w:rPr>
        <w:t> </w:t>
      </w:r>
      <w:r>
        <w:rPr/>
        <w:t>Velký</w:t>
      </w:r>
      <w:r>
        <w:rPr>
          <w:spacing w:val="-3"/>
        </w:rPr>
        <w:t> </w:t>
      </w:r>
      <w:r>
        <w:rPr/>
        <w:t>Valtinov</w:t>
      </w:r>
      <w:r>
        <w:rPr>
          <w:spacing w:val="-2"/>
        </w:rPr>
        <w:t> </w:t>
      </w:r>
      <w:r>
        <w:rPr/>
        <w:t>46,</w:t>
      </w:r>
      <w:r>
        <w:rPr>
          <w:spacing w:val="-3"/>
        </w:rPr>
        <w:t> </w:t>
      </w:r>
      <w:r>
        <w:rPr/>
        <w:t>471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Velký</w:t>
      </w:r>
      <w:r>
        <w:rPr>
          <w:spacing w:val="-4"/>
        </w:rPr>
        <w:t> </w:t>
      </w:r>
      <w:r>
        <w:rPr/>
        <w:t>Valtinov</w:t>
      </w:r>
      <w:r>
        <w:rPr>
          <w:spacing w:val="-51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00672891</w:t>
      </w:r>
    </w:p>
    <w:p>
      <w:pPr>
        <w:pStyle w:val="BodyText"/>
        <w:tabs>
          <w:tab w:pos="3002" w:val="left" w:leader="none"/>
        </w:tabs>
        <w:spacing w:before="1"/>
        <w:ind w:left="122"/>
      </w:pPr>
      <w:r>
        <w:rPr/>
        <w:t>zastoupená:</w:t>
        <w:tab/>
        <w:t>Josefem</w:t>
      </w:r>
      <w:r>
        <w:rPr>
          <w:spacing w:val="52"/>
        </w:rPr>
        <w:t> </w:t>
      </w:r>
      <w:r>
        <w:rPr/>
        <w:t>L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c 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2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2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7"/>
        </w:rPr>
        <w:t> </w:t>
      </w:r>
      <w:r>
        <w:rPr/>
        <w:t>1190400113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6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3"/>
        </w:rPr>
        <w:t> </w:t>
      </w:r>
      <w:r>
        <w:rPr/>
        <w:t>15.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0" w:val="left" w:leader="none"/>
        </w:tabs>
        <w:spacing w:line="240" w:lineRule="auto" w:before="188" w:after="0"/>
        <w:ind w:left="54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3 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49"/>
      </w:pPr>
      <w:r>
        <w:rPr/>
        <w:t>„Při</w:t>
      </w:r>
      <w:r>
        <w:rPr>
          <w:spacing w:val="-4"/>
        </w:rPr>
        <w:t> </w:t>
      </w:r>
      <w:r>
        <w:rPr/>
        <w:t>splnění</w:t>
      </w:r>
      <w:r>
        <w:rPr>
          <w:spacing w:val="-5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4"/>
        </w:rPr>
        <w:t> </w:t>
      </w:r>
      <w:r>
        <w:rPr/>
        <w:t>poskytne</w:t>
      </w:r>
      <w:r>
        <w:rPr>
          <w:spacing w:val="-5"/>
        </w:rPr>
        <w:t> </w:t>
      </w:r>
      <w:r>
        <w:rPr/>
        <w:t>Fond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takto:</w:t>
      </w:r>
    </w:p>
    <w:p>
      <w:pPr>
        <w:pStyle w:val="BodyText"/>
        <w:spacing w:before="1"/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8"/>
        <w:gridCol w:w="4686"/>
      </w:tblGrid>
      <w:tr>
        <w:trPr>
          <w:trHeight w:val="385" w:hRule="atLeast"/>
        </w:trPr>
        <w:tc>
          <w:tcPr>
            <w:tcW w:w="4378" w:type="dxa"/>
          </w:tcPr>
          <w:p>
            <w:pPr>
              <w:pStyle w:val="TableParagraph"/>
              <w:ind w:left="19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686" w:type="dxa"/>
          </w:tcPr>
          <w:p>
            <w:pPr>
              <w:pStyle w:val="TableParagraph"/>
              <w:ind w:left="1705" w:right="169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6" w:hRule="atLeast"/>
        </w:trPr>
        <w:tc>
          <w:tcPr>
            <w:tcW w:w="4378" w:type="dxa"/>
          </w:tcPr>
          <w:p>
            <w:pPr>
              <w:pStyle w:val="TableParagraph"/>
              <w:ind w:left="19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686" w:type="dxa"/>
          </w:tcPr>
          <w:p>
            <w:pPr>
              <w:pStyle w:val="TableParagraph"/>
              <w:ind w:right="169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492 401,71</w:t>
            </w:r>
          </w:p>
        </w:tc>
      </w:tr>
      <w:tr>
        <w:trPr>
          <w:trHeight w:val="385" w:hRule="atLeast"/>
        </w:trPr>
        <w:tc>
          <w:tcPr>
            <w:tcW w:w="4378" w:type="dxa"/>
          </w:tcPr>
          <w:p>
            <w:pPr>
              <w:pStyle w:val="TableParagraph"/>
              <w:ind w:left="197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686" w:type="dxa"/>
          </w:tcPr>
          <w:p>
            <w:pPr>
              <w:pStyle w:val="TableParagraph"/>
              <w:ind w:right="169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558 588,09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549"/>
      </w:pPr>
      <w:r>
        <w:rPr/>
        <w:t>Přitom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konstatuje,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roce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poskytl</w:t>
      </w:r>
      <w:r>
        <w:rPr>
          <w:spacing w:val="-3"/>
        </w:rPr>
        <w:t> </w:t>
      </w:r>
      <w:r>
        <w:rPr/>
        <w:t>Fond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2"/>
        </w:rPr>
        <w:t> </w:t>
      </w:r>
      <w:r>
        <w:rPr/>
        <w:t>140</w:t>
      </w:r>
      <w:r>
        <w:rPr>
          <w:spacing w:val="-1"/>
        </w:rPr>
        <w:t> </w:t>
      </w:r>
      <w:r>
        <w:rPr/>
        <w:t>249,96</w:t>
      </w:r>
      <w:r>
        <w:rPr>
          <w:spacing w:val="-1"/>
        </w:rPr>
        <w:t> </w:t>
      </w:r>
      <w:r>
        <w:rPr/>
        <w:t>Kč.“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0" w:val="left" w:leader="none"/>
        </w:tabs>
        <w:spacing w:line="240" w:lineRule="auto" w:before="0" w:after="0"/>
        <w:ind w:left="549" w:right="0" w:hanging="428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ruší a</w:t>
      </w:r>
      <w:r>
        <w:rPr>
          <w:spacing w:val="-3"/>
          <w:sz w:val="20"/>
        </w:rPr>
        <w:t> </w:t>
      </w:r>
      <w:r>
        <w:rPr>
          <w:sz w:val="20"/>
        </w:rPr>
        <w:t>text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nahrazuje</w:t>
      </w:r>
      <w:r>
        <w:rPr>
          <w:spacing w:val="-3"/>
          <w:sz w:val="20"/>
        </w:rPr>
        <w:t> </w:t>
      </w:r>
      <w:r>
        <w:rPr>
          <w:sz w:val="20"/>
        </w:rPr>
        <w:t>přílohou č.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tohoto</w:t>
      </w:r>
      <w:r>
        <w:rPr>
          <w:spacing w:val="-2"/>
          <w:sz w:val="20"/>
        </w:rPr>
        <w:t> </w:t>
      </w:r>
      <w:r>
        <w:rPr>
          <w:sz w:val="20"/>
        </w:rPr>
        <w:t>Dodatku.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0" w:val="left" w:leader="none"/>
        </w:tabs>
        <w:spacing w:line="240" w:lineRule="auto" w:before="0" w:after="0"/>
        <w:ind w:left="54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58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79" w:after="0"/>
        <w:ind w:left="54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4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98" w:val="left" w:leader="none"/>
        </w:tabs>
        <w:spacing w:before="1"/>
        <w:ind w:left="12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2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82" w:val="left" w:leader="none"/>
          <w:tab w:pos="6602" w:val="left" w:leader="none"/>
        </w:tabs>
        <w:ind w:left="12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22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Specifické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vlastnický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v</w:t>
      </w:r>
      <w:r>
        <w:rPr>
          <w:spacing w:val="1"/>
        </w:rPr>
        <w:t> </w:t>
      </w:r>
      <w:r>
        <w:rPr/>
        <w:t>souvislosti</w:t>
      </w:r>
      <w:r>
        <w:rPr>
          <w:spacing w:val="-6"/>
        </w:rPr>
        <w:t> </w:t>
      </w:r>
      <w:r>
        <w:rPr/>
        <w:t>s SVS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aplikací</w:t>
      </w:r>
      <w:r>
        <w:rPr>
          <w:spacing w:val="-7"/>
        </w:rPr>
        <w:t> </w:t>
      </w:r>
      <w:r>
        <w:rPr/>
        <w:t>servisního</w:t>
      </w:r>
    </w:p>
    <w:p>
      <w:pPr>
        <w:pStyle w:val="BodyText"/>
        <w:spacing w:before="27"/>
        <w:ind w:left="122"/>
      </w:pPr>
      <w:r>
        <w:rPr/>
        <w:t>prvku</w:t>
      </w:r>
    </w:p>
    <w:p>
      <w:pPr>
        <w:spacing w:after="0"/>
        <w:sectPr>
          <w:pgSz w:w="12240" w:h="15840"/>
          <w:pgMar w:header="0" w:footer="957" w:top="1320" w:bottom="1140" w:left="1580" w:right="1020"/>
        </w:sectPr>
      </w:pPr>
    </w:p>
    <w:p>
      <w:pPr>
        <w:pStyle w:val="BodyText"/>
        <w:spacing w:before="73"/>
        <w:ind w:left="122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Specifické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vlastnický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v</w:t>
      </w:r>
      <w:r>
        <w:rPr>
          <w:spacing w:val="1"/>
        </w:rPr>
        <w:t> </w:t>
      </w:r>
      <w:r>
        <w:rPr/>
        <w:t>souvislosti</w:t>
      </w:r>
      <w:r>
        <w:rPr>
          <w:spacing w:val="-6"/>
        </w:rPr>
        <w:t> </w:t>
      </w:r>
      <w:r>
        <w:rPr/>
        <w:t>s SVS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aplikací</w:t>
      </w:r>
      <w:r>
        <w:rPr>
          <w:spacing w:val="-7"/>
        </w:rPr>
        <w:t> </w:t>
      </w:r>
      <w:r>
        <w:rPr/>
        <w:t>servisního</w:t>
      </w:r>
    </w:p>
    <w:p>
      <w:pPr>
        <w:pStyle w:val="BodyText"/>
        <w:spacing w:before="26"/>
        <w:ind w:left="122"/>
      </w:pPr>
      <w:r>
        <w:rPr/>
        <w:t>prvku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4" w:lineRule="auto"/>
      </w:pPr>
      <w:r>
        <w:rPr/>
        <w:t>Specifické</w:t>
      </w:r>
      <w:r>
        <w:rPr>
          <w:spacing w:val="26"/>
        </w:rPr>
        <w:t> </w:t>
      </w:r>
      <w:r>
        <w:rPr/>
        <w:t>podmínky</w:t>
      </w:r>
      <w:r>
        <w:rPr>
          <w:spacing w:val="26"/>
        </w:rPr>
        <w:t> </w:t>
      </w:r>
      <w:r>
        <w:rPr/>
        <w:t>provozování</w:t>
      </w:r>
      <w:r>
        <w:rPr>
          <w:spacing w:val="25"/>
        </w:rPr>
        <w:t> </w:t>
      </w:r>
      <w:r>
        <w:rPr/>
        <w:t>pro</w:t>
      </w:r>
      <w:r>
        <w:rPr>
          <w:spacing w:val="26"/>
        </w:rPr>
        <w:t> </w:t>
      </w:r>
      <w:r>
        <w:rPr/>
        <w:t>vlastnický</w:t>
      </w:r>
      <w:r>
        <w:rPr>
          <w:spacing w:val="28"/>
        </w:rPr>
        <w:t> </w:t>
      </w:r>
      <w:r>
        <w:rPr/>
        <w:t>model</w:t>
      </w:r>
      <w:r>
        <w:rPr>
          <w:spacing w:val="26"/>
        </w:rPr>
        <w:t> </w:t>
      </w:r>
      <w:r>
        <w:rPr/>
        <w:t>provozování</w:t>
      </w:r>
      <w:r>
        <w:rPr>
          <w:spacing w:val="26"/>
        </w:rPr>
        <w:t> </w:t>
      </w:r>
      <w:r>
        <w:rPr/>
        <w:t>v</w:t>
      </w:r>
      <w:r>
        <w:rPr>
          <w:spacing w:val="4"/>
        </w:rPr>
        <w:t> </w:t>
      </w:r>
      <w:r>
        <w:rPr/>
        <w:t>souvislosti</w:t>
      </w:r>
      <w:r>
        <w:rPr>
          <w:spacing w:val="26"/>
        </w:rPr>
        <w:t> </w:t>
      </w:r>
      <w:r>
        <w:rPr/>
        <w:t>s</w:t>
      </w:r>
      <w:r>
        <w:rPr>
          <w:spacing w:val="-1"/>
        </w:rPr>
        <w:t> </w:t>
      </w:r>
      <w:r>
        <w:rPr/>
        <w:t>SVS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aplikací</w:t>
      </w:r>
      <w:r>
        <w:rPr>
          <w:spacing w:val="-53"/>
        </w:rPr>
        <w:t> </w:t>
      </w:r>
      <w:r>
        <w:rPr/>
        <w:t>servisního</w:t>
      </w:r>
      <w:r>
        <w:rPr>
          <w:spacing w:val="-1"/>
        </w:rPr>
        <w:t> </w:t>
      </w:r>
      <w:r>
        <w:rPr/>
        <w:t>prvku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4" w:lineRule="auto" w:before="0" w:after="0"/>
        <w:ind w:left="549" w:right="110" w:hanging="42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> </w:t>
      </w:r>
      <w:r>
        <w:rPr>
          <w:sz w:val="20"/>
        </w:rPr>
        <w:t>infrastruktura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prvního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1"/>
          <w:sz w:val="20"/>
        </w:rPr>
        <w:t> </w:t>
      </w:r>
      <w:r>
        <w:rPr>
          <w:sz w:val="20"/>
        </w:rPr>
        <w:t>roku</w:t>
      </w:r>
      <w:r>
        <w:rPr>
          <w:spacing w:val="11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nabytí</w:t>
      </w:r>
      <w:r>
        <w:rPr>
          <w:spacing w:val="11"/>
          <w:sz w:val="20"/>
        </w:rPr>
        <w:t> </w:t>
      </w:r>
      <w:r>
        <w:rPr>
          <w:sz w:val="20"/>
        </w:rPr>
        <w:t>právní</w:t>
      </w:r>
      <w:r>
        <w:rPr>
          <w:spacing w:val="10"/>
          <w:sz w:val="20"/>
        </w:rPr>
        <w:t> </w:t>
      </w:r>
      <w:r>
        <w:rPr>
          <w:sz w:val="20"/>
        </w:rPr>
        <w:t>moci</w:t>
      </w:r>
      <w:r>
        <w:rPr>
          <w:spacing w:val="11"/>
          <w:sz w:val="20"/>
        </w:rPr>
        <w:t> </w:t>
      </w:r>
      <w:r>
        <w:rPr>
          <w:sz w:val="20"/>
        </w:rPr>
        <w:t>posledního</w:t>
      </w:r>
      <w:r>
        <w:rPr>
          <w:spacing w:val="12"/>
          <w:sz w:val="20"/>
        </w:rPr>
        <w:t> </w:t>
      </w:r>
      <w:r>
        <w:rPr>
          <w:sz w:val="20"/>
        </w:rPr>
        <w:t>kolaudačního</w:t>
      </w:r>
      <w:r>
        <w:rPr>
          <w:spacing w:val="12"/>
          <w:sz w:val="20"/>
        </w:rPr>
        <w:t> </w:t>
      </w:r>
      <w:r>
        <w:rPr>
          <w:sz w:val="20"/>
        </w:rPr>
        <w:t>souhlasu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9"/>
          <w:sz w:val="20"/>
        </w:rPr>
        <w:t> </w:t>
      </w:r>
      <w:r>
        <w:rPr>
          <w:sz w:val="20"/>
        </w:rPr>
        <w:t>projektu</w:t>
      </w:r>
      <w:r>
        <w:rPr>
          <w:spacing w:val="11"/>
          <w:sz w:val="20"/>
        </w:rPr>
        <w:t> </w:t>
      </w:r>
      <w:r>
        <w:rPr>
          <w:sz w:val="20"/>
        </w:rPr>
        <w:t>provozována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vlastnického</w:t>
      </w:r>
      <w:r>
        <w:rPr>
          <w:spacing w:val="-8"/>
          <w:sz w:val="20"/>
        </w:rPr>
        <w:t> </w:t>
      </w:r>
      <w:r>
        <w:rPr>
          <w:sz w:val="20"/>
        </w:rPr>
        <w:t>modelu,</w:t>
      </w:r>
      <w:r>
        <w:rPr>
          <w:spacing w:val="-9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platit,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subjekt</w:t>
      </w:r>
      <w:r>
        <w:rPr>
          <w:spacing w:val="-10"/>
          <w:sz w:val="20"/>
        </w:rPr>
        <w:t> </w:t>
      </w:r>
      <w:r>
        <w:rPr>
          <w:sz w:val="20"/>
        </w:rPr>
        <w:t>zodpovědný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provozování,</w:t>
      </w:r>
      <w:r>
        <w:rPr>
          <w:spacing w:val="-9"/>
          <w:sz w:val="20"/>
        </w:rPr>
        <w:t> </w:t>
      </w:r>
      <w:r>
        <w:rPr>
          <w:sz w:val="20"/>
        </w:rPr>
        <w:t>Severočeské</w:t>
      </w:r>
      <w:r>
        <w:rPr>
          <w:spacing w:val="-53"/>
          <w:sz w:val="20"/>
        </w:rPr>
        <w:t> </w:t>
      </w:r>
      <w:r>
        <w:rPr>
          <w:sz w:val="20"/>
        </w:rPr>
        <w:t>vodovody a kanalizace, a.s. (dále jen „SČVaK“), je 100% vlastněn veřejným vlastníkem, kterým je</w:t>
      </w:r>
      <w:r>
        <w:rPr>
          <w:spacing w:val="1"/>
          <w:sz w:val="20"/>
        </w:rPr>
        <w:t> </w:t>
      </w:r>
      <w:r>
        <w:rPr>
          <w:sz w:val="20"/>
        </w:rPr>
        <w:t>Severočeská vodárenská společnost, a.s. ( dále jen „SVS“ ), a infrastrukturu provozuje na základě</w:t>
      </w:r>
      <w:r>
        <w:rPr>
          <w:spacing w:val="1"/>
          <w:sz w:val="20"/>
        </w:rPr>
        <w:t> </w:t>
      </w:r>
      <w:r>
        <w:rPr>
          <w:sz w:val="20"/>
        </w:rPr>
        <w:t>smlouvy nebo jiného místně platného pověření a přímo drží povolení k provozování. (k modelům</w:t>
      </w:r>
      <w:r>
        <w:rPr>
          <w:spacing w:val="1"/>
          <w:sz w:val="20"/>
        </w:rPr>
        <w:t> </w:t>
      </w:r>
      <w:r>
        <w:rPr>
          <w:sz w:val="20"/>
        </w:rPr>
        <w:t>provozování infrastruktury a podmínkám stanoveným pro vlastnický model viz dokument „Metodika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žadatele</w:t>
      </w:r>
      <w:r>
        <w:rPr>
          <w:spacing w:val="-3"/>
          <w:sz w:val="20"/>
        </w:rPr>
        <w:t> </w:t>
      </w:r>
      <w:r>
        <w:rPr>
          <w:sz w:val="20"/>
        </w:rPr>
        <w:t>rozvádějící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přílohy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Programového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1"/>
          <w:sz w:val="20"/>
        </w:rPr>
        <w:t> </w:t>
      </w:r>
      <w:r>
        <w:rPr>
          <w:sz w:val="20"/>
        </w:rPr>
        <w:t>2014</w:t>
      </w:r>
      <w:r>
        <w:rPr>
          <w:spacing w:val="7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2020“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2"/>
        <w:ind w:left="549" w:right="109"/>
        <w:jc w:val="both"/>
      </w:pPr>
      <w:r>
        <w:rPr/>
        <w:t>„Metodika“,</w:t>
      </w:r>
      <w:r>
        <w:rPr>
          <w:spacing w:val="1"/>
        </w:rPr>
        <w:t> </w:t>
      </w:r>
      <w:r>
        <w:rPr/>
        <w:t>která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součástí</w:t>
      </w:r>
      <w:r>
        <w:rPr>
          <w:spacing w:val="1"/>
        </w:rPr>
        <w:t> </w:t>
      </w:r>
      <w:r>
        <w:rPr/>
        <w:t>PrŽaP).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účely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podmínek</w:t>
      </w:r>
      <w:r>
        <w:rPr>
          <w:spacing w:val="1"/>
        </w:rPr>
        <w:t> </w:t>
      </w:r>
      <w:r>
        <w:rPr/>
        <w:t>týkajících</w:t>
      </w:r>
      <w:r>
        <w:rPr>
          <w:spacing w:val="1"/>
        </w:rPr>
        <w:t> </w:t>
      </w:r>
      <w:r>
        <w:rPr/>
        <w:t>se provozování</w:t>
      </w:r>
      <w:r>
        <w:rPr>
          <w:spacing w:val="1"/>
        </w:rPr>
        <w:t> </w:t>
      </w:r>
      <w:r>
        <w:rPr>
          <w:spacing w:val="-1"/>
        </w:rPr>
        <w:t>vodohospodářské</w:t>
      </w:r>
      <w:r>
        <w:rPr>
          <w:spacing w:val="-12"/>
        </w:rPr>
        <w:t> </w:t>
      </w:r>
      <w:r>
        <w:rPr>
          <w:spacing w:val="-1"/>
        </w:rPr>
        <w:t>infrastruktury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vodohospodářskou</w:t>
      </w:r>
      <w:r>
        <w:rPr>
          <w:spacing w:val="-11"/>
        </w:rPr>
        <w:t> </w:t>
      </w:r>
      <w:r>
        <w:rPr/>
        <w:t>infrastrukturou</w:t>
      </w:r>
      <w:r>
        <w:rPr>
          <w:spacing w:val="-11"/>
        </w:rPr>
        <w:t> </w:t>
      </w:r>
      <w:r>
        <w:rPr/>
        <w:t>rozumí</w:t>
      </w:r>
      <w:r>
        <w:rPr>
          <w:spacing w:val="-11"/>
        </w:rPr>
        <w:t> </w:t>
      </w:r>
      <w:r>
        <w:rPr/>
        <w:t>celá</w:t>
      </w:r>
      <w:r>
        <w:rPr>
          <w:spacing w:val="-8"/>
        </w:rPr>
        <w:t> </w:t>
      </w:r>
      <w:r>
        <w:rPr/>
        <w:t>složka</w:t>
      </w:r>
      <w:r>
        <w:rPr>
          <w:spacing w:val="-12"/>
        </w:rPr>
        <w:t> </w:t>
      </w:r>
      <w:r>
        <w:rPr/>
        <w:t>infrastruktury</w:t>
      </w:r>
      <w:r>
        <w:rPr>
          <w:spacing w:val="-53"/>
        </w:rPr>
        <w:t> </w:t>
      </w:r>
      <w:r>
        <w:rPr/>
        <w:t>pořízené (rekonstruované) s podporou poskytnutou podle této Smlouvy a Rozhodnutí (podpořená</w:t>
      </w:r>
      <w:r>
        <w:rPr>
          <w:spacing w:val="1"/>
        </w:rPr>
        <w:t> </w:t>
      </w:r>
      <w:r>
        <w:rPr/>
        <w:t>infrastruktura) a veškerá další infrastruktura provozovaná v této složce na území relevantní obce</w:t>
      </w:r>
      <w:r>
        <w:rPr>
          <w:spacing w:val="1"/>
        </w:rPr>
        <w:t> </w:t>
      </w:r>
      <w:r>
        <w:rPr/>
        <w:t>(podrobněji viz Metodika) společně s podpořenou infrastrukturou v rámci podpořeného vlastnického</w:t>
      </w:r>
      <w:r>
        <w:rPr>
          <w:spacing w:val="1"/>
        </w:rPr>
        <w:t> </w:t>
      </w:r>
      <w:r>
        <w:rPr/>
        <w:t>modelu</w:t>
      </w:r>
      <w:r>
        <w:rPr>
          <w:spacing w:val="-2"/>
        </w:rPr>
        <w:t> </w:t>
      </w:r>
      <w:r>
        <w:rPr/>
        <w:t>provozování.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4" w:lineRule="auto" w:before="0" w:after="0"/>
        <w:ind w:left="549" w:right="111" w:hanging="428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> </w:t>
      </w:r>
      <w:r>
        <w:rPr>
          <w:sz w:val="20"/>
        </w:rPr>
        <w:t>posledního</w:t>
      </w:r>
      <w:r>
        <w:rPr>
          <w:spacing w:val="19"/>
          <w:sz w:val="20"/>
        </w:rPr>
        <w:t> </w:t>
      </w:r>
      <w:r>
        <w:rPr>
          <w:sz w:val="20"/>
        </w:rPr>
        <w:t>kolaudačního</w:t>
      </w:r>
      <w:r>
        <w:rPr>
          <w:spacing w:val="19"/>
          <w:sz w:val="20"/>
        </w:rPr>
        <w:t> </w:t>
      </w:r>
      <w:r>
        <w:rPr>
          <w:sz w:val="20"/>
        </w:rPr>
        <w:t>souhlasu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19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zabezpečena</w:t>
      </w:r>
      <w:r>
        <w:rPr>
          <w:spacing w:val="18"/>
          <w:sz w:val="20"/>
        </w:rPr>
        <w:t> </w:t>
      </w:r>
      <w:r>
        <w:rPr>
          <w:sz w:val="20"/>
        </w:rPr>
        <w:t>finanční</w:t>
      </w:r>
      <w:r>
        <w:rPr>
          <w:spacing w:val="19"/>
          <w:sz w:val="20"/>
        </w:rPr>
        <w:t> </w:t>
      </w:r>
      <w:r>
        <w:rPr>
          <w:sz w:val="20"/>
        </w:rPr>
        <w:t>udržitelnost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19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Fondem.</w:t>
      </w:r>
      <w:r>
        <w:rPr>
          <w:spacing w:val="19"/>
          <w:sz w:val="20"/>
        </w:rPr>
        <w:t> </w:t>
      </w:r>
      <w:r>
        <w:rPr>
          <w:sz w:val="20"/>
        </w:rPr>
        <w:t>Změna</w:t>
      </w:r>
      <w:r>
        <w:rPr>
          <w:spacing w:val="19"/>
          <w:sz w:val="20"/>
        </w:rPr>
        <w:t> </w:t>
      </w:r>
      <w:r>
        <w:rPr>
          <w:sz w:val="20"/>
        </w:rPr>
        <w:t>výše</w:t>
      </w:r>
      <w:r>
        <w:rPr>
          <w:spacing w:val="18"/>
          <w:sz w:val="20"/>
        </w:rPr>
        <w:t> </w:t>
      </w:r>
      <w:r>
        <w:rPr>
          <w:sz w:val="20"/>
        </w:rPr>
        <w:t>prostředků</w:t>
      </w:r>
      <w:r>
        <w:rPr>
          <w:spacing w:val="20"/>
          <w:sz w:val="20"/>
        </w:rPr>
        <w:t> </w:t>
      </w:r>
      <w:r>
        <w:rPr>
          <w:sz w:val="20"/>
        </w:rPr>
        <w:t>na</w:t>
      </w:r>
      <w:r>
        <w:rPr>
          <w:spacing w:val="19"/>
          <w:sz w:val="20"/>
        </w:rPr>
        <w:t> </w:t>
      </w:r>
      <w:r>
        <w:rPr>
          <w:sz w:val="20"/>
        </w:rPr>
        <w:t>obnovu</w:t>
      </w:r>
      <w:r>
        <w:rPr>
          <w:spacing w:val="20"/>
          <w:sz w:val="20"/>
        </w:rPr>
        <w:t> </w:t>
      </w:r>
      <w:r>
        <w:rPr>
          <w:sz w:val="20"/>
        </w:rPr>
        <w:t>vodovodů</w:t>
      </w:r>
      <w:r>
        <w:rPr>
          <w:spacing w:val="20"/>
          <w:sz w:val="20"/>
        </w:rPr>
        <w:t> </w:t>
      </w:r>
      <w:r>
        <w:rPr>
          <w:sz w:val="20"/>
        </w:rPr>
        <w:t>a/nebo</w:t>
      </w:r>
      <w:r>
        <w:rPr>
          <w:spacing w:val="21"/>
          <w:sz w:val="20"/>
        </w:rPr>
        <w:t> </w:t>
      </w:r>
      <w:r>
        <w:rPr>
          <w:sz w:val="20"/>
        </w:rPr>
        <w:t>kanalizací</w:t>
      </w:r>
      <w:r>
        <w:rPr>
          <w:spacing w:val="-5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přípustné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důvodu:</w:t>
      </w: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64" w:lineRule="auto" w:before="120" w:after="0"/>
        <w:ind w:left="688" w:right="120" w:hanging="14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> </w:t>
      </w:r>
      <w:r>
        <w:rPr>
          <w:sz w:val="20"/>
        </w:rPr>
        <w:t>a/nebo stočné,</w:t>
      </w:r>
      <w:r>
        <w:rPr>
          <w:spacing w:val="-1"/>
          <w:sz w:val="20"/>
        </w:rPr>
        <w:t> </w:t>
      </w:r>
      <w:r>
        <w:rPr>
          <w:sz w:val="20"/>
        </w:rPr>
        <w:t>nebo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64" w:lineRule="auto" w:before="120" w:after="0"/>
        <w:ind w:left="688" w:right="114" w:hanging="140"/>
        <w:jc w:val="both"/>
        <w:rPr>
          <w:sz w:val="20"/>
        </w:rPr>
      </w:pPr>
      <w:r>
        <w:rPr>
          <w:sz w:val="20"/>
        </w:rPr>
        <w:t>snížení na úroveň, které prokazatelně vytváří zdroje pro správu, obnovu a případné rozšíření</w:t>
      </w:r>
      <w:r>
        <w:rPr>
          <w:spacing w:val="1"/>
          <w:sz w:val="20"/>
        </w:rPr>
        <w:t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1"/>
          <w:sz w:val="20"/>
        </w:rPr>
        <w:t> </w:t>
      </w:r>
      <w:r>
        <w:rPr>
          <w:sz w:val="20"/>
        </w:rPr>
        <w:t>navrženou</w:t>
      </w:r>
      <w:r>
        <w:rPr>
          <w:spacing w:val="-1"/>
          <w:sz w:val="20"/>
        </w:rPr>
        <w:t> </w:t>
      </w:r>
      <w:r>
        <w:rPr>
          <w:sz w:val="20"/>
        </w:rPr>
        <w:t>odchylku odsouhlasil.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4" w:lineRule="auto" w:before="119" w:after="0"/>
        <w:ind w:left="549" w:right="111" w:hanging="428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> </w:t>
      </w:r>
      <w:r>
        <w:rPr>
          <w:sz w:val="20"/>
        </w:rPr>
        <w:t>příjem</w:t>
      </w:r>
      <w:r>
        <w:rPr>
          <w:spacing w:val="-3"/>
          <w:sz w:val="20"/>
        </w:rPr>
        <w:t> </w:t>
      </w:r>
      <w:r>
        <w:rPr>
          <w:sz w:val="20"/>
        </w:rPr>
        <w:t>(případně</w:t>
      </w:r>
      <w:r>
        <w:rPr>
          <w:spacing w:val="-5"/>
          <w:sz w:val="20"/>
        </w:rPr>
        <w:t> </w:t>
      </w:r>
      <w:r>
        <w:rPr>
          <w:sz w:val="20"/>
        </w:rPr>
        <w:t>nájemné)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provozování</w:t>
      </w:r>
      <w:r>
        <w:rPr>
          <w:spacing w:val="-5"/>
          <w:sz w:val="20"/>
        </w:rPr>
        <w:t> </w:t>
      </w:r>
      <w:r>
        <w:rPr>
          <w:sz w:val="20"/>
        </w:rPr>
        <w:t>vodohospodářské</w:t>
      </w:r>
      <w:r>
        <w:rPr>
          <w:spacing w:val="-5"/>
          <w:sz w:val="20"/>
        </w:rPr>
        <w:t> </w:t>
      </w:r>
      <w:r>
        <w:rPr>
          <w:sz w:val="20"/>
        </w:rPr>
        <w:t>infrastruktury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použit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principy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řádného</w:t>
      </w:r>
      <w:r>
        <w:rPr>
          <w:spacing w:val="1"/>
          <w:sz w:val="20"/>
        </w:rPr>
        <w:t> </w:t>
      </w:r>
      <w:r>
        <w:rPr>
          <w:sz w:val="20"/>
        </w:rPr>
        <w:t>hospodáře.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nájemného,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1"/>
          <w:sz w:val="20"/>
        </w:rPr>
        <w:t> </w:t>
      </w:r>
      <w:r>
        <w:rPr>
          <w:sz w:val="20"/>
        </w:rPr>
        <w:t>minimálně</w:t>
      </w:r>
      <w:r>
        <w:rPr>
          <w:spacing w:val="1"/>
          <w:sz w:val="20"/>
        </w:rPr>
        <w:t> </w:t>
      </w:r>
      <w:r>
        <w:rPr>
          <w:sz w:val="20"/>
        </w:rPr>
        <w:t>hodnotám</w:t>
      </w:r>
      <w:r>
        <w:rPr>
          <w:spacing w:val="1"/>
          <w:sz w:val="20"/>
        </w:rPr>
        <w:t> </w:t>
      </w:r>
      <w:r>
        <w:rPr>
          <w:sz w:val="20"/>
        </w:rPr>
        <w:t>požadovaných zdrojů na obnovu vzešlých ze schváleného nástroje Udržitelnost 2014+ (a to jak roční,</w:t>
      </w:r>
      <w:r>
        <w:rPr>
          <w:spacing w:val="1"/>
          <w:sz w:val="20"/>
        </w:rPr>
        <w:t> </w:t>
      </w:r>
      <w:r>
        <w:rPr>
          <w:sz w:val="20"/>
        </w:rPr>
        <w:t>tak kumulativní za období 10 let), bude ukládána a udržována na separátním účtu zřízeném pro tento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SVS,</w:t>
      </w:r>
      <w:r>
        <w:rPr>
          <w:spacing w:val="-7"/>
          <w:sz w:val="20"/>
        </w:rPr>
        <w:t> </w:t>
      </w:r>
      <w:r>
        <w:rPr>
          <w:sz w:val="20"/>
        </w:rPr>
        <w:t>v rámci</w:t>
      </w:r>
      <w:r>
        <w:rPr>
          <w:spacing w:val="-7"/>
          <w:sz w:val="20"/>
        </w:rPr>
        <w:t> </w:t>
      </w:r>
      <w:r>
        <w:rPr>
          <w:sz w:val="20"/>
        </w:rPr>
        <w:t>čehož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případné</w:t>
      </w:r>
      <w:r>
        <w:rPr>
          <w:spacing w:val="-8"/>
          <w:sz w:val="20"/>
        </w:rPr>
        <w:t> </w:t>
      </w:r>
      <w:r>
        <w:rPr>
          <w:sz w:val="20"/>
        </w:rPr>
        <w:t>kontroly</w:t>
      </w:r>
      <w:r>
        <w:rPr>
          <w:spacing w:val="-8"/>
          <w:sz w:val="20"/>
        </w:rPr>
        <w:t> </w:t>
      </w:r>
      <w:r>
        <w:rPr>
          <w:sz w:val="20"/>
        </w:rPr>
        <w:t>možné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účtu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5"/>
          <w:sz w:val="20"/>
        </w:rPr>
        <w:t> </w:t>
      </w:r>
      <w:r>
        <w:rPr>
          <w:sz w:val="20"/>
        </w:rPr>
        <w:t>aktuální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těchto</w:t>
      </w:r>
      <w:r>
        <w:rPr>
          <w:spacing w:val="-5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dodržení</w:t>
      </w:r>
      <w:r>
        <w:rPr>
          <w:spacing w:val="-1"/>
          <w:sz w:val="20"/>
        </w:rPr>
        <w:t> </w:t>
      </w:r>
      <w:r>
        <w:rPr>
          <w:sz w:val="20"/>
        </w:rPr>
        <w:t>tohoto závazku.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4" w:lineRule="auto" w:before="121" w:after="0"/>
        <w:ind w:left="549" w:right="111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> </w:t>
      </w:r>
      <w:r>
        <w:rPr>
          <w:sz w:val="20"/>
        </w:rPr>
        <w:t>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7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0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1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2"/>
          <w:sz w:val="20"/>
        </w:rPr>
        <w:t> </w:t>
      </w:r>
      <w:r>
        <w:rPr>
          <w:sz w:val="20"/>
        </w:rPr>
        <w:t>smlouvy,</w:t>
      </w:r>
      <w:r>
        <w:rPr>
          <w:spacing w:val="-53"/>
          <w:sz w:val="20"/>
        </w:rPr>
        <w:t> </w:t>
      </w:r>
      <w:r>
        <w:rPr>
          <w:sz w:val="20"/>
        </w:rPr>
        <w:t>oprávněn</w:t>
      </w:r>
      <w:r>
        <w:rPr>
          <w:spacing w:val="-1"/>
          <w:sz w:val="20"/>
        </w:rPr>
        <w:t> </w:t>
      </w:r>
      <w:r>
        <w:rPr>
          <w:sz w:val="20"/>
        </w:rPr>
        <w:t>změnit</w:t>
      </w:r>
      <w:r>
        <w:rPr>
          <w:spacing w:val="-1"/>
          <w:sz w:val="20"/>
        </w:rPr>
        <w:t> </w:t>
      </w:r>
      <w:r>
        <w:rPr>
          <w:sz w:val="20"/>
        </w:rPr>
        <w:t>provozní</w:t>
      </w:r>
      <w:r>
        <w:rPr>
          <w:spacing w:val="2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64" w:lineRule="auto" w:before="121" w:after="0"/>
        <w:ind w:left="549" w:right="111" w:hanging="428"/>
        <w:jc w:val="both"/>
        <w:rPr>
          <w:sz w:val="20"/>
        </w:rPr>
      </w:pPr>
      <w:r>
        <w:rPr>
          <w:spacing w:val="-1"/>
          <w:sz w:val="20"/>
        </w:rPr>
        <w:t>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ohledem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specifickou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situaci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důsledku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probíhající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transformace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1"/>
          <w:sz w:val="20"/>
        </w:rPr>
        <w:t> </w:t>
      </w:r>
      <w:r>
        <w:rPr>
          <w:sz w:val="20"/>
        </w:rPr>
        <w:t>společnosti</w:t>
      </w:r>
      <w:r>
        <w:rPr>
          <w:spacing w:val="-12"/>
          <w:sz w:val="20"/>
        </w:rPr>
        <w:t> </w:t>
      </w:r>
      <w:r>
        <w:rPr>
          <w:sz w:val="20"/>
        </w:rPr>
        <w:t>SČVaK,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v rámci zajištění provozování aplikován servisní prvek, který byl SVS podmínečně schválen ze strany</w:t>
      </w:r>
      <w:r>
        <w:rPr>
          <w:spacing w:val="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ČR a Fondu, z čehož</w:t>
      </w:r>
      <w:r>
        <w:rPr>
          <w:spacing w:val="1"/>
          <w:sz w:val="20"/>
        </w:rPr>
        <w:t> </w:t>
      </w:r>
      <w:r>
        <w:rPr>
          <w:sz w:val="20"/>
        </w:rPr>
        <w:t>pro řádné zajištění podmínek NPŽP</w:t>
      </w:r>
      <w:r>
        <w:rPr>
          <w:spacing w:val="1"/>
          <w:sz w:val="20"/>
        </w:rPr>
        <w:t> </w:t>
      </w:r>
      <w:r>
        <w:rPr>
          <w:sz w:val="20"/>
        </w:rPr>
        <w:t>vyplývá povinnost implementace</w:t>
      </w:r>
      <w:r>
        <w:rPr>
          <w:spacing w:val="1"/>
          <w:sz w:val="20"/>
        </w:rPr>
        <w:t> </w:t>
      </w:r>
      <w:r>
        <w:rPr>
          <w:sz w:val="20"/>
        </w:rPr>
        <w:t>následujících</w:t>
      </w:r>
      <w:r>
        <w:rPr>
          <w:spacing w:val="-1"/>
          <w:sz w:val="20"/>
        </w:rPr>
        <w:t> </w:t>
      </w:r>
      <w:r>
        <w:rPr>
          <w:sz w:val="20"/>
        </w:rPr>
        <w:t>požadavků: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957" w:top="1060" w:bottom="1140" w:left="1580" w:right="1020"/>
        </w:sectPr>
      </w:pP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64" w:lineRule="auto" w:before="73" w:after="0"/>
        <w:ind w:left="1550" w:right="113" w:hanging="360"/>
        <w:jc w:val="both"/>
        <w:rPr>
          <w:sz w:val="20"/>
        </w:rPr>
      </w:pPr>
      <w:r>
        <w:rPr>
          <w:sz w:val="20"/>
        </w:rPr>
        <w:t>Ve </w:t>
      </w:r>
      <w:r>
        <w:rPr>
          <w:i/>
          <w:sz w:val="20"/>
        </w:rPr>
        <w:t>Smlouvě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poskytování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servisních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činností,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uzavřené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mezi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společností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Severočeské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vodovody a kanalizace, a.s. a Severočeskou servisní a.s.</w:t>
      </w:r>
      <w:r>
        <w:rPr>
          <w:i/>
          <w:spacing w:val="1"/>
          <w:sz w:val="20"/>
        </w:rPr>
        <w:t> </w:t>
      </w:r>
      <w:r>
        <w:rPr>
          <w:sz w:val="20"/>
        </w:rPr>
        <w:t>v přiměřené míře aplikovat a zajistit</w:t>
      </w:r>
      <w:r>
        <w:rPr>
          <w:spacing w:val="-52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sz w:val="20"/>
        </w:rPr>
        <w:t>výkonových</w:t>
      </w:r>
      <w:r>
        <w:rPr>
          <w:spacing w:val="1"/>
          <w:sz w:val="20"/>
        </w:rPr>
        <w:t> </w:t>
      </w:r>
      <w:r>
        <w:rPr>
          <w:sz w:val="20"/>
        </w:rPr>
        <w:t>ukazatelů,</w:t>
      </w:r>
      <w:r>
        <w:rPr>
          <w:spacing w:val="1"/>
          <w:sz w:val="20"/>
        </w:rPr>
        <w:t> </w:t>
      </w:r>
      <w:r>
        <w:rPr>
          <w:sz w:val="20"/>
        </w:rPr>
        <w:t>monitoringu</w:t>
      </w:r>
      <w:r>
        <w:rPr>
          <w:spacing w:val="1"/>
          <w:sz w:val="20"/>
        </w:rPr>
        <w:t> </w:t>
      </w:r>
      <w:r>
        <w:rPr>
          <w:sz w:val="20"/>
        </w:rPr>
        <w:t>výkonu</w:t>
      </w:r>
      <w:r>
        <w:rPr>
          <w:spacing w:val="1"/>
          <w:sz w:val="20"/>
        </w:rPr>
        <w:t> </w:t>
      </w:r>
      <w:r>
        <w:rPr>
          <w:sz w:val="20"/>
        </w:rPr>
        <w:t>poskytovatele</w:t>
      </w:r>
      <w:r>
        <w:rPr>
          <w:spacing w:val="1"/>
          <w:sz w:val="20"/>
        </w:rPr>
        <w:t> </w:t>
      </w:r>
      <w:r>
        <w:rPr>
          <w:sz w:val="20"/>
        </w:rPr>
        <w:t>servisních</w:t>
      </w:r>
      <w:r>
        <w:rPr>
          <w:spacing w:val="1"/>
          <w:sz w:val="20"/>
        </w:rPr>
        <w:t> </w:t>
      </w:r>
      <w:r>
        <w:rPr>
          <w:sz w:val="20"/>
        </w:rPr>
        <w:t>služeb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nastavení</w:t>
      </w:r>
      <w:r>
        <w:rPr>
          <w:spacing w:val="1"/>
          <w:sz w:val="20"/>
        </w:rPr>
        <w:t> </w:t>
      </w:r>
      <w:r>
        <w:rPr>
          <w:sz w:val="20"/>
        </w:rPr>
        <w:t>systému sankcí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požadavků</w:t>
      </w:r>
      <w:r>
        <w:rPr>
          <w:spacing w:val="2"/>
          <w:sz w:val="20"/>
        </w:rPr>
        <w:t> </w:t>
      </w:r>
      <w:r>
        <w:rPr>
          <w:sz w:val="20"/>
        </w:rPr>
        <w:t>„Metodiky“</w:t>
      </w: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64" w:lineRule="auto" w:before="1" w:after="0"/>
        <w:ind w:left="1550" w:right="108" w:hanging="360"/>
        <w:jc w:val="both"/>
        <w:rPr>
          <w:sz w:val="20"/>
        </w:rPr>
      </w:pPr>
      <w:r>
        <w:rPr>
          <w:sz w:val="20"/>
        </w:rPr>
        <w:t>V rámci dílčí kalkulace servisního poplatku dodržet horní hranici na výši zisku a příjmu</w:t>
      </w:r>
      <w:r>
        <w:rPr>
          <w:spacing w:val="1"/>
          <w:sz w:val="20"/>
        </w:rPr>
        <w:t> </w:t>
      </w:r>
      <w:r>
        <w:rPr>
          <w:sz w:val="20"/>
        </w:rPr>
        <w:t>poskytovatele</w:t>
      </w:r>
      <w:r>
        <w:rPr>
          <w:spacing w:val="8"/>
          <w:sz w:val="20"/>
        </w:rPr>
        <w:t> </w:t>
      </w:r>
      <w:r>
        <w:rPr>
          <w:sz w:val="20"/>
        </w:rPr>
        <w:t>servisních</w:t>
      </w:r>
      <w:r>
        <w:rPr>
          <w:spacing w:val="63"/>
          <w:sz w:val="20"/>
        </w:rPr>
        <w:t> </w:t>
      </w:r>
      <w:r>
        <w:rPr>
          <w:sz w:val="20"/>
        </w:rPr>
        <w:t>služeb</w:t>
      </w:r>
      <w:r>
        <w:rPr>
          <w:spacing w:val="64"/>
          <w:sz w:val="20"/>
        </w:rPr>
        <w:t> </w:t>
      </w:r>
      <w:r>
        <w:rPr>
          <w:sz w:val="20"/>
        </w:rPr>
        <w:t>dle</w:t>
      </w:r>
      <w:r>
        <w:rPr>
          <w:spacing w:val="62"/>
          <w:sz w:val="20"/>
        </w:rPr>
        <w:t> </w:t>
      </w:r>
      <w:r>
        <w:rPr>
          <w:sz w:val="20"/>
        </w:rPr>
        <w:t>stanoveného</w:t>
      </w:r>
      <w:r>
        <w:rPr>
          <w:spacing w:val="64"/>
          <w:sz w:val="20"/>
        </w:rPr>
        <w:t> </w:t>
      </w:r>
      <w:r>
        <w:rPr>
          <w:sz w:val="20"/>
        </w:rPr>
        <w:t>mechanismu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hodnot</w:t>
      </w:r>
      <w:r>
        <w:rPr>
          <w:spacing w:val="63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 předcházejícího období</w:t>
      </w: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64" w:lineRule="auto" w:before="0" w:after="0"/>
        <w:ind w:left="1550" w:right="111" w:hanging="360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i/>
          <w:sz w:val="20"/>
        </w:rPr>
        <w:t>Smlouvy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poskytování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servisních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činností</w:t>
      </w:r>
      <w:r>
        <w:rPr>
          <w:i/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poddodavatele/ů</w:t>
      </w:r>
      <w:r>
        <w:rPr>
          <w:spacing w:val="-52"/>
          <w:sz w:val="20"/>
        </w:rPr>
        <w:t> </w:t>
      </w:r>
      <w:r>
        <w:rPr>
          <w:sz w:val="20"/>
        </w:rPr>
        <w:t>dodržet</w:t>
      </w:r>
      <w:r>
        <w:rPr>
          <w:spacing w:val="-11"/>
          <w:sz w:val="20"/>
        </w:rPr>
        <w:t> </w:t>
      </w:r>
      <w:r>
        <w:rPr>
          <w:sz w:val="20"/>
        </w:rPr>
        <w:t>stanovené</w:t>
      </w:r>
      <w:r>
        <w:rPr>
          <w:spacing w:val="-10"/>
          <w:sz w:val="20"/>
        </w:rPr>
        <w:t> </w:t>
      </w:r>
      <w:r>
        <w:rPr>
          <w:sz w:val="20"/>
        </w:rPr>
        <w:t>podmínky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zajišťování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přípustných</w:t>
      </w:r>
      <w:r>
        <w:rPr>
          <w:spacing w:val="-10"/>
          <w:sz w:val="20"/>
        </w:rPr>
        <w:t> </w:t>
      </w:r>
      <w:r>
        <w:rPr>
          <w:sz w:val="20"/>
        </w:rPr>
        <w:t>činností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zároveň</w:t>
      </w:r>
      <w:r>
        <w:rPr>
          <w:spacing w:val="-7"/>
          <w:sz w:val="20"/>
        </w:rPr>
        <w:t> </w:t>
      </w:r>
      <w:r>
        <w:rPr>
          <w:sz w:val="20"/>
        </w:rPr>
        <w:t>dodržet,</w:t>
      </w:r>
      <w:r>
        <w:rPr>
          <w:spacing w:val="-52"/>
          <w:sz w:val="20"/>
        </w:rPr>
        <w:t> </w:t>
      </w:r>
      <w:r>
        <w:rPr>
          <w:sz w:val="20"/>
        </w:rPr>
        <w:t>že odpovědnost za plnění hlavních činnosti spojených se zajištěním provozování nese sám</w:t>
      </w:r>
      <w:r>
        <w:rPr>
          <w:spacing w:val="-52"/>
          <w:sz w:val="20"/>
        </w:rPr>
        <w:t> </w:t>
      </w:r>
      <w:r>
        <w:rPr>
          <w:sz w:val="20"/>
        </w:rPr>
        <w:t>poskytovatel</w:t>
      </w:r>
      <w:r>
        <w:rPr>
          <w:spacing w:val="1"/>
          <w:sz w:val="20"/>
        </w:rPr>
        <w:t> </w:t>
      </w:r>
      <w:r>
        <w:rPr>
          <w:sz w:val="20"/>
        </w:rPr>
        <w:t>servisních činností.</w:t>
      </w: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64" w:lineRule="auto" w:before="1" w:after="0"/>
        <w:ind w:left="1550" w:right="108" w:hanging="360"/>
        <w:jc w:val="both"/>
        <w:rPr>
          <w:sz w:val="20"/>
        </w:rPr>
      </w:pPr>
      <w:r>
        <w:rPr>
          <w:sz w:val="20"/>
        </w:rPr>
        <w:t>Jakoukoliv úpravu textu </w:t>
      </w:r>
      <w:r>
        <w:rPr>
          <w:i/>
          <w:sz w:val="20"/>
        </w:rPr>
        <w:t>Smlouvy o poskytování servisních činností </w:t>
      </w:r>
      <w:r>
        <w:rPr>
          <w:sz w:val="20"/>
        </w:rPr>
        <w:t>konzultovat se zástupci</w:t>
      </w:r>
      <w:r>
        <w:rPr>
          <w:spacing w:val="1"/>
          <w:sz w:val="20"/>
        </w:rPr>
        <w:t> </w:t>
      </w:r>
      <w:r>
        <w:rPr>
          <w:sz w:val="20"/>
        </w:rPr>
        <w:t>Fondu</w:t>
      </w: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64" w:lineRule="auto" w:before="0" w:after="0"/>
        <w:ind w:left="1550" w:right="108" w:hanging="360"/>
        <w:jc w:val="both"/>
        <w:rPr>
          <w:sz w:val="20"/>
        </w:rPr>
      </w:pPr>
      <w:r>
        <w:rPr>
          <w:sz w:val="20"/>
        </w:rPr>
        <w:t>Do </w:t>
      </w:r>
      <w:r>
        <w:rPr>
          <w:i/>
          <w:sz w:val="20"/>
        </w:rPr>
        <w:t>Smlouvy o poskytování servisních činností </w:t>
      </w:r>
      <w:r>
        <w:rPr>
          <w:sz w:val="20"/>
        </w:rPr>
        <w:t>nejpozději k termínu zahájení provozování</w:t>
      </w:r>
      <w:r>
        <w:rPr>
          <w:spacing w:val="1"/>
          <w:sz w:val="20"/>
        </w:rPr>
        <w:t> </w:t>
      </w:r>
      <w:r>
        <w:rPr>
          <w:sz w:val="20"/>
        </w:rPr>
        <w:t>projektu implementovat veškerá chybějící ustanovení, jejichž absence byla shledána při</w:t>
      </w:r>
      <w:r>
        <w:rPr>
          <w:spacing w:val="1"/>
          <w:sz w:val="20"/>
        </w:rPr>
        <w:t> </w:t>
      </w:r>
      <w:r>
        <w:rPr>
          <w:sz w:val="20"/>
        </w:rPr>
        <w:t>kontrole a posouzení této smlouvy ze strany Fondu a k jejichž doplnění se SVS zavázala,</w:t>
      </w:r>
      <w:r>
        <w:rPr>
          <w:spacing w:val="1"/>
          <w:sz w:val="20"/>
        </w:rPr>
        <w:t> </w:t>
      </w:r>
      <w:r>
        <w:rPr>
          <w:sz w:val="20"/>
        </w:rPr>
        <w:t>přičemž se jedná o níže uvedené podrobnosti, které byly ze strany SVS specifikovány v</w:t>
      </w:r>
      <w:r>
        <w:rPr>
          <w:spacing w:val="1"/>
          <w:sz w:val="20"/>
        </w:rPr>
        <w:t> </w:t>
      </w:r>
      <w:r>
        <w:rPr>
          <w:i/>
          <w:sz w:val="20"/>
        </w:rPr>
        <w:t>Zápise z jednání pracovní skupiny 03/2019 </w:t>
      </w:r>
      <w:r>
        <w:rPr>
          <w:sz w:val="20"/>
        </w:rPr>
        <w:t>ze dne 23.9.2019 a dopise </w:t>
      </w:r>
      <w:r>
        <w:rPr>
          <w:i/>
          <w:sz w:val="20"/>
        </w:rPr>
        <w:t>Strop na servisní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náklady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rutinní období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2021-2030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27.11.2019.</w:t>
      </w:r>
    </w:p>
    <w:p>
      <w:pPr>
        <w:pStyle w:val="BodyText"/>
        <w:spacing w:line="265" w:lineRule="exact"/>
        <w:ind w:left="1605"/>
        <w:jc w:val="both"/>
      </w:pPr>
      <w:r>
        <w:rPr/>
        <w:t>Jedná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 následující: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40" w:lineRule="auto" w:before="27" w:after="0"/>
        <w:ind w:left="2270" w:right="0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dodržení</w:t>
      </w:r>
      <w:r>
        <w:rPr>
          <w:spacing w:val="-5"/>
          <w:sz w:val="20"/>
        </w:rPr>
        <w:t> </w:t>
      </w:r>
      <w:r>
        <w:rPr>
          <w:sz w:val="20"/>
        </w:rPr>
        <w:t>evropských</w:t>
      </w:r>
      <w:r>
        <w:rPr>
          <w:spacing w:val="-2"/>
          <w:sz w:val="20"/>
        </w:rPr>
        <w:t> </w:t>
      </w:r>
      <w:r>
        <w:rPr>
          <w:sz w:val="20"/>
        </w:rPr>
        <w:t>environmentálních</w:t>
      </w:r>
      <w:r>
        <w:rPr>
          <w:spacing w:val="-4"/>
          <w:sz w:val="20"/>
        </w:rPr>
        <w:t> </w:t>
      </w:r>
      <w:r>
        <w:rPr>
          <w:sz w:val="20"/>
        </w:rPr>
        <w:t>směrnic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54" w:lineRule="auto" w:before="17" w:after="0"/>
        <w:ind w:left="2270" w:right="115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maximálním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externích</w:t>
      </w:r>
      <w:r>
        <w:rPr>
          <w:spacing w:val="1"/>
          <w:sz w:val="20"/>
        </w:rPr>
        <w:t> </w:t>
      </w:r>
      <w:r>
        <w:rPr>
          <w:sz w:val="20"/>
        </w:rPr>
        <w:t>služeb</w:t>
      </w:r>
      <w:r>
        <w:rPr>
          <w:spacing w:val="1"/>
          <w:sz w:val="20"/>
        </w:rPr>
        <w:t> </w:t>
      </w:r>
      <w:r>
        <w:rPr>
          <w:sz w:val="20"/>
        </w:rPr>
        <w:t>zajišťovaných</w:t>
      </w:r>
      <w:r>
        <w:rPr>
          <w:spacing w:val="-52"/>
          <w:sz w:val="20"/>
        </w:rPr>
        <w:t> </w:t>
      </w:r>
      <w:r>
        <w:rPr>
          <w:sz w:val="20"/>
        </w:rPr>
        <w:t>poddodavatelem a</w:t>
      </w:r>
      <w:r>
        <w:rPr>
          <w:spacing w:val="-1"/>
          <w:sz w:val="20"/>
        </w:rPr>
        <w:t> </w:t>
      </w:r>
      <w:r>
        <w:rPr>
          <w:sz w:val="20"/>
        </w:rPr>
        <w:t>jejich omezení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54" w:lineRule="auto" w:before="12" w:after="0"/>
        <w:ind w:left="2270" w:right="117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implementující</w:t>
      </w:r>
      <w:r>
        <w:rPr>
          <w:spacing w:val="1"/>
          <w:sz w:val="20"/>
        </w:rPr>
        <w:t> </w:t>
      </w:r>
      <w:r>
        <w:rPr>
          <w:sz w:val="20"/>
        </w:rPr>
        <w:t>mechanismus</w:t>
      </w:r>
      <w:r>
        <w:rPr>
          <w:spacing w:val="1"/>
          <w:sz w:val="20"/>
        </w:rPr>
        <w:t> </w:t>
      </w:r>
      <w:r>
        <w:rPr>
          <w:sz w:val="20"/>
        </w:rPr>
        <w:t>navyšování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pokutového bodu a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pokut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vliv</w:t>
      </w:r>
      <w:r>
        <w:rPr>
          <w:spacing w:val="-1"/>
          <w:sz w:val="20"/>
        </w:rPr>
        <w:t> </w:t>
      </w:r>
      <w:r>
        <w:rPr>
          <w:sz w:val="20"/>
        </w:rPr>
        <w:t>inflace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40" w:lineRule="auto" w:before="12" w:after="0"/>
        <w:ind w:left="2270" w:right="0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-5"/>
          <w:sz w:val="20"/>
        </w:rPr>
        <w:t> </w:t>
      </w:r>
      <w:r>
        <w:rPr>
          <w:sz w:val="20"/>
        </w:rPr>
        <w:t>chybějícího</w:t>
      </w:r>
      <w:r>
        <w:rPr>
          <w:spacing w:val="-4"/>
          <w:sz w:val="20"/>
        </w:rPr>
        <w:t> </w:t>
      </w:r>
      <w:r>
        <w:rPr>
          <w:sz w:val="20"/>
        </w:rPr>
        <w:t>Výkonového</w:t>
      </w:r>
      <w:r>
        <w:rPr>
          <w:spacing w:val="-3"/>
          <w:sz w:val="20"/>
        </w:rPr>
        <w:t> </w:t>
      </w:r>
      <w:r>
        <w:rPr>
          <w:sz w:val="20"/>
        </w:rPr>
        <w:t>ukazatele</w:t>
      </w:r>
      <w:r>
        <w:rPr>
          <w:spacing w:val="-5"/>
          <w:sz w:val="20"/>
        </w:rPr>
        <w:t> </w:t>
      </w:r>
      <w:r>
        <w:rPr>
          <w:sz w:val="20"/>
        </w:rPr>
        <w:t>„Porucha</w:t>
      </w:r>
      <w:r>
        <w:rPr>
          <w:spacing w:val="-4"/>
          <w:sz w:val="20"/>
        </w:rPr>
        <w:t> </w:t>
      </w:r>
      <w:r>
        <w:rPr>
          <w:sz w:val="20"/>
        </w:rPr>
        <w:t>čerpadel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stokové</w:t>
      </w:r>
      <w:r>
        <w:rPr>
          <w:spacing w:val="-4"/>
          <w:sz w:val="20"/>
        </w:rPr>
        <w:t> </w:t>
      </w:r>
      <w:r>
        <w:rPr>
          <w:sz w:val="20"/>
        </w:rPr>
        <w:t>síti“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59" w:lineRule="auto" w:before="17" w:after="0"/>
        <w:ind w:left="2270" w:right="112" w:hanging="360"/>
        <w:jc w:val="both"/>
        <w:rPr>
          <w:sz w:val="20"/>
        </w:rPr>
      </w:pPr>
      <w:r>
        <w:rPr>
          <w:sz w:val="20"/>
        </w:rPr>
        <w:t>Doplnění ustanovení vyplývajících z dopisu </w:t>
      </w:r>
      <w:r>
        <w:rPr>
          <w:i/>
          <w:sz w:val="20"/>
        </w:rPr>
        <w:t>Strop na servisní náklady pro rutinní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období 2021-2030 </w:t>
      </w:r>
      <w:r>
        <w:rPr>
          <w:sz w:val="20"/>
        </w:rPr>
        <w:t>o způsobu nastavení stropů pro zisk a příjem provozovatele a</w:t>
      </w:r>
      <w:r>
        <w:rPr>
          <w:spacing w:val="1"/>
          <w:sz w:val="20"/>
        </w:rPr>
        <w:t> </w:t>
      </w:r>
      <w:r>
        <w:rPr>
          <w:sz w:val="20"/>
        </w:rPr>
        <w:t>mechanismu</w:t>
      </w:r>
      <w:r>
        <w:rPr>
          <w:spacing w:val="-1"/>
          <w:sz w:val="20"/>
        </w:rPr>
        <w:t> </w:t>
      </w:r>
      <w:r>
        <w:rPr>
          <w:sz w:val="20"/>
        </w:rPr>
        <w:t>nastavení</w:t>
      </w:r>
      <w:r>
        <w:rPr>
          <w:spacing w:val="-1"/>
          <w:sz w:val="20"/>
        </w:rPr>
        <w:t> </w:t>
      </w:r>
      <w:r>
        <w:rPr>
          <w:sz w:val="20"/>
        </w:rPr>
        <w:t>výchozích hodnot</w:t>
      </w:r>
    </w:p>
    <w:sectPr>
      <w:pgSz w:w="12240" w:h="15840"/>
      <w:pgMar w:header="0" w:footer="957" w:top="1060" w:bottom="114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80236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55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o"/>
      <w:lvlJc w:val="left"/>
      <w:pPr>
        <w:ind w:left="227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88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5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71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6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62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7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3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8" w:hanging="2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4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 w:line="246" w:lineRule="exact"/>
      <w:ind w:left="17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2022-05-26T05:11:17Z</dcterms:created>
  <dcterms:modified xsi:type="dcterms:W3CDTF">2022-05-26T05:11:17Z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2022-05-26T00:00:00Z</vt:filetime>
  </property>
</Properties>
</file>