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6FA2" w14:textId="77777777" w:rsidR="00216D48" w:rsidRPr="00ED2441" w:rsidRDefault="00216D48" w:rsidP="00216D48">
      <w:pPr>
        <w:pStyle w:val="Nzev"/>
        <w:rPr>
          <w:rFonts w:ascii="Century Gothic" w:hAnsi="Century Gothic"/>
          <w:sz w:val="32"/>
        </w:rPr>
      </w:pPr>
      <w:r w:rsidRPr="00ED2441">
        <w:rPr>
          <w:rFonts w:ascii="Century Gothic" w:hAnsi="Century Gothic"/>
          <w:sz w:val="32"/>
        </w:rPr>
        <w:t xml:space="preserve">DODATEK Č. </w:t>
      </w:r>
      <w:r>
        <w:rPr>
          <w:rFonts w:ascii="Century Gothic" w:hAnsi="Century Gothic"/>
          <w:sz w:val="32"/>
        </w:rPr>
        <w:t>1</w:t>
      </w:r>
      <w:r w:rsidR="007E61A9">
        <w:rPr>
          <w:rFonts w:ascii="Century Gothic" w:hAnsi="Century Gothic"/>
          <w:sz w:val="32"/>
        </w:rPr>
        <w:t xml:space="preserve"> navýšení jednotkových cen</w:t>
      </w:r>
    </w:p>
    <w:p w14:paraId="7ABD7CFA" w14:textId="77777777" w:rsidR="00216D48" w:rsidRPr="00ED2441" w:rsidRDefault="007E61A9" w:rsidP="00216D48">
      <w:pPr>
        <w:pStyle w:val="Podnadpis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k</w:t>
      </w:r>
      <w:r w:rsidR="00E31268">
        <w:rPr>
          <w:rFonts w:ascii="Century Gothic" w:hAnsi="Century Gothic"/>
          <w:sz w:val="32"/>
          <w:szCs w:val="32"/>
        </w:rPr>
        <w:t xml:space="preserve"> rámcové</w:t>
      </w:r>
      <w:r w:rsidR="00216D48" w:rsidRPr="00ED2441">
        <w:rPr>
          <w:rFonts w:ascii="Century Gothic" w:hAnsi="Century Gothic"/>
          <w:sz w:val="32"/>
          <w:szCs w:val="32"/>
        </w:rPr>
        <w:t> kupní smlouvě</w:t>
      </w:r>
      <w:r>
        <w:rPr>
          <w:rFonts w:ascii="Century Gothic" w:hAnsi="Century Gothic"/>
          <w:sz w:val="32"/>
          <w:szCs w:val="32"/>
        </w:rPr>
        <w:t xml:space="preserve"> ze dne 18.1. 2022</w:t>
      </w:r>
      <w:r w:rsidR="00216D48" w:rsidRPr="00ED2441">
        <w:rPr>
          <w:rFonts w:ascii="Century Gothic" w:hAnsi="Century Gothic"/>
          <w:sz w:val="32"/>
          <w:szCs w:val="32"/>
        </w:rPr>
        <w:br/>
      </w:r>
    </w:p>
    <w:p w14:paraId="52708F03" w14:textId="77777777" w:rsidR="00216D48" w:rsidRDefault="00216D48" w:rsidP="00216D48">
      <w:pPr>
        <w:pStyle w:val="Nadpis1"/>
        <w:rPr>
          <w:rFonts w:ascii="Century Gothic" w:hAnsi="Century Gothic"/>
        </w:rPr>
      </w:pPr>
      <w:r>
        <w:br/>
      </w:r>
      <w:r w:rsidRPr="00467848">
        <w:rPr>
          <w:rFonts w:ascii="Century Gothic" w:hAnsi="Century Gothic"/>
        </w:rPr>
        <w:t>Smluvní strany</w:t>
      </w:r>
    </w:p>
    <w:p w14:paraId="432B3A3C" w14:textId="77777777" w:rsidR="00216D48" w:rsidRPr="00E216D9" w:rsidRDefault="00216D48" w:rsidP="00216D48">
      <w:pPr>
        <w:pStyle w:val="rove2"/>
        <w:numPr>
          <w:ilvl w:val="0"/>
          <w:numId w:val="0"/>
        </w:numPr>
        <w:ind w:left="85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216D48" w:rsidRPr="00534D77" w14:paraId="4E799BEA" w14:textId="77777777" w:rsidTr="00216D48">
        <w:trPr>
          <w:jc w:val="center"/>
        </w:trPr>
        <w:tc>
          <w:tcPr>
            <w:tcW w:w="3972" w:type="dxa"/>
          </w:tcPr>
          <w:p w14:paraId="6C65E8F6" w14:textId="77777777" w:rsidR="00216D48" w:rsidRPr="00534D77" w:rsidRDefault="00216D48" w:rsidP="00457C06">
            <w:r>
              <w:t>Odběratel</w:t>
            </w:r>
            <w:r w:rsidRPr="00534D77">
              <w:t>:</w:t>
            </w:r>
          </w:p>
        </w:tc>
        <w:tc>
          <w:tcPr>
            <w:tcW w:w="5100" w:type="dxa"/>
          </w:tcPr>
          <w:p w14:paraId="1CA7050E" w14:textId="77777777" w:rsidR="00216D48" w:rsidRPr="00534D77" w:rsidRDefault="00216D48" w:rsidP="00457C06">
            <w:pPr>
              <w:rPr>
                <w:b/>
              </w:rPr>
            </w:pPr>
            <w:r w:rsidRPr="00216D48">
              <w:rPr>
                <w:b/>
              </w:rPr>
              <w:t>Nemocnice Jablonec nad Nisou, p.o.</w:t>
            </w:r>
          </w:p>
        </w:tc>
      </w:tr>
      <w:tr w:rsidR="00216D48" w:rsidRPr="00141036" w14:paraId="36C6EAF4" w14:textId="77777777" w:rsidTr="00216D48">
        <w:trPr>
          <w:jc w:val="center"/>
        </w:trPr>
        <w:tc>
          <w:tcPr>
            <w:tcW w:w="3972" w:type="dxa"/>
          </w:tcPr>
          <w:p w14:paraId="2A5F31D5" w14:textId="77777777" w:rsidR="00216D48" w:rsidRPr="00141036" w:rsidRDefault="00216D48" w:rsidP="00457C06">
            <w:r w:rsidRPr="00141036">
              <w:t>sídlo:</w:t>
            </w:r>
          </w:p>
        </w:tc>
        <w:tc>
          <w:tcPr>
            <w:tcW w:w="5100" w:type="dxa"/>
          </w:tcPr>
          <w:p w14:paraId="21077958" w14:textId="77777777" w:rsidR="00216D48" w:rsidRPr="00141036" w:rsidRDefault="00216D48" w:rsidP="00457C06">
            <w:r w:rsidRPr="00216D48">
              <w:rPr>
                <w:rStyle w:val="platne"/>
              </w:rPr>
              <w:t>Nemocniční 4446/15</w:t>
            </w:r>
            <w:r>
              <w:rPr>
                <w:rStyle w:val="platne"/>
              </w:rPr>
              <w:t xml:space="preserve">, </w:t>
            </w:r>
            <w:r w:rsidRPr="00216D48">
              <w:rPr>
                <w:rStyle w:val="platne"/>
              </w:rPr>
              <w:t>466 0</w:t>
            </w:r>
            <w:r w:rsidR="00374015">
              <w:rPr>
                <w:rStyle w:val="platne"/>
              </w:rPr>
              <w:t>1,</w:t>
            </w:r>
            <w:r w:rsidRPr="00216D48">
              <w:rPr>
                <w:rStyle w:val="platne"/>
              </w:rPr>
              <w:t xml:space="preserve"> Jablonec nad Nisou</w:t>
            </w:r>
          </w:p>
        </w:tc>
      </w:tr>
      <w:tr w:rsidR="00216D48" w:rsidRPr="00141036" w14:paraId="2DBFE7E9" w14:textId="77777777" w:rsidTr="00216D48">
        <w:trPr>
          <w:jc w:val="center"/>
        </w:trPr>
        <w:tc>
          <w:tcPr>
            <w:tcW w:w="3972" w:type="dxa"/>
          </w:tcPr>
          <w:p w14:paraId="08305F25" w14:textId="77777777" w:rsidR="00216D48" w:rsidRPr="00141036" w:rsidRDefault="00216D48" w:rsidP="00457C06">
            <w:r>
              <w:t>zastoupena</w:t>
            </w:r>
            <w:r w:rsidRPr="00141036">
              <w:t>:</w:t>
            </w:r>
          </w:p>
        </w:tc>
        <w:tc>
          <w:tcPr>
            <w:tcW w:w="5100" w:type="dxa"/>
          </w:tcPr>
          <w:p w14:paraId="42BED360" w14:textId="77777777" w:rsidR="00216D48" w:rsidRPr="00141036" w:rsidRDefault="004805B9" w:rsidP="00457C06">
            <w:r>
              <w:t>MUDr. Vít Němeček, MBA, ředitel</w:t>
            </w:r>
          </w:p>
        </w:tc>
      </w:tr>
      <w:tr w:rsidR="00216D48" w:rsidRPr="00141036" w14:paraId="215A3188" w14:textId="77777777" w:rsidTr="00216D48">
        <w:trPr>
          <w:jc w:val="center"/>
        </w:trPr>
        <w:tc>
          <w:tcPr>
            <w:tcW w:w="3972" w:type="dxa"/>
          </w:tcPr>
          <w:p w14:paraId="3630ADE9" w14:textId="77777777" w:rsidR="00216D48" w:rsidRPr="00141036" w:rsidRDefault="00216D48" w:rsidP="00457C06">
            <w:r w:rsidRPr="00141036">
              <w:t>IČ</w:t>
            </w:r>
            <w:r w:rsidR="004805B9">
              <w:t>O</w:t>
            </w:r>
            <w:r w:rsidRPr="00141036">
              <w:t>:</w:t>
            </w:r>
          </w:p>
        </w:tc>
        <w:tc>
          <w:tcPr>
            <w:tcW w:w="5100" w:type="dxa"/>
          </w:tcPr>
          <w:p w14:paraId="048C9C70" w14:textId="77777777" w:rsidR="00216D48" w:rsidRPr="00141036" w:rsidRDefault="004805B9" w:rsidP="00457C06">
            <w:r>
              <w:t>00829838</w:t>
            </w:r>
          </w:p>
        </w:tc>
      </w:tr>
      <w:tr w:rsidR="00216D48" w:rsidRPr="00141036" w14:paraId="67E1281C" w14:textId="77777777" w:rsidTr="00216D48">
        <w:trPr>
          <w:jc w:val="center"/>
        </w:trPr>
        <w:tc>
          <w:tcPr>
            <w:tcW w:w="3972" w:type="dxa"/>
          </w:tcPr>
          <w:p w14:paraId="1C2AF4C4" w14:textId="77777777" w:rsidR="00216D48" w:rsidRPr="00141036" w:rsidRDefault="00216D48" w:rsidP="00457C06">
            <w:r>
              <w:t>DIČ:</w:t>
            </w:r>
          </w:p>
        </w:tc>
        <w:tc>
          <w:tcPr>
            <w:tcW w:w="5100" w:type="dxa"/>
          </w:tcPr>
          <w:p w14:paraId="36FCCC2F" w14:textId="77777777" w:rsidR="004805B9" w:rsidRDefault="00216D48" w:rsidP="004805B9">
            <w:pPr>
              <w:rPr>
                <w:rStyle w:val="platne"/>
              </w:rPr>
            </w:pPr>
            <w:r>
              <w:rPr>
                <w:rStyle w:val="platne"/>
              </w:rPr>
              <w:t>CZ</w:t>
            </w:r>
            <w:r w:rsidR="004805B9">
              <w:rPr>
                <w:rStyle w:val="platne"/>
              </w:rPr>
              <w:t>00829838</w:t>
            </w:r>
          </w:p>
          <w:p w14:paraId="1B31FDC5" w14:textId="77777777" w:rsidR="004805B9" w:rsidRPr="004805B9" w:rsidRDefault="004805B9" w:rsidP="004805B9">
            <w:pPr>
              <w:rPr>
                <w:rStyle w:val="platne"/>
              </w:rPr>
            </w:pPr>
            <w:r w:rsidRPr="004805B9">
              <w:rPr>
                <w:rStyle w:val="platne"/>
                <w:sz w:val="20"/>
                <w:szCs w:val="20"/>
              </w:rPr>
              <w:t>Zapsána v obchodním rejs</w:t>
            </w:r>
            <w:r>
              <w:rPr>
                <w:rStyle w:val="platne"/>
                <w:sz w:val="20"/>
                <w:szCs w:val="20"/>
              </w:rPr>
              <w:t>t</w:t>
            </w:r>
            <w:r w:rsidRPr="004805B9">
              <w:rPr>
                <w:rStyle w:val="platne"/>
                <w:sz w:val="20"/>
                <w:szCs w:val="20"/>
              </w:rPr>
              <w:t xml:space="preserve">říku vedeném Krajským soudem v Ústí nad Labem, oddíl </w:t>
            </w:r>
            <w:proofErr w:type="spellStart"/>
            <w:r w:rsidRPr="004805B9">
              <w:rPr>
                <w:rStyle w:val="platne"/>
                <w:sz w:val="20"/>
                <w:szCs w:val="20"/>
              </w:rPr>
              <w:t>Pr</w:t>
            </w:r>
            <w:proofErr w:type="spellEnd"/>
            <w:r w:rsidRPr="004805B9">
              <w:rPr>
                <w:rStyle w:val="platne"/>
                <w:sz w:val="20"/>
                <w:szCs w:val="20"/>
              </w:rPr>
              <w:t>, vložka 107</w:t>
            </w:r>
          </w:p>
        </w:tc>
      </w:tr>
      <w:tr w:rsidR="00216D48" w:rsidRPr="00162AA1" w14:paraId="1D36E7A8" w14:textId="77777777" w:rsidTr="00216D48">
        <w:trPr>
          <w:cantSplit/>
          <w:trHeight w:val="400"/>
          <w:jc w:val="center"/>
        </w:trPr>
        <w:tc>
          <w:tcPr>
            <w:tcW w:w="9072" w:type="dxa"/>
            <w:gridSpan w:val="2"/>
          </w:tcPr>
          <w:p w14:paraId="43CCA731" w14:textId="77777777" w:rsidR="00216D48" w:rsidRPr="00E273A4" w:rsidRDefault="00216D48" w:rsidP="00457C06">
            <w:r w:rsidRPr="00E273A4">
              <w:t>(dále jen jako „</w:t>
            </w:r>
            <w:r>
              <w:rPr>
                <w:b/>
              </w:rPr>
              <w:t>kupující</w:t>
            </w:r>
            <w:r w:rsidRPr="00E273A4">
              <w:t>“)</w:t>
            </w:r>
          </w:p>
        </w:tc>
      </w:tr>
      <w:tr w:rsidR="00216D48" w:rsidRPr="00162AA1" w14:paraId="349DB89C" w14:textId="77777777" w:rsidTr="00216D48">
        <w:trPr>
          <w:cantSplit/>
          <w:trHeight w:val="400"/>
          <w:jc w:val="center"/>
        </w:trPr>
        <w:tc>
          <w:tcPr>
            <w:tcW w:w="9072" w:type="dxa"/>
            <w:gridSpan w:val="2"/>
          </w:tcPr>
          <w:p w14:paraId="5E61DE3D" w14:textId="77777777" w:rsidR="00216D48" w:rsidRDefault="00216D48" w:rsidP="00457C06"/>
          <w:p w14:paraId="6B97AB91" w14:textId="77777777" w:rsidR="00216D48" w:rsidRPr="00E273A4" w:rsidRDefault="004805B9" w:rsidP="00457C06">
            <w:r>
              <w:t>a</w:t>
            </w:r>
          </w:p>
        </w:tc>
      </w:tr>
      <w:tr w:rsidR="00216D48" w:rsidRPr="004D2355" w14:paraId="2CB2B337" w14:textId="77777777" w:rsidTr="00216D48">
        <w:trPr>
          <w:jc w:val="center"/>
        </w:trPr>
        <w:tc>
          <w:tcPr>
            <w:tcW w:w="3972" w:type="dxa"/>
          </w:tcPr>
          <w:p w14:paraId="21C017E8" w14:textId="77777777" w:rsidR="00216D48" w:rsidRDefault="00216D48" w:rsidP="00457C06"/>
          <w:p w14:paraId="6161F3F3" w14:textId="77777777" w:rsidR="00216D48" w:rsidRPr="004D2355" w:rsidRDefault="00216D48" w:rsidP="00457C06">
            <w:r>
              <w:t>Dodavatel</w:t>
            </w:r>
            <w:r w:rsidRPr="004D2355">
              <w:t>:</w:t>
            </w:r>
          </w:p>
        </w:tc>
        <w:tc>
          <w:tcPr>
            <w:tcW w:w="5100" w:type="dxa"/>
          </w:tcPr>
          <w:p w14:paraId="05D894DC" w14:textId="77777777" w:rsidR="00216D48" w:rsidRPr="00D02C24" w:rsidRDefault="00216D48" w:rsidP="00457C06">
            <w:pPr>
              <w:rPr>
                <w:rStyle w:val="platne"/>
                <w:b/>
              </w:rPr>
            </w:pPr>
          </w:p>
          <w:p w14:paraId="60D37EC2" w14:textId="77777777" w:rsidR="00216D48" w:rsidRPr="00D02C24" w:rsidRDefault="00216D48" w:rsidP="00457C06">
            <w:pPr>
              <w:rPr>
                <w:b/>
              </w:rPr>
            </w:pPr>
            <w:r w:rsidRPr="00764159">
              <w:rPr>
                <w:b/>
              </w:rPr>
              <w:t>STERIPAK s.r.o.</w:t>
            </w:r>
          </w:p>
        </w:tc>
      </w:tr>
      <w:tr w:rsidR="00216D48" w:rsidRPr="00162AA1" w14:paraId="3D50C19E" w14:textId="77777777" w:rsidTr="00216D48">
        <w:trPr>
          <w:jc w:val="center"/>
        </w:trPr>
        <w:tc>
          <w:tcPr>
            <w:tcW w:w="3972" w:type="dxa"/>
          </w:tcPr>
          <w:p w14:paraId="5E921D8B" w14:textId="77777777" w:rsidR="00216D48" w:rsidRPr="000C32EF" w:rsidRDefault="00216D48" w:rsidP="00457C06">
            <w:r w:rsidRPr="000C32EF">
              <w:t>sídlo:</w:t>
            </w:r>
          </w:p>
        </w:tc>
        <w:tc>
          <w:tcPr>
            <w:tcW w:w="5100" w:type="dxa"/>
          </w:tcPr>
          <w:p w14:paraId="26845229" w14:textId="77777777" w:rsidR="00216D48" w:rsidRPr="00D02C24" w:rsidRDefault="00216D48" w:rsidP="00457C06">
            <w:r>
              <w:t>Modřice, Poděbradova 849</w:t>
            </w:r>
            <w:r w:rsidRPr="00D02C24">
              <w:t xml:space="preserve">, PSČ </w:t>
            </w:r>
            <w:r>
              <w:t>664 42</w:t>
            </w:r>
          </w:p>
        </w:tc>
      </w:tr>
      <w:tr w:rsidR="00216D48" w:rsidRPr="00162AA1" w14:paraId="2F364403" w14:textId="77777777" w:rsidTr="00216D48">
        <w:trPr>
          <w:jc w:val="center"/>
        </w:trPr>
        <w:tc>
          <w:tcPr>
            <w:tcW w:w="3972" w:type="dxa"/>
          </w:tcPr>
          <w:p w14:paraId="5E209241" w14:textId="77777777" w:rsidR="00216D48" w:rsidRPr="00162AA1" w:rsidRDefault="00216D48" w:rsidP="00457C06">
            <w:r>
              <w:t>zastoupena:</w:t>
            </w:r>
          </w:p>
        </w:tc>
        <w:tc>
          <w:tcPr>
            <w:tcW w:w="5100" w:type="dxa"/>
          </w:tcPr>
          <w:p w14:paraId="2297A8DF" w14:textId="77777777" w:rsidR="00216D48" w:rsidRPr="00D02C24" w:rsidRDefault="00216D48" w:rsidP="00457C06">
            <w:r>
              <w:t>Vilém Švec,</w:t>
            </w:r>
            <w:r w:rsidRPr="00D02C24">
              <w:t xml:space="preserve"> </w:t>
            </w:r>
            <w:r>
              <w:t>jednatel</w:t>
            </w:r>
            <w:r w:rsidRPr="00D02C24">
              <w:t xml:space="preserve"> </w:t>
            </w:r>
          </w:p>
        </w:tc>
      </w:tr>
      <w:tr w:rsidR="00216D48" w:rsidRPr="00162AA1" w14:paraId="38C813EF" w14:textId="77777777" w:rsidTr="00216D48">
        <w:trPr>
          <w:jc w:val="center"/>
        </w:trPr>
        <w:tc>
          <w:tcPr>
            <w:tcW w:w="3972" w:type="dxa"/>
          </w:tcPr>
          <w:p w14:paraId="4FDBE821" w14:textId="77777777" w:rsidR="00216D48" w:rsidRDefault="00216D48" w:rsidP="00457C06">
            <w:r w:rsidRPr="00162AA1">
              <w:t>IČ</w:t>
            </w:r>
            <w:r w:rsidR="004805B9">
              <w:t>O</w:t>
            </w:r>
            <w:r w:rsidRPr="00162AA1">
              <w:t>:</w:t>
            </w:r>
          </w:p>
        </w:tc>
        <w:tc>
          <w:tcPr>
            <w:tcW w:w="5100" w:type="dxa"/>
          </w:tcPr>
          <w:p w14:paraId="426506F1" w14:textId="77777777" w:rsidR="00216D48" w:rsidRPr="00D02C24" w:rsidRDefault="00216D48" w:rsidP="00457C06">
            <w:r w:rsidRPr="00764159">
              <w:rPr>
                <w:rStyle w:val="platne"/>
              </w:rPr>
              <w:t>26225484</w:t>
            </w:r>
          </w:p>
        </w:tc>
      </w:tr>
      <w:tr w:rsidR="00216D48" w:rsidRPr="00162AA1" w14:paraId="5043174F" w14:textId="77777777" w:rsidTr="00216D48">
        <w:trPr>
          <w:jc w:val="center"/>
        </w:trPr>
        <w:tc>
          <w:tcPr>
            <w:tcW w:w="3972" w:type="dxa"/>
          </w:tcPr>
          <w:p w14:paraId="6EB17D21" w14:textId="77777777" w:rsidR="00216D48" w:rsidRDefault="00216D48" w:rsidP="00457C06">
            <w:r>
              <w:t>DIČ:</w:t>
            </w:r>
          </w:p>
        </w:tc>
        <w:tc>
          <w:tcPr>
            <w:tcW w:w="5100" w:type="dxa"/>
          </w:tcPr>
          <w:p w14:paraId="2A1A5BDE" w14:textId="77777777" w:rsidR="00216D48" w:rsidRPr="00D02C24" w:rsidRDefault="00216D48" w:rsidP="00457C06">
            <w:r>
              <w:t>CZ</w:t>
            </w:r>
            <w:r w:rsidRPr="00764159">
              <w:t>26225484</w:t>
            </w:r>
          </w:p>
        </w:tc>
      </w:tr>
      <w:tr w:rsidR="00216D48" w:rsidRPr="00162AA1" w14:paraId="6CD10B05" w14:textId="77777777" w:rsidTr="00216D48">
        <w:trPr>
          <w:cantSplit/>
          <w:trHeight w:val="481"/>
          <w:jc w:val="center"/>
        </w:trPr>
        <w:tc>
          <w:tcPr>
            <w:tcW w:w="9072" w:type="dxa"/>
            <w:gridSpan w:val="2"/>
          </w:tcPr>
          <w:p w14:paraId="38E20C5D" w14:textId="77777777" w:rsidR="00216D48" w:rsidRPr="00D02C24" w:rsidRDefault="00216D48" w:rsidP="00457C06">
            <w:pPr>
              <w:rPr>
                <w:sz w:val="20"/>
                <w:szCs w:val="20"/>
              </w:rPr>
            </w:pPr>
            <w:r w:rsidRPr="00D02C24">
              <w:rPr>
                <w:sz w:val="20"/>
                <w:szCs w:val="20"/>
              </w:rPr>
              <w:t xml:space="preserve">zapsána v Obchodním rejstříku </w:t>
            </w:r>
            <w:r>
              <w:rPr>
                <w:sz w:val="20"/>
                <w:szCs w:val="20"/>
              </w:rPr>
              <w:t>vedeném Krajským soudem v Brně</w:t>
            </w:r>
            <w:r w:rsidRPr="00D02C24">
              <w:rPr>
                <w:sz w:val="20"/>
                <w:szCs w:val="20"/>
              </w:rPr>
              <w:t xml:space="preserve">, oddíl </w:t>
            </w:r>
            <w:r>
              <w:rPr>
                <w:sz w:val="20"/>
                <w:szCs w:val="20"/>
              </w:rPr>
              <w:t>C</w:t>
            </w:r>
            <w:r w:rsidRPr="00D02C24">
              <w:rPr>
                <w:sz w:val="20"/>
                <w:szCs w:val="20"/>
              </w:rPr>
              <w:t xml:space="preserve">, vložka </w:t>
            </w:r>
            <w:r>
              <w:rPr>
                <w:sz w:val="20"/>
                <w:szCs w:val="20"/>
              </w:rPr>
              <w:t>38010</w:t>
            </w:r>
          </w:p>
          <w:p w14:paraId="53011D62" w14:textId="77777777" w:rsidR="00216D48" w:rsidRPr="00D02C24" w:rsidRDefault="00216D48" w:rsidP="00457C06">
            <w:r w:rsidRPr="00D02C24">
              <w:t>(dále jen jako „</w:t>
            </w:r>
            <w:r w:rsidRPr="00D02C24">
              <w:rPr>
                <w:b/>
              </w:rPr>
              <w:t>prodávající</w:t>
            </w:r>
            <w:r w:rsidRPr="00D02C24">
              <w:t>“)</w:t>
            </w:r>
          </w:p>
        </w:tc>
      </w:tr>
      <w:tr w:rsidR="00216D48" w:rsidRPr="00162AA1" w14:paraId="1222F477" w14:textId="77777777" w:rsidTr="00216D48">
        <w:trPr>
          <w:cantSplit/>
          <w:trHeight w:val="481"/>
          <w:jc w:val="center"/>
        </w:trPr>
        <w:tc>
          <w:tcPr>
            <w:tcW w:w="9072" w:type="dxa"/>
            <w:gridSpan w:val="2"/>
          </w:tcPr>
          <w:p w14:paraId="2AA0B787" w14:textId="77777777" w:rsidR="00216D48" w:rsidRPr="00E273A4" w:rsidRDefault="00216D48" w:rsidP="00457C06">
            <w:pPr>
              <w:jc w:val="center"/>
            </w:pPr>
          </w:p>
          <w:p w14:paraId="72AD817E" w14:textId="77777777" w:rsidR="00216D48" w:rsidRPr="00D77ED8" w:rsidRDefault="00216D48" w:rsidP="00457C06">
            <w:pPr>
              <w:jc w:val="center"/>
              <w:rPr>
                <w:szCs w:val="22"/>
              </w:rPr>
            </w:pPr>
            <w:r w:rsidRPr="00D77ED8">
              <w:rPr>
                <w:szCs w:val="22"/>
              </w:rPr>
              <w:t>společně v textu jako „</w:t>
            </w:r>
            <w:r w:rsidRPr="00D77ED8">
              <w:rPr>
                <w:b/>
                <w:szCs w:val="22"/>
              </w:rPr>
              <w:t>smluvní strany</w:t>
            </w:r>
            <w:r w:rsidRPr="00D77ED8">
              <w:rPr>
                <w:szCs w:val="22"/>
              </w:rPr>
              <w:t xml:space="preserve">“ uzavírají níže uvedeného dne, měsíce a roku tento Dodatek č. </w:t>
            </w:r>
            <w:r>
              <w:rPr>
                <w:szCs w:val="22"/>
              </w:rPr>
              <w:t>1</w:t>
            </w:r>
            <w:r w:rsidRPr="00D77ED8">
              <w:rPr>
                <w:szCs w:val="22"/>
              </w:rPr>
              <w:t xml:space="preserve"> (dále jen „</w:t>
            </w:r>
            <w:r w:rsidRPr="00D77ED8">
              <w:rPr>
                <w:b/>
                <w:szCs w:val="22"/>
              </w:rPr>
              <w:t>Dodatek</w:t>
            </w:r>
            <w:r w:rsidRPr="00D77ED8">
              <w:rPr>
                <w:szCs w:val="22"/>
              </w:rPr>
              <w:t>“):</w:t>
            </w:r>
          </w:p>
          <w:p w14:paraId="054DBB9C" w14:textId="77777777" w:rsidR="00216D48" w:rsidRPr="00E273A4" w:rsidRDefault="00216D48" w:rsidP="00457C06">
            <w:pPr>
              <w:jc w:val="center"/>
            </w:pPr>
          </w:p>
        </w:tc>
      </w:tr>
      <w:tr w:rsidR="004805B9" w:rsidRPr="00162AA1" w14:paraId="16160125" w14:textId="77777777" w:rsidTr="00216D48">
        <w:trPr>
          <w:cantSplit/>
          <w:trHeight w:val="481"/>
          <w:jc w:val="center"/>
        </w:trPr>
        <w:tc>
          <w:tcPr>
            <w:tcW w:w="9072" w:type="dxa"/>
            <w:gridSpan w:val="2"/>
          </w:tcPr>
          <w:p w14:paraId="620933D3" w14:textId="77777777" w:rsidR="004805B9" w:rsidRPr="00E273A4" w:rsidRDefault="004805B9" w:rsidP="004805B9"/>
        </w:tc>
      </w:tr>
      <w:tr w:rsidR="004805B9" w:rsidRPr="00162AA1" w14:paraId="79C94665" w14:textId="77777777" w:rsidTr="00216D48">
        <w:trPr>
          <w:cantSplit/>
          <w:trHeight w:val="481"/>
          <w:jc w:val="center"/>
        </w:trPr>
        <w:tc>
          <w:tcPr>
            <w:tcW w:w="9072" w:type="dxa"/>
            <w:gridSpan w:val="2"/>
          </w:tcPr>
          <w:p w14:paraId="65369399" w14:textId="77777777" w:rsidR="004805B9" w:rsidRPr="00E273A4" w:rsidRDefault="004805B9" w:rsidP="004805B9"/>
        </w:tc>
      </w:tr>
    </w:tbl>
    <w:p w14:paraId="399E8D86" w14:textId="77777777" w:rsidR="00216D48" w:rsidRPr="000E73DF" w:rsidRDefault="00216D48" w:rsidP="00216D48">
      <w:pPr>
        <w:pStyle w:val="Nadpis1"/>
        <w:rPr>
          <w:rFonts w:ascii="Century Gothic" w:hAnsi="Century Gothic"/>
        </w:rPr>
      </w:pPr>
      <w:r w:rsidRPr="00393708">
        <w:rPr>
          <w:lang w:val="pl-PL"/>
        </w:rPr>
        <w:br/>
      </w:r>
      <w:r w:rsidRPr="000E73DF">
        <w:rPr>
          <w:rFonts w:ascii="Century Gothic" w:hAnsi="Century Gothic"/>
        </w:rPr>
        <w:t>Úvodní ustanovení</w:t>
      </w:r>
    </w:p>
    <w:p w14:paraId="12A818D6" w14:textId="77777777" w:rsidR="00216D48" w:rsidRPr="00A47A28" w:rsidRDefault="00216D48" w:rsidP="00216D48">
      <w:pPr>
        <w:pStyle w:val="rove2"/>
        <w:ind w:left="851" w:hanging="851"/>
      </w:pPr>
      <w:r>
        <w:t>S</w:t>
      </w:r>
      <w:r w:rsidRPr="00A605E8">
        <w:t>mluvní strany prohlašují, že jsou op</w:t>
      </w:r>
      <w:r>
        <w:t>rávněny tento Dodatek uzavřít a </w:t>
      </w:r>
      <w:r w:rsidRPr="00A605E8">
        <w:t xml:space="preserve">řádně plnit závazky v něm obsažené, a že splňují veškeré podmínky </w:t>
      </w:r>
      <w:r>
        <w:t>a </w:t>
      </w:r>
      <w:r w:rsidRPr="00A47A28">
        <w:t>požadavky stanovené</w:t>
      </w:r>
      <w:r>
        <w:t xml:space="preserve"> platnými</w:t>
      </w:r>
      <w:r w:rsidRPr="00A47A28">
        <w:t xml:space="preserve"> </w:t>
      </w:r>
      <w:r>
        <w:t xml:space="preserve">právními předpisy </w:t>
      </w:r>
      <w:r w:rsidRPr="00A47A28">
        <w:t>k jeho uzavření.</w:t>
      </w:r>
    </w:p>
    <w:p w14:paraId="55CD8456" w14:textId="77777777" w:rsidR="00216D48" w:rsidRDefault="00216D48" w:rsidP="00216D48">
      <w:pPr>
        <w:pStyle w:val="rove2"/>
        <w:ind w:left="851" w:hanging="851"/>
      </w:pPr>
      <w:r>
        <w:t>S</w:t>
      </w:r>
      <w:r w:rsidRPr="00A605E8">
        <w:t xml:space="preserve">mluvní strany </w:t>
      </w:r>
      <w:r>
        <w:t>shodně</w:t>
      </w:r>
      <w:r w:rsidRPr="00A605E8">
        <w:t xml:space="preserve"> prohlašují, že </w:t>
      </w:r>
      <w:r>
        <w:t xml:space="preserve">dne </w:t>
      </w:r>
      <w:r w:rsidR="00374015">
        <w:t>18</w:t>
      </w:r>
      <w:r w:rsidR="004805B9">
        <w:t>.1. 2022</w:t>
      </w:r>
      <w:r w:rsidRPr="00393708">
        <w:t xml:space="preserve"> </w:t>
      </w:r>
      <w:r>
        <w:t>mezi sebou uzavřely Rámcovou kupní smlouvu, jejímž předmětem je stanovení rámcových podmínek pro dodávky zboží prodávajícím kupujícímu, ve znění pozdějších dodatků (dále jen „</w:t>
      </w:r>
      <w:r w:rsidRPr="00917DC5">
        <w:t>Smlouva</w:t>
      </w:r>
      <w:r>
        <w:t>“).</w:t>
      </w:r>
    </w:p>
    <w:p w14:paraId="485AB2BB" w14:textId="77777777" w:rsidR="00216D48" w:rsidRDefault="00216D48" w:rsidP="00216D48">
      <w:pPr>
        <w:pStyle w:val="rove2"/>
        <w:numPr>
          <w:ilvl w:val="0"/>
          <w:numId w:val="0"/>
        </w:numPr>
        <w:ind w:left="851"/>
      </w:pPr>
    </w:p>
    <w:p w14:paraId="5A878174" w14:textId="77777777" w:rsidR="00216D48" w:rsidRDefault="00216D48" w:rsidP="00216D48">
      <w:pPr>
        <w:pStyle w:val="Nadpis1"/>
        <w:rPr>
          <w:rFonts w:ascii="Century Gothic" w:hAnsi="Century Gothic"/>
        </w:rPr>
      </w:pPr>
      <w:r w:rsidRPr="00393708">
        <w:t xml:space="preserve"> </w:t>
      </w:r>
      <w:r w:rsidRPr="00393708">
        <w:br/>
      </w:r>
      <w:r w:rsidRPr="006C0223">
        <w:rPr>
          <w:rFonts w:ascii="Century Gothic" w:hAnsi="Century Gothic"/>
        </w:rPr>
        <w:t>Předmět Dodatku</w:t>
      </w:r>
    </w:p>
    <w:p w14:paraId="1B7E30F6" w14:textId="77777777" w:rsidR="00216D48" w:rsidRDefault="00216D48" w:rsidP="00216D48">
      <w:pPr>
        <w:pStyle w:val="rove2"/>
        <w:ind w:left="851" w:hanging="851"/>
      </w:pPr>
      <w:r w:rsidRPr="00651184">
        <w:t xml:space="preserve">Smluvní strany tímto Dodatkem mění </w:t>
      </w:r>
      <w:r>
        <w:t>Přílohu č. 1 Smlouvy a nahrazují ji následující novou přílohou:</w:t>
      </w:r>
    </w:p>
    <w:p w14:paraId="5328FD78" w14:textId="77777777" w:rsidR="00216D48" w:rsidRDefault="00216D48" w:rsidP="00216D48">
      <w:pPr>
        <w:pStyle w:val="rove2"/>
        <w:numPr>
          <w:ilvl w:val="0"/>
          <w:numId w:val="0"/>
        </w:numPr>
        <w:ind w:left="851"/>
      </w:pPr>
      <w:r w:rsidRPr="00D14FCE">
        <w:rPr>
          <w:b/>
        </w:rPr>
        <w:t>Přílo</w:t>
      </w:r>
      <w:r>
        <w:rPr>
          <w:b/>
        </w:rPr>
        <w:t xml:space="preserve">ha č. 1 – </w:t>
      </w:r>
      <w:r w:rsidRPr="00D14FCE">
        <w:rPr>
          <w:b/>
        </w:rPr>
        <w:t>Specifikace a ceník zboží</w:t>
      </w:r>
      <w:r>
        <w:t>,</w:t>
      </w:r>
    </w:p>
    <w:p w14:paraId="6690D5F5" w14:textId="77777777" w:rsidR="00216D48" w:rsidRPr="00D14FCE" w:rsidRDefault="00216D48" w:rsidP="00216D48">
      <w:pPr>
        <w:pStyle w:val="rove2"/>
        <w:numPr>
          <w:ilvl w:val="0"/>
          <w:numId w:val="0"/>
        </w:numPr>
        <w:ind w:left="851"/>
      </w:pPr>
      <w:r>
        <w:t>která je přílohou tohoto Dodatku.</w:t>
      </w:r>
    </w:p>
    <w:p w14:paraId="5D6D1163" w14:textId="77777777" w:rsidR="00216D48" w:rsidRDefault="00216D48" w:rsidP="00216D48">
      <w:pPr>
        <w:pStyle w:val="rove2"/>
        <w:ind w:left="851" w:hanging="851"/>
      </w:pPr>
      <w:r>
        <w:t>Ostatní ustanovení Smlouvy zůstávají beze změn.</w:t>
      </w:r>
    </w:p>
    <w:p w14:paraId="3C40E6B2" w14:textId="77777777" w:rsidR="00216D48" w:rsidRDefault="00216D48" w:rsidP="00216D48">
      <w:pPr>
        <w:pStyle w:val="rove2"/>
        <w:numPr>
          <w:ilvl w:val="0"/>
          <w:numId w:val="0"/>
        </w:numPr>
        <w:ind w:left="851"/>
      </w:pPr>
    </w:p>
    <w:p w14:paraId="20DF0B70" w14:textId="77777777" w:rsidR="00216D48" w:rsidRPr="006C0223" w:rsidRDefault="00216D48" w:rsidP="00216D48">
      <w:pPr>
        <w:pStyle w:val="Nadpis1"/>
        <w:rPr>
          <w:rFonts w:ascii="Century Gothic" w:hAnsi="Century Gothic"/>
          <w:szCs w:val="28"/>
        </w:rPr>
      </w:pPr>
      <w:r>
        <w:br/>
      </w:r>
      <w:r w:rsidRPr="006C0223">
        <w:rPr>
          <w:rFonts w:ascii="Century Gothic" w:hAnsi="Century Gothic"/>
          <w:szCs w:val="28"/>
        </w:rPr>
        <w:t>Závěrečná ustanovení</w:t>
      </w:r>
    </w:p>
    <w:p w14:paraId="27C69A2F" w14:textId="77777777" w:rsidR="00216D48" w:rsidRPr="00253B09" w:rsidRDefault="00216D48" w:rsidP="00216D48">
      <w:pPr>
        <w:pStyle w:val="rove2"/>
        <w:ind w:left="851" w:hanging="851"/>
      </w:pPr>
      <w:r w:rsidRPr="00253B09">
        <w:t xml:space="preserve">Tento Dodatek nabývá platnosti </w:t>
      </w:r>
      <w:r>
        <w:t xml:space="preserve">dnem jeho podpisu oběma smluvními stranami a účinnosti </w:t>
      </w:r>
      <w:r w:rsidRPr="00253B09">
        <w:t xml:space="preserve">dnem </w:t>
      </w:r>
      <w:r w:rsidR="00B04868">
        <w:t>zveřej</w:t>
      </w:r>
      <w:r w:rsidR="00A1254A">
        <w:t>n</w:t>
      </w:r>
      <w:r w:rsidR="00B04868">
        <w:t>ěním v</w:t>
      </w:r>
      <w:r w:rsidR="00A1254A">
        <w:t> </w:t>
      </w:r>
      <w:r w:rsidR="00B04868">
        <w:t>regist</w:t>
      </w:r>
      <w:r w:rsidR="00A1254A">
        <w:t>ru smluv</w:t>
      </w:r>
      <w:r>
        <w:t>.</w:t>
      </w:r>
    </w:p>
    <w:p w14:paraId="0915D664" w14:textId="77777777" w:rsidR="00216D48" w:rsidRPr="007053CF" w:rsidRDefault="00216D48" w:rsidP="00216D48">
      <w:pPr>
        <w:pStyle w:val="rove2"/>
        <w:ind w:left="851" w:hanging="851"/>
      </w:pPr>
      <w:r>
        <w:t>D</w:t>
      </w:r>
      <w:r w:rsidRPr="007053CF">
        <w:t>odatek</w:t>
      </w:r>
      <w:r>
        <w:t xml:space="preserve"> </w:t>
      </w:r>
      <w:r w:rsidRPr="007053CF">
        <w:t xml:space="preserve">je vyhotoven ve dvou stejnopisech, z nichž každá ze stran obdrží po jednom. </w:t>
      </w:r>
    </w:p>
    <w:p w14:paraId="25CE8196" w14:textId="77777777" w:rsidR="00216D48" w:rsidRDefault="00216D48" w:rsidP="00216D48">
      <w:pPr>
        <w:pStyle w:val="rove2"/>
        <w:ind w:left="851" w:hanging="851"/>
      </w:pPr>
      <w:r w:rsidRPr="007053CF">
        <w:t xml:space="preserve">Smluvní strany prohlašují, že si tento </w:t>
      </w:r>
      <w:r>
        <w:t>D</w:t>
      </w:r>
      <w:r w:rsidRPr="007053CF">
        <w:t>odatek přečetly, jeho obsahu porozuměly a prohlašují, že je výrazem jejich pravé a svobodné vůle a není uzavírán v tísni či za nápadně nevýhodných podmínek, což stvrzují svými podpisy.</w:t>
      </w:r>
    </w:p>
    <w:p w14:paraId="7E4E275D" w14:textId="77777777" w:rsidR="00216D48" w:rsidRDefault="00216D48" w:rsidP="00216D48">
      <w:pPr>
        <w:rPr>
          <w:color w:val="FF0000"/>
        </w:rPr>
      </w:pPr>
    </w:p>
    <w:p w14:paraId="17490CC1" w14:textId="77777777" w:rsidR="00216D48" w:rsidRPr="007C0839" w:rsidRDefault="00216D48" w:rsidP="00216D48">
      <w:pPr>
        <w:rPr>
          <w:color w:val="FF0000"/>
        </w:rPr>
      </w:pPr>
    </w:p>
    <w:tbl>
      <w:tblPr>
        <w:tblStyle w:val="Mkatabulky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73"/>
        <w:gridCol w:w="4324"/>
      </w:tblGrid>
      <w:tr w:rsidR="00216D48" w:rsidRPr="00601F55" w14:paraId="7B8CEC85" w14:textId="77777777" w:rsidTr="00216D48">
        <w:trPr>
          <w:trHeight w:val="180"/>
        </w:trPr>
        <w:tc>
          <w:tcPr>
            <w:tcW w:w="4395" w:type="dxa"/>
          </w:tcPr>
          <w:p w14:paraId="687B063A" w14:textId="77777777" w:rsidR="00216D48" w:rsidRPr="003424A4" w:rsidRDefault="00216D48" w:rsidP="00457C06">
            <w:pPr>
              <w:jc w:val="center"/>
              <w:rPr>
                <w:sz w:val="22"/>
                <w:szCs w:val="22"/>
              </w:rPr>
            </w:pPr>
            <w:r w:rsidRPr="003424A4">
              <w:t>V </w:t>
            </w:r>
            <w:r>
              <w:rPr>
                <w:lang w:val="pl-PL"/>
              </w:rPr>
              <w:t>Jablonci nad Nisou</w:t>
            </w:r>
            <w:r w:rsidRPr="003424A4">
              <w:t xml:space="preserve"> dne </w:t>
            </w:r>
          </w:p>
        </w:tc>
        <w:tc>
          <w:tcPr>
            <w:tcW w:w="673" w:type="dxa"/>
          </w:tcPr>
          <w:p w14:paraId="52AACF2A" w14:textId="77777777" w:rsidR="00216D48" w:rsidRPr="003424A4" w:rsidRDefault="00216D48" w:rsidP="0045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4" w:type="dxa"/>
          </w:tcPr>
          <w:p w14:paraId="7DDA4DE7" w14:textId="77777777" w:rsidR="00216D48" w:rsidRDefault="00216D48" w:rsidP="00457C06">
            <w:pPr>
              <w:jc w:val="center"/>
            </w:pPr>
            <w:r w:rsidRPr="003424A4">
              <w:t>V </w:t>
            </w:r>
            <w:r>
              <w:t>Modřicích</w:t>
            </w:r>
            <w:r w:rsidRPr="003424A4">
              <w:t xml:space="preserve"> dne </w:t>
            </w:r>
          </w:p>
          <w:p w14:paraId="3AEB9A58" w14:textId="77777777" w:rsidR="00216D48" w:rsidRPr="003424A4" w:rsidRDefault="00216D48" w:rsidP="00457C06">
            <w:pPr>
              <w:jc w:val="center"/>
            </w:pPr>
          </w:p>
        </w:tc>
      </w:tr>
      <w:tr w:rsidR="00216D48" w:rsidRPr="00601F55" w14:paraId="157F605A" w14:textId="77777777" w:rsidTr="00216D48">
        <w:trPr>
          <w:trHeight w:val="964"/>
        </w:trPr>
        <w:tc>
          <w:tcPr>
            <w:tcW w:w="4395" w:type="dxa"/>
          </w:tcPr>
          <w:p w14:paraId="685AA040" w14:textId="77777777" w:rsidR="00216D48" w:rsidRPr="00601F55" w:rsidRDefault="00216D48" w:rsidP="00457C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14:paraId="77C2B3DA" w14:textId="77777777" w:rsidR="00216D48" w:rsidRPr="00601F55" w:rsidRDefault="00216D48" w:rsidP="00457C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24" w:type="dxa"/>
          </w:tcPr>
          <w:p w14:paraId="037AB506" w14:textId="77777777" w:rsidR="00216D48" w:rsidRPr="00601F55" w:rsidRDefault="00216D48" w:rsidP="00457C0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16D48" w:rsidRPr="00601F55" w14:paraId="2F74CE52" w14:textId="77777777" w:rsidTr="00216D48">
        <w:trPr>
          <w:trHeight w:val="353"/>
        </w:trPr>
        <w:tc>
          <w:tcPr>
            <w:tcW w:w="4395" w:type="dxa"/>
          </w:tcPr>
          <w:p w14:paraId="52A026E0" w14:textId="77777777" w:rsidR="00A1254A" w:rsidRDefault="00EC1068" w:rsidP="00216D48">
            <w:pPr>
              <w:ind w:left="-252" w:right="-316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pict w14:anchorId="6B13A5B2">
                <v:rect id="_x0000_i1025" style="width:161.6pt;height:1.25pt" o:hrpct="787" o:hralign="center" o:hrstd="t" o:hr="t" fillcolor="#a0a0a0" stroked="f"/>
              </w:pict>
            </w:r>
          </w:p>
          <w:p w14:paraId="65003278" w14:textId="77777777" w:rsidR="00A1254A" w:rsidRDefault="00A1254A" w:rsidP="00216D48">
            <w:pPr>
              <w:ind w:left="-252" w:right="-316"/>
              <w:jc w:val="center"/>
              <w:rPr>
                <w:rStyle w:val="platne"/>
              </w:rPr>
            </w:pPr>
            <w:r>
              <w:rPr>
                <w:rStyle w:val="platne"/>
              </w:rPr>
              <w:t>kupující</w:t>
            </w:r>
          </w:p>
          <w:p w14:paraId="539D104A" w14:textId="66814171" w:rsidR="00216D48" w:rsidRPr="00B24C36" w:rsidRDefault="00216D48" w:rsidP="00216D48">
            <w:pPr>
              <w:ind w:left="-252" w:right="-316"/>
              <w:jc w:val="center"/>
              <w:rPr>
                <w:rStyle w:val="platne"/>
                <w:szCs w:val="22"/>
              </w:rPr>
            </w:pPr>
            <w:r w:rsidRPr="00A1254A">
              <w:rPr>
                <w:rStyle w:val="platne"/>
                <w:b/>
              </w:rPr>
              <w:t>Nemocnice Jablonec nad Nisou</w:t>
            </w:r>
            <w:r w:rsidR="000A6B16">
              <w:rPr>
                <w:rStyle w:val="platne"/>
                <w:b/>
              </w:rPr>
              <w:t>,</w:t>
            </w:r>
            <w:r w:rsidRPr="00A1254A">
              <w:rPr>
                <w:rStyle w:val="platne"/>
                <w:b/>
              </w:rPr>
              <w:t xml:space="preserve"> p</w:t>
            </w:r>
            <w:r>
              <w:rPr>
                <w:rStyle w:val="platne"/>
              </w:rPr>
              <w:t>.</w:t>
            </w:r>
            <w:r w:rsidRPr="00A1254A">
              <w:rPr>
                <w:rStyle w:val="platne"/>
                <w:b/>
              </w:rPr>
              <w:t>o</w:t>
            </w:r>
            <w:r>
              <w:rPr>
                <w:rStyle w:val="platne"/>
              </w:rPr>
              <w:t>.</w:t>
            </w:r>
          </w:p>
          <w:p w14:paraId="4B86D9E6" w14:textId="77777777" w:rsidR="00216D48" w:rsidRPr="00A1254A" w:rsidRDefault="00A1254A" w:rsidP="00A1254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A1254A">
              <w:rPr>
                <w:rFonts w:ascii="Times New Roman" w:hAnsi="Times New Roman"/>
                <w:bCs/>
                <w:szCs w:val="22"/>
              </w:rPr>
              <w:t>MUDr. Vít Němeček, MBA</w:t>
            </w:r>
          </w:p>
          <w:p w14:paraId="0F621F6E" w14:textId="77777777" w:rsidR="00A1254A" w:rsidRPr="00B24C36" w:rsidRDefault="00A1254A" w:rsidP="00A1254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1254A">
              <w:rPr>
                <w:rFonts w:ascii="Times New Roman" w:hAnsi="Times New Roman"/>
                <w:bCs/>
                <w:szCs w:val="22"/>
              </w:rPr>
              <w:t>ředitel</w:t>
            </w:r>
          </w:p>
        </w:tc>
        <w:tc>
          <w:tcPr>
            <w:tcW w:w="673" w:type="dxa"/>
          </w:tcPr>
          <w:p w14:paraId="425C6E64" w14:textId="77777777" w:rsidR="00216D48" w:rsidRDefault="00216D48" w:rsidP="00457C0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6F03CB57" w14:textId="77777777" w:rsidR="00A1254A" w:rsidRDefault="00A1254A" w:rsidP="00457C0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14:paraId="7F9CC0B6" w14:textId="77777777" w:rsidR="00A1254A" w:rsidRPr="00B24C36" w:rsidRDefault="00A1254A" w:rsidP="00457C06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324" w:type="dxa"/>
          </w:tcPr>
          <w:p w14:paraId="3B9A0CEA" w14:textId="77777777" w:rsidR="00A1254A" w:rsidRDefault="00EC1068" w:rsidP="00457C06">
            <w:pPr>
              <w:jc w:val="center"/>
              <w:rPr>
                <w:rStyle w:val="platne"/>
                <w:szCs w:val="22"/>
              </w:rPr>
            </w:pPr>
            <w:r>
              <w:rPr>
                <w:b/>
                <w:bCs/>
                <w:szCs w:val="22"/>
              </w:rPr>
              <w:pict w14:anchorId="6BC88A62">
                <v:rect id="_x0000_i1026" style="width:161.6pt;height:1.25pt" o:hrpct="787" o:hralign="center" o:hrstd="t" o:hr="t" fillcolor="#a0a0a0" stroked="f"/>
              </w:pict>
            </w:r>
            <w:r w:rsidR="00A1254A" w:rsidRPr="00A1254A">
              <w:rPr>
                <w:bCs/>
                <w:szCs w:val="22"/>
              </w:rPr>
              <w:t>prodávající</w:t>
            </w:r>
            <w:r w:rsidR="00216D48" w:rsidRPr="00A1254A">
              <w:rPr>
                <w:rStyle w:val="platne"/>
                <w:szCs w:val="22"/>
              </w:rPr>
              <w:t xml:space="preserve"> </w:t>
            </w:r>
          </w:p>
          <w:p w14:paraId="1FEE3E28" w14:textId="77777777" w:rsidR="00216D48" w:rsidRPr="00B24C36" w:rsidRDefault="00216D48" w:rsidP="00457C06">
            <w:pPr>
              <w:jc w:val="center"/>
              <w:rPr>
                <w:rStyle w:val="platne"/>
                <w:szCs w:val="22"/>
              </w:rPr>
            </w:pPr>
            <w:r w:rsidRPr="00764159">
              <w:rPr>
                <w:rStyle w:val="platne"/>
                <w:b/>
                <w:szCs w:val="22"/>
              </w:rPr>
              <w:t>STERIPAK s.r.o</w:t>
            </w:r>
            <w:r w:rsidRPr="00B24C36">
              <w:rPr>
                <w:rStyle w:val="platne"/>
                <w:b/>
                <w:szCs w:val="22"/>
              </w:rPr>
              <w:t>.</w:t>
            </w:r>
          </w:p>
          <w:p w14:paraId="11D35382" w14:textId="77777777" w:rsidR="00216D48" w:rsidRPr="00B24C36" w:rsidRDefault="00216D48" w:rsidP="00457C06">
            <w:pPr>
              <w:jc w:val="center"/>
              <w:rPr>
                <w:rStyle w:val="platne"/>
                <w:szCs w:val="22"/>
              </w:rPr>
            </w:pPr>
            <w:r>
              <w:rPr>
                <w:rStyle w:val="platne"/>
                <w:szCs w:val="22"/>
              </w:rPr>
              <w:t>Vilém Švec</w:t>
            </w:r>
          </w:p>
          <w:p w14:paraId="733766EF" w14:textId="77777777" w:rsidR="00216D48" w:rsidRPr="00B24C36" w:rsidRDefault="00216D48" w:rsidP="00457C06">
            <w:pPr>
              <w:jc w:val="center"/>
              <w:rPr>
                <w:szCs w:val="22"/>
              </w:rPr>
            </w:pPr>
            <w:r w:rsidRPr="00B24C36">
              <w:rPr>
                <w:rStyle w:val="platne"/>
                <w:szCs w:val="22"/>
              </w:rPr>
              <w:t>jednatel</w:t>
            </w:r>
          </w:p>
        </w:tc>
      </w:tr>
    </w:tbl>
    <w:p w14:paraId="2F1BDE0E" w14:textId="77777777" w:rsidR="00216D48" w:rsidRDefault="00216D48"/>
    <w:p w14:paraId="5B2296C0" w14:textId="77777777" w:rsidR="00216D48" w:rsidRDefault="00216D48" w:rsidP="00216D48">
      <w:pPr>
        <w:pStyle w:val="Podnadpis"/>
      </w:pPr>
      <w:r>
        <w:br w:type="page"/>
      </w:r>
    </w:p>
    <w:p w14:paraId="58FE3185" w14:textId="77777777" w:rsidR="005F7E2B" w:rsidRDefault="008166F6">
      <w:r>
        <w:lastRenderedPageBreak/>
        <w:t>Příloha č.1 – specifikace a ceník zboží</w:t>
      </w:r>
    </w:p>
    <w:p w14:paraId="2ABE9921" w14:textId="77777777" w:rsidR="008166F6" w:rsidRDefault="008166F6"/>
    <w:p w14:paraId="6D054A59" w14:textId="43843B63" w:rsidR="008166F6" w:rsidRDefault="008166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915BAC">
        <w:instrText xml:space="preserve">Excel.Sheet.8 "C:\\Poptávková řízení\\SZM\\2021\\sterilizační obaly\\dodatek č. 1 navýšení cen\\porovnání staré vs nové ceny.xls" List1!R1C1:R72C4 </w:instrText>
      </w:r>
      <w:r>
        <w:instrText xml:space="preserve">\a \f 4 \h </w:instrText>
      </w:r>
      <w:r>
        <w:fldChar w:fldCharType="separate"/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520"/>
        <w:gridCol w:w="280"/>
        <w:gridCol w:w="920"/>
      </w:tblGrid>
      <w:tr w:rsidR="008166F6" w:rsidRPr="008166F6" w14:paraId="7F92EBA1" w14:textId="77777777" w:rsidTr="008166F6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021D7B" w14:textId="77777777" w:rsidR="008166F6" w:rsidRPr="008166F6" w:rsidRDefault="008166F6" w:rsidP="008166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320048" w14:textId="77777777" w:rsidR="008166F6" w:rsidRPr="008166F6" w:rsidRDefault="008166F6" w:rsidP="008166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2B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40F8BB" w14:textId="77777777" w:rsidR="008166F6" w:rsidRPr="008166F6" w:rsidRDefault="008166F6" w:rsidP="008166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Nová cena za MJ bez DPH</w:t>
            </w:r>
          </w:p>
        </w:tc>
      </w:tr>
      <w:tr w:rsidR="008166F6" w:rsidRPr="008166F6" w14:paraId="44442835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D8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30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30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 EO sterilizace, 100 x 360 x 50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19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F7B9" w14:textId="1DB3D4F9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0570A84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55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31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D8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400 x 50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B6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0127" w14:textId="16FE211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F2E0E7B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929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E0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460 x 50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8D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CA5C" w14:textId="2E49020B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0518FEC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D4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33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5C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200 x 500 x 55 mm, 250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0AC9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6A01" w14:textId="41E035CA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093345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5E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34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5F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300 x 550 x 80 mm, 250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68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9119" w14:textId="517C5F66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995957A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EC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35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AD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300 x 50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99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A4A8" w14:textId="2B649DCE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067483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7F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36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0D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200 x 400 x 55 mm, 250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B5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E531" w14:textId="4E06A1D4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3FB54BB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CE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37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03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250 x 480 x 65 mm, 250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13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D969" w14:textId="6F7B327B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4537117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DA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 38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F3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420 x 570 x 100 mm, 250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264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2DD8" w14:textId="644C8B2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145D1D60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CF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CB 1/10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9E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ochranný sáček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Cover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Bag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pro transport a dlouhodobé uskladnění, 150 x 270 mm, 100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2F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F886" w14:textId="678405C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D806098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68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CB 4/5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4F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ochranný sáček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Cover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Bag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pro transport a dlouhodobé uskladnění, 300 x 500 mm, 100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D20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BBD3" w14:textId="4EDF7C1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0B8E1AB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A5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CB 5/5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70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ochranný sáček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Cover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Bag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pro transport a dlouhodobé uskladnění, 400 x 550 mm, 100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E2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EC66" w14:textId="6EA93AE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57A0268C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41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CB 6/5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DA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ochranný sáček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Cover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Bag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pro transport a dlouhodobé uskladnění, 420 x 700 mm, 100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59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8B50" w14:textId="6D46807E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96DF2FE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25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F5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75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0F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016" w14:textId="44BC5F4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5A550FB4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A3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AF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100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627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A203" w14:textId="09A00A3A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19908A0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93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1E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150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BD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3ADD" w14:textId="5BB507F8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53C9A94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1E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A2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200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A2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9F72" w14:textId="4AFF9813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82D6D0F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22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4F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250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CF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473B" w14:textId="4A79E8B8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B385BCF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55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60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300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BFC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25F0" w14:textId="41E1B030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15C7F85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A3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0C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350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986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E57B" w14:textId="0A30F702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057EFB8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10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LTR 47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C5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plochá role s indikátorem plazmové sterilizace, 400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66E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88E8" w14:textId="1380CBD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BFA3EAE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B9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1025/1000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0E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100 x 250 mm, 1000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59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3BAE" w14:textId="4F18AEDA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A386CA6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31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1530/1000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55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150 x 300 mm, 1000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478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52AD" w14:textId="00F8C06F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D777FBB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FD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1644/600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1A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160 x 440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D8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95E6" w14:textId="61FB10A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7F9F7E4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75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1660/600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FB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160 x 600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3B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F5B6" w14:textId="77B9D41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CA76A5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F8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2038/1200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DB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205 x 380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455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76AB" w14:textId="2F0984D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E82C78D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A5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2538/600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23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250 x 380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53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F5C1" w14:textId="1B39FEE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7936C27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F4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2550/600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59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250 x 500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3FF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A2DA" w14:textId="1AF4B2BF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99B48F6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74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LTS 7520/1000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2C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TYVEK plochý sáček s indikátorem plazmové sterilizace, 75 x 200 mm, 1000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F24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BD9E" w14:textId="387A0029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3BCA89B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B2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39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5B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7B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DB44" w14:textId="3B64F644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0098AAA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12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40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E0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C3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6F17" w14:textId="2B487296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DFBDBD2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64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41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F1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01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C149" w14:textId="15609CD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FEEEDE2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A0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CF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12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BCFC" w14:textId="366DAE5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D30680C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4E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43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40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200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EB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27AA" w14:textId="28C6D97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4FAD9CF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C2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46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6E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350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F8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FE8B" w14:textId="6F92509F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0308B7C" w14:textId="77777777" w:rsidTr="00EC1068">
        <w:trPr>
          <w:trHeight w:val="2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6B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 47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51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400 mm x 200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98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926F" w14:textId="5B2BD726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5BB79065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1C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RB 52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41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50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8D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7830" w14:textId="3BE9C285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166F6" w:rsidRPr="008166F6" w14:paraId="5EDE654F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D0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RB 55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E2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 EO sterilizace, 300 x 80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0E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2BAE" w14:textId="11D82982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78E0A8F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34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RB 57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29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skládaná role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400 x 80 mm x 100 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70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EE89" w14:textId="2CBD14C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44DB02C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57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7E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50 x 250 mm, 2400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56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C2D" w14:textId="6CD1F040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65A0679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26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10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51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205 x 400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0F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44EE" w14:textId="4CFAB3A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47101C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9A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11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00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250 x 500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E9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C89D" w14:textId="48CBA10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3A1F2879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75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93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570 mm, 1800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849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2B69" w14:textId="46ED77B0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E9DB348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5D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13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74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400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CF1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A410" w14:textId="1F15753A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1B74920E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73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16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0B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250 x 380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A7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24E6" w14:textId="153F073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6EE9B1D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85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17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0E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50 x 200 mm, 3600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415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7148" w14:textId="2E03A377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9FEC465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E1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18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00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x 300 mm, 4200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D5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C023" w14:textId="5CA2DCB4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50626AA2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40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5C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x 200 mm, 2400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FD5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E5E" w14:textId="6EF9C260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314608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49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20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EB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300 mm, 1800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E1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8620" w14:textId="7EA2C6A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BE1D7A2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76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23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94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x 230 mm, 1800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83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B635" w14:textId="45ACA09B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937CB3A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D8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24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84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x 150 mm, 2400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9B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A834" w14:textId="0A9A3859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F3D1391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F1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25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3F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150 mm, 2400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9B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57B1" w14:textId="5970603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2919FAF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9F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27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FA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120 x 400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06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3C50" w14:textId="4728B696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8A62BE3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F2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28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5F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150 x 520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696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116C" w14:textId="7FF17BB2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C886D52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A29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29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A9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270 x 350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866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AF07" w14:textId="6E234862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B2438CC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B1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3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C6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200 mm, 1800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9D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634D" w14:textId="5A9CC705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4BA200C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9F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31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FD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420 x 500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59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30FC" w14:textId="4B8BE88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3BCF524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06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32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56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420 x 600 mm, 500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92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4C24" w14:textId="51654BFA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5D21852F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DD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34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3F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160 x 600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2B0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58E7" w14:textId="36209F18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41E9138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23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38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2C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320 x 500 mm, 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E4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85D2" w14:textId="1C843D6D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177ABFEB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991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4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2E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75 x 270 mm, 3600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2C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272" w14:textId="1835530B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2554546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1A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5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D5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270 mm, 3000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464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E5E" w14:textId="50BF9BA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A580D23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23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8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B3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300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AE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CC86" w14:textId="61C3E4AF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1D44D410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D7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 9 3P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A8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STERIKING plochý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100 x 400 mm, 1200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2F2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4416" w14:textId="3328E73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6315EB66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C0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2040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C88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205 x 400 mm, 500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C526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112E" w14:textId="4339FF9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7B1CC79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22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2744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3C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270 x 440 mm, 500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CF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A939" w14:textId="230E436E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1DB28CF8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C7D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3250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989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320 x 500 mm, 500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33F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FD64" w14:textId="753DA00F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7ED7283D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CF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4260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1E3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420 x 600 mm, 300 ks/bal.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A797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04B9" w14:textId="58325C21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4F879786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6D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SNW 5065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71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500 x 650 mm, 200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EDC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7C4F" w14:textId="1F05416C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26F1BD0F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BB2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5075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13E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500 x 750 mm, 200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F620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2914" w14:textId="27AB8123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6F6" w:rsidRPr="008166F6" w14:paraId="0E871F50" w14:textId="77777777" w:rsidTr="00EC106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54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SNW 5775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49B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WIPAK TEX-Line zátěžový sáček s </w:t>
            </w:r>
            <w:proofErr w:type="spellStart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indik.parní</w:t>
            </w:r>
            <w:proofErr w:type="spellEnd"/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, FO a EO sterilizace, 570 x 750 mm, 200 ks/bal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74A" w14:textId="77777777" w:rsidR="008166F6" w:rsidRPr="008166F6" w:rsidRDefault="008166F6" w:rsidP="008166F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66F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9894" w14:textId="7985D854" w:rsidR="008166F6" w:rsidRPr="008166F6" w:rsidRDefault="008166F6" w:rsidP="008166F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0C906B8" w14:textId="77777777" w:rsidR="008166F6" w:rsidRDefault="008166F6">
      <w:r>
        <w:fldChar w:fldCharType="end"/>
      </w:r>
    </w:p>
    <w:sectPr w:rsidR="0081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F42"/>
    <w:multiLevelType w:val="multilevel"/>
    <w:tmpl w:val="5E0424BC"/>
    <w:lvl w:ilvl="0">
      <w:start w:val="1"/>
      <w:numFmt w:val="upperRoman"/>
      <w:pStyle w:val="Nadpis1"/>
      <w:suff w:val="nothing"/>
      <w:lvlText w:val="Článek %1."/>
      <w:lvlJc w:val="left"/>
      <w:pPr>
        <w:ind w:left="360" w:hanging="360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rove2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8"/>
    <w:rsid w:val="000210B3"/>
    <w:rsid w:val="000A6B16"/>
    <w:rsid w:val="00216D48"/>
    <w:rsid w:val="00226555"/>
    <w:rsid w:val="00261B7F"/>
    <w:rsid w:val="00374015"/>
    <w:rsid w:val="004805B9"/>
    <w:rsid w:val="007E61A9"/>
    <w:rsid w:val="008166F6"/>
    <w:rsid w:val="00915BAC"/>
    <w:rsid w:val="00A1254A"/>
    <w:rsid w:val="00A96656"/>
    <w:rsid w:val="00B04868"/>
    <w:rsid w:val="00CA053A"/>
    <w:rsid w:val="00D6374C"/>
    <w:rsid w:val="00E31268"/>
    <w:rsid w:val="00E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6BA8E"/>
  <w15:chartTrackingRefBased/>
  <w15:docId w15:val="{1D00C2FA-99E1-4F2B-B8CB-37EE117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4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1">
    <w:name w:val="heading 1"/>
    <w:aliases w:val="H1,Hoofdstukkop,Article Heading,No numbers,h1,Framew.1"/>
    <w:basedOn w:val="Normln"/>
    <w:next w:val="rove2"/>
    <w:link w:val="Nadpis1Char"/>
    <w:uiPriority w:val="99"/>
    <w:qFormat/>
    <w:rsid w:val="00216D48"/>
    <w:pPr>
      <w:keepNext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Article Heading Char,No numbers Char,h1 Char,Framew.1 Char"/>
    <w:basedOn w:val="Standardnpsmoodstavce"/>
    <w:link w:val="Nadpis1"/>
    <w:uiPriority w:val="99"/>
    <w:rsid w:val="00216D48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216D4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216D48"/>
    <w:rPr>
      <w:rFonts w:ascii="Arial" w:eastAsia="Times New Roman" w:hAnsi="Arial" w:cs="Arial"/>
      <w:b/>
      <w:bCs/>
      <w:kern w:val="28"/>
      <w:sz w:val="40"/>
      <w:szCs w:val="32"/>
      <w:lang w:eastAsia="cs-CZ"/>
    </w:rPr>
  </w:style>
  <w:style w:type="character" w:customStyle="1" w:styleId="platne">
    <w:name w:val="platne"/>
    <w:rsid w:val="00216D48"/>
    <w:rPr>
      <w:rFonts w:cs="Times New Roman"/>
    </w:rPr>
  </w:style>
  <w:style w:type="paragraph" w:customStyle="1" w:styleId="rove2">
    <w:name w:val="úroveň 2"/>
    <w:basedOn w:val="Zkladntext-prvnodsazen2"/>
    <w:link w:val="rove2Char"/>
    <w:uiPriority w:val="99"/>
    <w:qFormat/>
    <w:rsid w:val="00216D48"/>
    <w:pPr>
      <w:numPr>
        <w:ilvl w:val="1"/>
        <w:numId w:val="1"/>
      </w:numPr>
      <w:tabs>
        <w:tab w:val="left" w:pos="851"/>
      </w:tabs>
      <w:spacing w:after="120"/>
      <w:jc w:val="both"/>
    </w:pPr>
  </w:style>
  <w:style w:type="paragraph" w:customStyle="1" w:styleId="rove3">
    <w:name w:val="úroveň 3"/>
    <w:basedOn w:val="Zkladntext3"/>
    <w:uiPriority w:val="99"/>
    <w:qFormat/>
    <w:rsid w:val="00216D48"/>
    <w:pPr>
      <w:numPr>
        <w:ilvl w:val="2"/>
        <w:numId w:val="1"/>
      </w:numPr>
      <w:tabs>
        <w:tab w:val="num" w:pos="360"/>
        <w:tab w:val="left" w:pos="1418"/>
      </w:tabs>
      <w:ind w:left="1418" w:hanging="992"/>
    </w:pPr>
    <w:rPr>
      <w:sz w:val="24"/>
    </w:rPr>
  </w:style>
  <w:style w:type="character" w:customStyle="1" w:styleId="rove2Char">
    <w:name w:val="úroveň 2 Char"/>
    <w:link w:val="rove2"/>
    <w:uiPriority w:val="99"/>
    <w:locked/>
    <w:rsid w:val="00216D48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customStyle="1" w:styleId="rove4">
    <w:name w:val="úroveň 4"/>
    <w:basedOn w:val="rove3"/>
    <w:uiPriority w:val="99"/>
    <w:qFormat/>
    <w:rsid w:val="00216D48"/>
    <w:pPr>
      <w:numPr>
        <w:ilvl w:val="3"/>
      </w:numPr>
      <w:tabs>
        <w:tab w:val="clear" w:pos="1418"/>
        <w:tab w:val="num" w:pos="360"/>
        <w:tab w:val="left" w:pos="1560"/>
      </w:tabs>
      <w:ind w:left="1560" w:hanging="567"/>
    </w:pPr>
  </w:style>
  <w:style w:type="paragraph" w:styleId="Podnadpis">
    <w:name w:val="Subtitle"/>
    <w:basedOn w:val="Normln"/>
    <w:next w:val="Normln"/>
    <w:link w:val="PodnadpisChar"/>
    <w:uiPriority w:val="99"/>
    <w:qFormat/>
    <w:rsid w:val="00216D48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rsid w:val="00216D48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6D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6D48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16D4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16D48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6D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6D48"/>
    <w:rPr>
      <w:rFonts w:ascii="Century Gothic" w:eastAsia="Times New Roman" w:hAnsi="Century Gothic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2655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0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Klíčník</dc:creator>
  <cp:keywords/>
  <dc:description/>
  <cp:lastModifiedBy>Radmila Labíková</cp:lastModifiedBy>
  <cp:revision>2</cp:revision>
  <dcterms:created xsi:type="dcterms:W3CDTF">2022-05-26T08:26:00Z</dcterms:created>
  <dcterms:modified xsi:type="dcterms:W3CDTF">2022-05-26T08:26:00Z</dcterms:modified>
</cp:coreProperties>
</file>