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D" w:rsidRDefault="00DA1D6A">
      <w:pPr>
        <w:pStyle w:val="Style1"/>
        <w:widowControl/>
        <w:spacing w:line="350" w:lineRule="exact"/>
        <w:rPr>
          <w:rStyle w:val="FontStyle12"/>
          <w:u w:val="single"/>
        </w:rPr>
      </w:pPr>
      <w:r>
        <w:rPr>
          <w:rStyle w:val="FontStyle12"/>
          <w:u w:val="single"/>
        </w:rPr>
        <w:t xml:space="preserve">Cenová </w:t>
      </w:r>
      <w:proofErr w:type="gramStart"/>
      <w:r>
        <w:rPr>
          <w:rStyle w:val="FontStyle12"/>
          <w:u w:val="single"/>
        </w:rPr>
        <w:t>nabídka : Zabezpečovací</w:t>
      </w:r>
      <w:proofErr w:type="gramEnd"/>
      <w:r>
        <w:rPr>
          <w:rStyle w:val="FontStyle12"/>
          <w:u w:val="single"/>
        </w:rPr>
        <w:t xml:space="preserve"> systém s požární detekcí</w:t>
      </w:r>
    </w:p>
    <w:p w:rsidR="00A145ED" w:rsidRDefault="00DA1D6A">
      <w:pPr>
        <w:pStyle w:val="Style2"/>
        <w:widowControl/>
        <w:tabs>
          <w:tab w:val="left" w:pos="4258"/>
        </w:tabs>
        <w:spacing w:line="350" w:lineRule="exact"/>
        <w:rPr>
          <w:rStyle w:val="FontStyle14"/>
        </w:rPr>
      </w:pPr>
      <w:r>
        <w:rPr>
          <w:rStyle w:val="FontStyle14"/>
        </w:rPr>
        <w:t>Dodavatel</w:t>
      </w:r>
      <w:r>
        <w:rPr>
          <w:rStyle w:val="FontStyle14"/>
        </w:rPr>
        <w:tab/>
        <w:t>Zákazník</w:t>
      </w:r>
    </w:p>
    <w:p w:rsidR="00A145ED" w:rsidRDefault="00DA1D6A">
      <w:pPr>
        <w:pStyle w:val="Style8"/>
        <w:widowControl/>
        <w:tabs>
          <w:tab w:val="left" w:pos="4248"/>
        </w:tabs>
        <w:spacing w:line="350" w:lineRule="exact"/>
        <w:jc w:val="both"/>
        <w:rPr>
          <w:rStyle w:val="FontStyle13"/>
        </w:rPr>
      </w:pPr>
      <w:r>
        <w:rPr>
          <w:rStyle w:val="FontStyle13"/>
        </w:rPr>
        <w:t>REAL BUSINESS, s.r.o.</w:t>
      </w:r>
      <w:r>
        <w:rPr>
          <w:rStyle w:val="FontStyle13"/>
        </w:rPr>
        <w:tab/>
        <w:t xml:space="preserve">Střední </w:t>
      </w:r>
      <w:r w:rsidR="00310BEF">
        <w:rPr>
          <w:rStyle w:val="FontStyle13"/>
        </w:rPr>
        <w:t>odborná škola, Praha 5, Drtinova</w:t>
      </w:r>
      <w:r>
        <w:rPr>
          <w:rStyle w:val="FontStyle13"/>
        </w:rPr>
        <w:t xml:space="preserve"> 3/498</w:t>
      </w:r>
    </w:p>
    <w:p w:rsidR="00A145ED" w:rsidRDefault="00310BEF">
      <w:pPr>
        <w:pStyle w:val="Style8"/>
        <w:widowControl/>
        <w:tabs>
          <w:tab w:val="left" w:pos="4258"/>
        </w:tabs>
        <w:spacing w:before="5" w:line="350" w:lineRule="exact"/>
        <w:rPr>
          <w:rStyle w:val="FontStyle13"/>
        </w:rPr>
      </w:pPr>
      <w:r>
        <w:rPr>
          <w:rStyle w:val="FontStyle13"/>
        </w:rPr>
        <w:t>Chuchelská 36</w:t>
      </w:r>
      <w:r>
        <w:rPr>
          <w:rStyle w:val="FontStyle13"/>
        </w:rPr>
        <w:tab/>
        <w:t>Drtinova</w:t>
      </w:r>
      <w:bookmarkStart w:id="0" w:name="_GoBack"/>
      <w:bookmarkEnd w:id="0"/>
      <w:r w:rsidR="00DA1D6A">
        <w:rPr>
          <w:rStyle w:val="FontStyle13"/>
        </w:rPr>
        <w:t xml:space="preserve"> 3/498</w:t>
      </w:r>
    </w:p>
    <w:p w:rsidR="00A145ED" w:rsidRDefault="00DA1D6A">
      <w:pPr>
        <w:pStyle w:val="Style8"/>
        <w:widowControl/>
        <w:tabs>
          <w:tab w:val="left" w:pos="4248"/>
        </w:tabs>
        <w:spacing w:line="350" w:lineRule="exact"/>
        <w:rPr>
          <w:rStyle w:val="FontStyle13"/>
        </w:rPr>
      </w:pPr>
      <w:r>
        <w:rPr>
          <w:rStyle w:val="FontStyle13"/>
        </w:rPr>
        <w:t>143 00 Praha</w:t>
      </w:r>
      <w:r>
        <w:rPr>
          <w:rStyle w:val="FontStyle13"/>
        </w:rPr>
        <w:tab/>
        <w:t>150 00 Praha 5</w:t>
      </w:r>
    </w:p>
    <w:p w:rsidR="00A145ED" w:rsidRDefault="00DA1D6A">
      <w:pPr>
        <w:pStyle w:val="Style8"/>
        <w:widowControl/>
        <w:tabs>
          <w:tab w:val="left" w:pos="4286"/>
        </w:tabs>
        <w:spacing w:before="38" w:line="302" w:lineRule="exact"/>
        <w:rPr>
          <w:rStyle w:val="FontStyle13"/>
        </w:rPr>
      </w:pPr>
      <w:r>
        <w:rPr>
          <w:rStyle w:val="FontStyle13"/>
        </w:rPr>
        <w:t>IČ: 27908798</w:t>
      </w:r>
      <w:r>
        <w:rPr>
          <w:rStyle w:val="FontStyle13"/>
        </w:rPr>
        <w:tab/>
        <w:t>IČ: 45248001</w:t>
      </w:r>
    </w:p>
    <w:p w:rsidR="00A145ED" w:rsidRDefault="00DA1D6A">
      <w:pPr>
        <w:pStyle w:val="Style8"/>
        <w:widowControl/>
        <w:spacing w:line="302" w:lineRule="exact"/>
        <w:rPr>
          <w:rStyle w:val="FontStyle13"/>
        </w:rPr>
      </w:pPr>
      <w:r>
        <w:rPr>
          <w:rStyle w:val="FontStyle13"/>
        </w:rPr>
        <w:t>Nejsme plátci DPH</w:t>
      </w:r>
    </w:p>
    <w:p w:rsidR="00A145ED" w:rsidRDefault="00A145ED">
      <w:pPr>
        <w:pStyle w:val="Style8"/>
        <w:widowControl/>
        <w:spacing w:line="240" w:lineRule="exact"/>
        <w:ind w:right="3802"/>
        <w:rPr>
          <w:sz w:val="20"/>
          <w:szCs w:val="20"/>
        </w:rPr>
      </w:pPr>
    </w:p>
    <w:p w:rsidR="00A145ED" w:rsidRDefault="00DA1D6A">
      <w:pPr>
        <w:pStyle w:val="Style8"/>
        <w:widowControl/>
        <w:spacing w:before="38"/>
        <w:ind w:right="3802"/>
        <w:rPr>
          <w:rStyle w:val="FontStyle13"/>
        </w:rPr>
      </w:pPr>
      <w:r>
        <w:rPr>
          <w:rStyle w:val="FontStyle13"/>
        </w:rPr>
        <w:t xml:space="preserve">Systém </w:t>
      </w:r>
      <w:proofErr w:type="spellStart"/>
      <w:r>
        <w:rPr>
          <w:rStyle w:val="FontStyle13"/>
        </w:rPr>
        <w:t>Jablotron</w:t>
      </w:r>
      <w:proofErr w:type="spellEnd"/>
      <w:r>
        <w:rPr>
          <w:rStyle w:val="FontStyle13"/>
        </w:rPr>
        <w:t xml:space="preserve"> JA-100+, ve stupni zabezpečení 2 Kombinace drátového systému a bezdrátového systému</w:t>
      </w:r>
    </w:p>
    <w:p w:rsidR="00A145ED" w:rsidRDefault="00DA1D6A">
      <w:pPr>
        <w:pStyle w:val="Style8"/>
        <w:widowControl/>
        <w:spacing w:line="283" w:lineRule="exact"/>
        <w:ind w:right="1267"/>
        <w:rPr>
          <w:rStyle w:val="FontStyle13"/>
        </w:rPr>
      </w:pPr>
      <w:r>
        <w:rPr>
          <w:rStyle w:val="FontStyle13"/>
        </w:rPr>
        <w:t xml:space="preserve">EZS se snadno a bezpečně ovládá - autorizací pomocí uživatelských kódů, RFID čipů, Události o narušení, zastřežení a </w:t>
      </w:r>
      <w:proofErr w:type="spellStart"/>
      <w:r>
        <w:rPr>
          <w:rStyle w:val="FontStyle13"/>
        </w:rPr>
        <w:t>odstřežení</w:t>
      </w:r>
      <w:proofErr w:type="spellEnd"/>
      <w:r>
        <w:rPr>
          <w:rStyle w:val="FontStyle13"/>
        </w:rPr>
        <w:t xml:space="preserve"> (včetně časové známky a identifikace uživatele) jsou nesmazatelně zaznamenávány do historie událostí EZS Hlídání bezpečnostním centrem </w:t>
      </w:r>
      <w:proofErr w:type="spellStart"/>
      <w:r>
        <w:rPr>
          <w:rStyle w:val="FontStyle13"/>
        </w:rPr>
        <w:t>Jablotron</w:t>
      </w:r>
      <w:proofErr w:type="spellEnd"/>
      <w:r>
        <w:rPr>
          <w:rStyle w:val="FontStyle13"/>
        </w:rPr>
        <w:t xml:space="preserve"> 3 měsíce zdarma</w:t>
      </w:r>
    </w:p>
    <w:p w:rsidR="00A145ED" w:rsidRDefault="00A145ED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1440"/>
        <w:gridCol w:w="1037"/>
        <w:gridCol w:w="595"/>
        <w:gridCol w:w="1018"/>
      </w:tblGrid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45ED" w:rsidRDefault="00DA1D6A">
            <w:pPr>
              <w:pStyle w:val="Style10"/>
              <w:widowControl/>
              <w:ind w:right="67"/>
              <w:jc w:val="right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P.N.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45ED" w:rsidRDefault="00DA1D6A">
            <w:pPr>
              <w:pStyle w:val="Style10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cena/ks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45ED" w:rsidRDefault="00DA1D6A">
            <w:pPr>
              <w:pStyle w:val="Style10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ks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10"/>
              <w:widowControl/>
              <w:jc w:val="right"/>
              <w:rPr>
                <w:rStyle w:val="FontStyle17"/>
              </w:rPr>
            </w:pPr>
            <w:r>
              <w:rPr>
                <w:rStyle w:val="FontStyle17"/>
              </w:rPr>
              <w:t>cena celkem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Materiál EZS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A145ED">
            <w:pPr>
              <w:pStyle w:val="Style6"/>
              <w:widowControl/>
            </w:pPr>
          </w:p>
        </w:tc>
      </w:tr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Ústředna JA-100+ s LAN a rádiovým modulem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JA-107KR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10 640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10 640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Modul GSM komunikátoru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JA-192Y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3 743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3 743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Bezúdržbový akumulátor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SA214-7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714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714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Sběrnicový modul pro bezdrátové připojeni komponentů JA-11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JA-111R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3215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6 430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Plast pro JA-111R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PLV-JA111R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396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Přízemí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A145ED">
            <w:pPr>
              <w:pStyle w:val="Style6"/>
              <w:widowControl/>
            </w:pP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Sběrnicový přístupový modul s displejem, klávesnicí a RFID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JA-114E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2 516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4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2 516</w:t>
            </w:r>
          </w:p>
        </w:tc>
      </w:tr>
      <w:tr w:rsidR="00A145ED" w:rsidTr="0071406A">
        <w:trPr>
          <w:trHeight w:val="268"/>
        </w:trPr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Ovládací segment přístupových modulů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JA-192E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5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160</w:t>
            </w:r>
          </w:p>
        </w:tc>
      </w:tr>
      <w:tr w:rsidR="00A145ED" w:rsidTr="0071406A">
        <w:trPr>
          <w:trHeight w:val="243"/>
        </w:trPr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Bezdrátový PIR detektor pohybu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JA-150P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1 803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5 409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Bezdrátový magnetický detektor se dvěma univerzálními </w:t>
            </w:r>
            <w:proofErr w:type="spellStart"/>
            <w:r>
              <w:rPr>
                <w:rStyle w:val="FontStyle16"/>
              </w:rPr>
              <w:t>vstui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JA-150M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1 309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6 546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sběrnicová siréna vnitřní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1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JA-110A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638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Každé podlaží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A145ED">
            <w:pPr>
              <w:pStyle w:val="Style6"/>
              <w:widowControl/>
            </w:pP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Bezdrátový kombinovaný detektor kouře a teploty se </w:t>
            </w:r>
            <w:proofErr w:type="spellStart"/>
            <w:r>
              <w:rPr>
                <w:rStyle w:val="FontStyle16"/>
              </w:rPr>
              <w:t>sirénkou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JA-151 ST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1 827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10 963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Sběrnicový kombinovaný detektor kouře a teplot se </w:t>
            </w:r>
            <w:proofErr w:type="spellStart"/>
            <w:r>
              <w:rPr>
                <w:rStyle w:val="FontStyle16"/>
              </w:rPr>
              <w:t>sirénkou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19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JA-111ST-A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1 508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3015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Patro vedení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A145ED">
            <w:pPr>
              <w:pStyle w:val="Style6"/>
              <w:widowControl/>
            </w:pP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Sběrnicový přístupový modul s displejem, klávesnicí a RFID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JA-114E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2 516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2 516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Ovládací segment přístupových modulů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JA-192E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160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Bezdrátový PIR detektor pohybu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JA-150P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1 803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3 606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Bezdrátový magnetický detektor se dvěma univerzálními </w:t>
            </w:r>
            <w:proofErr w:type="spellStart"/>
            <w:r>
              <w:rPr>
                <w:rStyle w:val="FontStyle16"/>
              </w:rPr>
              <w:t>vstui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24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JA-150M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1 309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2 618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Instalační materiál, baterie, krabice, kabely EZS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5 748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5 748</w:t>
            </w:r>
          </w:p>
        </w:tc>
      </w:tr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Materiál EZS celkem: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5ED" w:rsidRDefault="00DA1D6A">
            <w:pPr>
              <w:pStyle w:val="Style5"/>
              <w:widowControl/>
              <w:jc w:val="right"/>
              <w:rPr>
                <w:rStyle w:val="FontStyle15"/>
              </w:rPr>
            </w:pPr>
            <w:r>
              <w:rPr>
                <w:rStyle w:val="FontStyle15"/>
              </w:rPr>
              <w:t>65 814</w:t>
            </w:r>
          </w:p>
        </w:tc>
      </w:tr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Technická příprava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3 450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3 450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montážní práce - instalace ústředny, programování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43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6 292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6 292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montážní práce - instalace detektorů, přístupových </w:t>
            </w:r>
            <w:proofErr w:type="gramStart"/>
            <w:r>
              <w:rPr>
                <w:rStyle w:val="FontStyle16"/>
              </w:rPr>
              <w:t>modulů,...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750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19 500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Instalace kabeláže EZS, krabic a rozbočení sběrnice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5 000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30 000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doprava osob a materiálu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ind w:right="3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2 400</w:t>
            </w:r>
          </w:p>
        </w:tc>
      </w:tr>
      <w:tr w:rsidR="00A145ED">
        <w:tc>
          <w:tcPr>
            <w:tcW w:w="4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Protokol o zkoušce + zaškolení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ind w:right="38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4 900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45ED" w:rsidRDefault="00DA1D6A">
            <w:pPr>
              <w:pStyle w:val="Style9"/>
              <w:widowControl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4 900</w:t>
            </w:r>
          </w:p>
        </w:tc>
      </w:tr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Montáž celkem: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5ED" w:rsidRDefault="00DA1D6A">
            <w:pPr>
              <w:pStyle w:val="Style4"/>
              <w:widowControl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66 542</w:t>
            </w:r>
          </w:p>
        </w:tc>
      </w:tr>
      <w:tr w:rsidR="00A145ED">
        <w:tc>
          <w:tcPr>
            <w:tcW w:w="8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5ED" w:rsidRDefault="00A145ED">
            <w:pPr>
              <w:pStyle w:val="Style6"/>
              <w:widowControl/>
            </w:pPr>
          </w:p>
        </w:tc>
      </w:tr>
      <w:tr w:rsidR="00A145ED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45ED" w:rsidRDefault="00DA1D6A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Celková cena zakázky: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45ED" w:rsidRDefault="00A145ED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5ED" w:rsidRDefault="00DA1D6A">
            <w:pPr>
              <w:pStyle w:val="Style5"/>
              <w:widowControl/>
              <w:jc w:val="right"/>
              <w:rPr>
                <w:rStyle w:val="FontStyle15"/>
              </w:rPr>
            </w:pPr>
            <w:r>
              <w:rPr>
                <w:rStyle w:val="FontStyle15"/>
              </w:rPr>
              <w:t>132 356</w:t>
            </w:r>
          </w:p>
        </w:tc>
      </w:tr>
    </w:tbl>
    <w:p w:rsidR="00A145ED" w:rsidRDefault="00A145ED">
      <w:pPr>
        <w:widowControl/>
        <w:rPr>
          <w:rStyle w:val="FontStyle15"/>
        </w:rPr>
        <w:sectPr w:rsidR="00A145ED">
          <w:type w:val="continuous"/>
          <w:pgSz w:w="11905" w:h="16837"/>
          <w:pgMar w:top="414" w:right="1421" w:bottom="660" w:left="1421" w:header="708" w:footer="708" w:gutter="0"/>
          <w:cols w:space="60"/>
          <w:noEndnote/>
        </w:sectPr>
      </w:pPr>
    </w:p>
    <w:p w:rsidR="00A145ED" w:rsidRDefault="00DA1D6A">
      <w:pPr>
        <w:pStyle w:val="Style8"/>
        <w:widowControl/>
        <w:spacing w:before="62" w:line="240" w:lineRule="auto"/>
        <w:jc w:val="both"/>
        <w:rPr>
          <w:rStyle w:val="FontStyle13"/>
        </w:rPr>
      </w:pPr>
      <w:r>
        <w:rPr>
          <w:rStyle w:val="FontStyle13"/>
        </w:rPr>
        <w:lastRenderedPageBreak/>
        <w:t xml:space="preserve">V Praze </w:t>
      </w:r>
      <w:proofErr w:type="gramStart"/>
      <w:r>
        <w:rPr>
          <w:rStyle w:val="FontStyle13"/>
        </w:rPr>
        <w:t>21.3.2022</w:t>
      </w:r>
      <w:proofErr w:type="gramEnd"/>
    </w:p>
    <w:p w:rsidR="00D844A0" w:rsidRDefault="00DA1D6A">
      <w:pPr>
        <w:pStyle w:val="Style3"/>
        <w:widowControl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 xml:space="preserve"> tel: </w:t>
      </w:r>
    </w:p>
    <w:sectPr w:rsidR="00D844A0">
      <w:type w:val="continuous"/>
      <w:pgSz w:w="11905" w:h="16837"/>
      <w:pgMar w:top="414" w:right="2770" w:bottom="660" w:left="1503" w:header="708" w:footer="708" w:gutter="0"/>
      <w:cols w:num="2" w:space="708" w:equalWidth="0">
        <w:col w:w="1545" w:space="4483"/>
        <w:col w:w="160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2A" w:rsidRDefault="00CE182A">
      <w:r>
        <w:separator/>
      </w:r>
    </w:p>
  </w:endnote>
  <w:endnote w:type="continuationSeparator" w:id="0">
    <w:p w:rsidR="00CE182A" w:rsidRDefault="00CE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2A" w:rsidRDefault="00CE182A">
      <w:r>
        <w:separator/>
      </w:r>
    </w:p>
  </w:footnote>
  <w:footnote w:type="continuationSeparator" w:id="0">
    <w:p w:rsidR="00CE182A" w:rsidRDefault="00CE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A0"/>
    <w:rsid w:val="00310BEF"/>
    <w:rsid w:val="0071406A"/>
    <w:rsid w:val="00A145ED"/>
    <w:rsid w:val="00CE182A"/>
    <w:rsid w:val="00D844A0"/>
    <w:rsid w:val="00D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88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i/>
      <w:iC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88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i/>
      <w:iC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3</cp:revision>
  <dcterms:created xsi:type="dcterms:W3CDTF">2022-05-26T07:21:00Z</dcterms:created>
  <dcterms:modified xsi:type="dcterms:W3CDTF">2022-05-26T07:24:00Z</dcterms:modified>
</cp:coreProperties>
</file>