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0BCD" w14:textId="77777777" w:rsidR="00634D78" w:rsidRDefault="00A40C88">
      <w:pPr>
        <w:spacing w:after="0" w:line="240" w:lineRule="auto"/>
        <w:ind w:left="2552" w:hanging="2552"/>
        <w:rPr>
          <w:rFonts w:eastAsia="Times New Roman"/>
          <w:b/>
          <w:sz w:val="20"/>
          <w:szCs w:val="20"/>
          <w:lang w:eastAsia="cs-CZ"/>
        </w:rPr>
      </w:pPr>
      <w:r>
        <w:rPr>
          <w:rFonts w:eastAsia="Times New Roman"/>
          <w:sz w:val="20"/>
          <w:szCs w:val="20"/>
          <w:lang w:eastAsia="cs-CZ"/>
        </w:rPr>
        <w:t xml:space="preserve">Společnost/Název:          </w:t>
      </w:r>
      <w:r>
        <w:rPr>
          <w:rFonts w:eastAsia="Times New Roman"/>
          <w:b/>
          <w:sz w:val="20"/>
          <w:szCs w:val="20"/>
          <w:lang w:eastAsia="cs-CZ"/>
        </w:rPr>
        <w:t>Hypokramed s.r.o.</w:t>
      </w:r>
      <w:r>
        <w:rPr>
          <w:rFonts w:eastAsia="Times New Roman"/>
          <w:b/>
          <w:sz w:val="20"/>
          <w:szCs w:val="20"/>
          <w:lang w:eastAsia="cs-CZ"/>
        </w:rPr>
        <w:tab/>
      </w:r>
    </w:p>
    <w:p w14:paraId="0496A9E4" w14:textId="77777777" w:rsidR="00634D78" w:rsidRDefault="00A40C88">
      <w:pPr>
        <w:spacing w:after="0" w:line="240" w:lineRule="auto"/>
        <w:ind w:left="2552" w:hanging="2552"/>
        <w:rPr>
          <w:rFonts w:eastAsia="Times New Roman"/>
          <w:sz w:val="20"/>
          <w:szCs w:val="20"/>
          <w:lang w:eastAsia="cs-CZ"/>
        </w:rPr>
      </w:pPr>
      <w:r>
        <w:rPr>
          <w:rFonts w:eastAsia="Times New Roman"/>
          <w:sz w:val="20"/>
          <w:szCs w:val="20"/>
          <w:lang w:eastAsia="cs-CZ"/>
        </w:rPr>
        <w:t>IČ:                                49616528</w:t>
      </w:r>
      <w:r>
        <w:rPr>
          <w:rFonts w:eastAsia="Times New Roman"/>
          <w:sz w:val="20"/>
          <w:szCs w:val="20"/>
          <w:lang w:eastAsia="cs-CZ"/>
        </w:rPr>
        <w:tab/>
      </w:r>
    </w:p>
    <w:p w14:paraId="23005151" w14:textId="77777777" w:rsidR="00634D78" w:rsidRDefault="00A40C88">
      <w:pPr>
        <w:spacing w:after="0" w:line="240" w:lineRule="auto"/>
        <w:ind w:left="2552" w:hanging="2552"/>
        <w:rPr>
          <w:rFonts w:eastAsia="Times New Roman"/>
          <w:sz w:val="20"/>
          <w:szCs w:val="20"/>
          <w:lang w:eastAsia="cs-CZ"/>
        </w:rPr>
      </w:pPr>
      <w:r>
        <w:rPr>
          <w:rFonts w:eastAsia="Times New Roman"/>
          <w:sz w:val="20"/>
          <w:szCs w:val="20"/>
          <w:lang w:eastAsia="cs-CZ"/>
        </w:rPr>
        <w:t>DIČ:                              CZ49616528</w:t>
      </w:r>
      <w:r>
        <w:rPr>
          <w:rFonts w:eastAsia="Times New Roman"/>
          <w:sz w:val="20"/>
          <w:szCs w:val="20"/>
          <w:lang w:eastAsia="cs-CZ"/>
        </w:rPr>
        <w:tab/>
      </w:r>
    </w:p>
    <w:p w14:paraId="5E3C60D3" w14:textId="77777777" w:rsidR="00634D78" w:rsidRDefault="00A40C88">
      <w:pPr>
        <w:spacing w:after="0" w:line="240" w:lineRule="auto"/>
        <w:ind w:left="2552" w:hanging="2552"/>
        <w:rPr>
          <w:rFonts w:eastAsia="Times New Roman"/>
          <w:sz w:val="20"/>
          <w:szCs w:val="20"/>
          <w:lang w:eastAsia="cs-CZ"/>
        </w:rPr>
      </w:pPr>
      <w:r>
        <w:rPr>
          <w:rFonts w:eastAsia="Times New Roman"/>
          <w:sz w:val="20"/>
          <w:szCs w:val="20"/>
          <w:lang w:eastAsia="cs-CZ"/>
        </w:rPr>
        <w:t>Sídlo/Místo podnikání:</w:t>
      </w:r>
      <w:r>
        <w:rPr>
          <w:rFonts w:eastAsia="Times New Roman"/>
          <w:sz w:val="20"/>
          <w:szCs w:val="20"/>
          <w:lang w:eastAsia="cs-CZ"/>
        </w:rPr>
        <w:tab/>
        <w:t>Čistovická 95/13, 163 00 Praha 6</w:t>
      </w:r>
    </w:p>
    <w:p w14:paraId="4D5B54AB" w14:textId="77777777" w:rsidR="00634D78" w:rsidRDefault="00A40C88">
      <w:pPr>
        <w:spacing w:after="0" w:line="240" w:lineRule="auto"/>
        <w:ind w:left="2552" w:hanging="2552"/>
        <w:rPr>
          <w:rFonts w:eastAsia="Times New Roman"/>
          <w:sz w:val="20"/>
          <w:szCs w:val="20"/>
          <w:lang w:eastAsia="cs-CZ"/>
        </w:rPr>
      </w:pPr>
      <w:r>
        <w:rPr>
          <w:rFonts w:eastAsia="Times New Roman"/>
          <w:sz w:val="20"/>
          <w:szCs w:val="20"/>
          <w:lang w:eastAsia="cs-CZ"/>
        </w:rPr>
        <w:t xml:space="preserve">Jednající:                       Vratislav Roubal, jednatel </w:t>
      </w:r>
    </w:p>
    <w:p w14:paraId="43CC120A" w14:textId="77777777" w:rsidR="00634D78" w:rsidRDefault="00A40C88">
      <w:pPr>
        <w:spacing w:after="0" w:line="240" w:lineRule="auto"/>
        <w:ind w:left="2552" w:hanging="2552"/>
        <w:rPr>
          <w:rFonts w:eastAsia="Times New Roman"/>
          <w:sz w:val="20"/>
          <w:szCs w:val="20"/>
          <w:lang w:eastAsia="cs-CZ"/>
        </w:rPr>
      </w:pPr>
      <w:r>
        <w:rPr>
          <w:rFonts w:eastAsia="Times New Roman"/>
          <w:sz w:val="20"/>
          <w:szCs w:val="20"/>
          <w:lang w:eastAsia="cs-CZ"/>
        </w:rPr>
        <w:t>Bankovní spojení:           KB, a.s., pobočka Praha 5</w:t>
      </w:r>
      <w:r>
        <w:rPr>
          <w:rFonts w:eastAsia="Times New Roman"/>
          <w:sz w:val="20"/>
          <w:szCs w:val="20"/>
          <w:lang w:eastAsia="cs-CZ"/>
        </w:rPr>
        <w:tab/>
      </w:r>
    </w:p>
    <w:p w14:paraId="06DCF562" w14:textId="77777777" w:rsidR="00634D78" w:rsidRDefault="00A40C88">
      <w:pPr>
        <w:spacing w:after="0" w:line="240" w:lineRule="auto"/>
        <w:ind w:left="2552" w:hanging="2552"/>
        <w:rPr>
          <w:rFonts w:eastAsia="Times New Roman"/>
          <w:sz w:val="20"/>
          <w:szCs w:val="20"/>
          <w:lang w:eastAsia="cs-CZ"/>
        </w:rPr>
      </w:pPr>
      <w:r>
        <w:rPr>
          <w:rFonts w:eastAsia="Times New Roman"/>
          <w:sz w:val="20"/>
          <w:szCs w:val="20"/>
          <w:lang w:eastAsia="cs-CZ"/>
        </w:rPr>
        <w:t>Číslo účtu:                      47407051/0100</w:t>
      </w:r>
      <w:r>
        <w:rPr>
          <w:rFonts w:eastAsia="Times New Roman"/>
          <w:sz w:val="20"/>
          <w:szCs w:val="20"/>
          <w:lang w:eastAsia="cs-CZ"/>
        </w:rPr>
        <w:tab/>
      </w:r>
    </w:p>
    <w:p w14:paraId="65BE6BB8" w14:textId="77777777" w:rsidR="00634D78" w:rsidRDefault="00A40C88">
      <w:pPr>
        <w:spacing w:after="0" w:line="240" w:lineRule="auto"/>
        <w:ind w:left="2552" w:hanging="2552"/>
        <w:rPr>
          <w:sz w:val="20"/>
          <w:szCs w:val="20"/>
          <w:lang w:eastAsia="cs-CZ"/>
        </w:rPr>
      </w:pPr>
      <w:r>
        <w:rPr>
          <w:rFonts w:eastAsia="Times New Roman"/>
          <w:sz w:val="20"/>
          <w:szCs w:val="20"/>
          <w:lang w:eastAsia="cs-CZ"/>
        </w:rPr>
        <w:t>Zapsaná v obchodním rejstříku Městského soudu v Praze, oddíl C, vložka 21313</w:t>
      </w:r>
    </w:p>
    <w:p w14:paraId="553757BF" w14:textId="77777777" w:rsidR="00634D78" w:rsidRDefault="00634D78">
      <w:pPr>
        <w:spacing w:after="0" w:line="100" w:lineRule="atLeast"/>
        <w:jc w:val="both"/>
        <w:rPr>
          <w:rFonts w:eastAsia="Times New Roman"/>
          <w:sz w:val="20"/>
          <w:szCs w:val="20"/>
          <w:lang w:eastAsia="cs-CZ"/>
        </w:rPr>
      </w:pPr>
    </w:p>
    <w:p w14:paraId="472E156D" w14:textId="77777777" w:rsidR="00634D78" w:rsidRDefault="00A40C88">
      <w:pPr>
        <w:spacing w:after="0" w:line="100" w:lineRule="atLeast"/>
        <w:jc w:val="both"/>
        <w:rPr>
          <w:rFonts w:eastAsia="Times New Roman"/>
          <w:sz w:val="20"/>
          <w:szCs w:val="20"/>
          <w:lang w:eastAsia="cs-CZ"/>
        </w:rPr>
      </w:pPr>
      <w:r>
        <w:rPr>
          <w:rFonts w:eastAsia="Times New Roman"/>
          <w:sz w:val="20"/>
          <w:szCs w:val="20"/>
          <w:lang w:eastAsia="cs-CZ"/>
        </w:rPr>
        <w:t>dále též jako „</w:t>
      </w:r>
      <w:r>
        <w:rPr>
          <w:rFonts w:eastAsia="Times New Roman"/>
          <w:b/>
          <w:sz w:val="20"/>
          <w:szCs w:val="20"/>
          <w:lang w:eastAsia="cs-CZ"/>
        </w:rPr>
        <w:t>prodávající</w:t>
      </w:r>
      <w:r>
        <w:rPr>
          <w:rFonts w:eastAsia="Times New Roman"/>
          <w:sz w:val="20"/>
          <w:szCs w:val="20"/>
          <w:lang w:eastAsia="cs-CZ"/>
        </w:rPr>
        <w:t>“ na straně jedné,</w:t>
      </w:r>
    </w:p>
    <w:p w14:paraId="4DF8C4AC" w14:textId="77777777" w:rsidR="00634D78" w:rsidRDefault="00634D78">
      <w:pPr>
        <w:spacing w:after="0" w:line="240" w:lineRule="auto"/>
        <w:jc w:val="both"/>
        <w:rPr>
          <w:rFonts w:eastAsia="Times New Roman"/>
          <w:sz w:val="20"/>
          <w:szCs w:val="20"/>
          <w:lang w:eastAsia="cs-CZ"/>
        </w:rPr>
      </w:pPr>
    </w:p>
    <w:p w14:paraId="5B9DDEAA" w14:textId="77777777" w:rsidR="00634D78" w:rsidRDefault="00634D78">
      <w:pPr>
        <w:spacing w:after="0" w:line="240" w:lineRule="auto"/>
        <w:rPr>
          <w:rFonts w:eastAsia="Times New Roman"/>
          <w:sz w:val="20"/>
          <w:szCs w:val="20"/>
          <w:lang w:eastAsia="cs-CZ"/>
        </w:rPr>
      </w:pPr>
    </w:p>
    <w:p w14:paraId="5273F3FA" w14:textId="77777777" w:rsidR="00634D78" w:rsidRDefault="00A40C88">
      <w:pPr>
        <w:spacing w:after="0" w:line="240" w:lineRule="auto"/>
        <w:rPr>
          <w:rFonts w:eastAsia="Times New Roman"/>
          <w:sz w:val="20"/>
          <w:szCs w:val="20"/>
          <w:lang w:eastAsia="cs-CZ"/>
        </w:rPr>
      </w:pPr>
      <w:r>
        <w:rPr>
          <w:rFonts w:eastAsia="Times New Roman"/>
          <w:sz w:val="20"/>
          <w:szCs w:val="20"/>
          <w:lang w:eastAsia="cs-CZ"/>
        </w:rPr>
        <w:t>a</w:t>
      </w:r>
    </w:p>
    <w:p w14:paraId="45639DF4" w14:textId="77777777" w:rsidR="00634D78" w:rsidRDefault="00634D78">
      <w:pPr>
        <w:spacing w:after="0" w:line="240" w:lineRule="auto"/>
        <w:ind w:left="2552" w:hanging="2552"/>
        <w:rPr>
          <w:rFonts w:eastAsia="Times New Roman"/>
          <w:sz w:val="20"/>
          <w:szCs w:val="20"/>
          <w:lang w:eastAsia="cs-CZ"/>
        </w:rPr>
      </w:pPr>
    </w:p>
    <w:p w14:paraId="19AF7535" w14:textId="77777777" w:rsidR="00634D78" w:rsidRDefault="00A40C88">
      <w:pPr>
        <w:spacing w:after="0" w:line="240" w:lineRule="auto"/>
        <w:ind w:left="2552" w:hanging="2552"/>
        <w:rPr>
          <w:rFonts w:eastAsia="Times New Roman"/>
          <w:b/>
          <w:sz w:val="20"/>
          <w:szCs w:val="20"/>
          <w:lang w:eastAsia="cs-CZ"/>
        </w:rPr>
      </w:pPr>
      <w:r>
        <w:rPr>
          <w:rFonts w:eastAsia="Times New Roman"/>
          <w:sz w:val="20"/>
          <w:szCs w:val="20"/>
          <w:lang w:eastAsia="cs-CZ"/>
        </w:rPr>
        <w:t>Společnost:</w:t>
      </w:r>
      <w:r>
        <w:rPr>
          <w:rFonts w:eastAsia="Times New Roman"/>
          <w:sz w:val="20"/>
          <w:szCs w:val="20"/>
          <w:lang w:eastAsia="cs-CZ"/>
        </w:rPr>
        <w:tab/>
      </w:r>
      <w:r>
        <w:rPr>
          <w:rFonts w:eastAsia="Times New Roman"/>
          <w:b/>
          <w:sz w:val="20"/>
          <w:szCs w:val="20"/>
          <w:lang w:eastAsia="cs-CZ"/>
        </w:rPr>
        <w:t xml:space="preserve">Oblastní nemocnice Mladá Boleslav, a.s., </w:t>
      </w:r>
      <w:r>
        <w:rPr>
          <w:rFonts w:eastAsia="Times New Roman"/>
          <w:b/>
          <w:sz w:val="20"/>
          <w:szCs w:val="20"/>
          <w:lang w:eastAsia="cs-CZ"/>
        </w:rPr>
        <w:br/>
        <w:t>nemocnice Středočeského kraje</w:t>
      </w:r>
    </w:p>
    <w:p w14:paraId="7B302461" w14:textId="77777777" w:rsidR="00634D78" w:rsidRDefault="00A40C88">
      <w:pPr>
        <w:spacing w:after="0" w:line="240" w:lineRule="auto"/>
        <w:ind w:left="2552" w:hanging="2552"/>
        <w:rPr>
          <w:rFonts w:eastAsia="Times New Roman"/>
          <w:sz w:val="20"/>
          <w:szCs w:val="20"/>
          <w:lang w:eastAsia="cs-CZ"/>
        </w:rPr>
      </w:pPr>
      <w:r>
        <w:rPr>
          <w:rFonts w:eastAsia="Times New Roman"/>
          <w:sz w:val="20"/>
          <w:szCs w:val="20"/>
          <w:lang w:eastAsia="cs-CZ"/>
        </w:rPr>
        <w:t>IČO:</w:t>
      </w:r>
      <w:r>
        <w:rPr>
          <w:rFonts w:eastAsia="Times New Roman"/>
          <w:sz w:val="20"/>
          <w:szCs w:val="20"/>
          <w:lang w:eastAsia="cs-CZ"/>
        </w:rPr>
        <w:tab/>
        <w:t>272 56 456</w:t>
      </w:r>
    </w:p>
    <w:p w14:paraId="00F08AF0" w14:textId="77777777" w:rsidR="00634D78" w:rsidRDefault="00A40C88">
      <w:pPr>
        <w:spacing w:after="0" w:line="240" w:lineRule="auto"/>
        <w:ind w:left="2552" w:hanging="2552"/>
        <w:rPr>
          <w:rFonts w:eastAsia="Times New Roman"/>
          <w:sz w:val="20"/>
          <w:szCs w:val="20"/>
          <w:lang w:eastAsia="cs-CZ"/>
        </w:rPr>
      </w:pPr>
      <w:r>
        <w:rPr>
          <w:rFonts w:eastAsia="Times New Roman"/>
          <w:sz w:val="20"/>
          <w:szCs w:val="20"/>
          <w:lang w:eastAsia="cs-CZ"/>
        </w:rPr>
        <w:t>DIČ:</w:t>
      </w:r>
      <w:r>
        <w:rPr>
          <w:rFonts w:eastAsia="Times New Roman"/>
          <w:sz w:val="20"/>
          <w:szCs w:val="20"/>
          <w:lang w:eastAsia="cs-CZ"/>
        </w:rPr>
        <w:tab/>
        <w:t>CZ27256456</w:t>
      </w:r>
    </w:p>
    <w:p w14:paraId="270EC9AB" w14:textId="77777777" w:rsidR="00634D78" w:rsidRDefault="00A40C88">
      <w:pPr>
        <w:spacing w:after="0" w:line="240" w:lineRule="auto"/>
        <w:ind w:left="2552" w:hanging="2552"/>
        <w:rPr>
          <w:rFonts w:eastAsia="Times New Roman"/>
          <w:sz w:val="20"/>
          <w:szCs w:val="20"/>
          <w:lang w:eastAsia="cs-CZ"/>
        </w:rPr>
      </w:pPr>
      <w:r>
        <w:rPr>
          <w:rFonts w:eastAsia="Times New Roman"/>
          <w:sz w:val="20"/>
          <w:szCs w:val="20"/>
          <w:lang w:eastAsia="cs-CZ"/>
        </w:rPr>
        <w:t>Se sídlem:</w:t>
      </w:r>
      <w:r>
        <w:rPr>
          <w:rFonts w:eastAsia="Times New Roman"/>
          <w:sz w:val="20"/>
          <w:szCs w:val="20"/>
          <w:lang w:eastAsia="cs-CZ"/>
        </w:rPr>
        <w:tab/>
        <w:t>Mladá Boleslav, třída Václava Klementa 147, PSČ 293 01</w:t>
      </w:r>
    </w:p>
    <w:p w14:paraId="7D5B6C9A" w14:textId="77777777" w:rsidR="00634D78" w:rsidRDefault="00A40C88">
      <w:pPr>
        <w:spacing w:after="0" w:line="240" w:lineRule="auto"/>
        <w:ind w:left="2552" w:hanging="2552"/>
        <w:rPr>
          <w:rFonts w:eastAsia="Times New Roman"/>
          <w:sz w:val="20"/>
          <w:szCs w:val="20"/>
          <w:lang w:eastAsia="cs-CZ"/>
        </w:rPr>
      </w:pPr>
      <w:r>
        <w:rPr>
          <w:rFonts w:eastAsia="Times New Roman"/>
          <w:sz w:val="20"/>
          <w:szCs w:val="20"/>
          <w:lang w:eastAsia="cs-CZ"/>
        </w:rPr>
        <w:t>Zastoupená:</w:t>
      </w:r>
      <w:r>
        <w:rPr>
          <w:rFonts w:eastAsia="Times New Roman"/>
          <w:sz w:val="20"/>
          <w:szCs w:val="20"/>
          <w:lang w:eastAsia="cs-CZ"/>
        </w:rPr>
        <w:tab/>
        <w:t>JUDr. Ladislav Řípa, předseda představenstva</w:t>
      </w:r>
    </w:p>
    <w:p w14:paraId="3762403A" w14:textId="204BE258" w:rsidR="00634D78" w:rsidRDefault="00A40C88">
      <w:pPr>
        <w:spacing w:after="0" w:line="240" w:lineRule="auto"/>
        <w:ind w:left="2552"/>
        <w:rPr>
          <w:rFonts w:eastAsia="Times New Roman"/>
          <w:sz w:val="20"/>
          <w:szCs w:val="20"/>
          <w:lang w:eastAsia="cs-CZ"/>
        </w:rPr>
      </w:pPr>
      <w:r>
        <w:rPr>
          <w:rFonts w:eastAsia="Times New Roman"/>
          <w:sz w:val="20"/>
          <w:szCs w:val="20"/>
          <w:lang w:eastAsia="cs-CZ"/>
        </w:rPr>
        <w:t>Mgr. Daniel Marek, místopředseda představenstva</w:t>
      </w:r>
    </w:p>
    <w:p w14:paraId="4F46BF12" w14:textId="77777777" w:rsidR="00634D78" w:rsidRDefault="00A40C88">
      <w:pPr>
        <w:spacing w:after="0" w:line="240" w:lineRule="auto"/>
        <w:ind w:left="2552" w:hanging="2552"/>
        <w:rPr>
          <w:rFonts w:eastAsia="Times New Roman"/>
          <w:sz w:val="20"/>
          <w:szCs w:val="20"/>
          <w:lang w:eastAsia="cs-CZ"/>
        </w:rPr>
      </w:pPr>
      <w:r>
        <w:rPr>
          <w:rFonts w:eastAsia="Times New Roman"/>
          <w:sz w:val="20"/>
          <w:szCs w:val="20"/>
          <w:lang w:eastAsia="cs-CZ"/>
        </w:rPr>
        <w:t>Bankovní spojení:</w:t>
      </w:r>
      <w:r>
        <w:rPr>
          <w:rFonts w:eastAsia="Times New Roman"/>
          <w:sz w:val="20"/>
          <w:szCs w:val="20"/>
          <w:lang w:eastAsia="cs-CZ"/>
        </w:rPr>
        <w:tab/>
        <w:t>Komerční banka, a.s.</w:t>
      </w:r>
    </w:p>
    <w:p w14:paraId="681CF2BF" w14:textId="77777777" w:rsidR="00634D78" w:rsidRDefault="00A40C88">
      <w:pPr>
        <w:spacing w:after="0" w:line="240" w:lineRule="auto"/>
        <w:ind w:left="2552" w:hanging="2552"/>
        <w:rPr>
          <w:rFonts w:eastAsia="Times New Roman"/>
          <w:sz w:val="20"/>
          <w:szCs w:val="20"/>
          <w:lang w:eastAsia="cs-CZ"/>
        </w:rPr>
      </w:pPr>
      <w:r>
        <w:rPr>
          <w:rFonts w:eastAsia="Times New Roman"/>
          <w:sz w:val="20"/>
          <w:szCs w:val="20"/>
          <w:lang w:eastAsia="cs-CZ"/>
        </w:rPr>
        <w:t>Číslo účtu:</w:t>
      </w:r>
      <w:r>
        <w:rPr>
          <w:rFonts w:eastAsia="Times New Roman"/>
          <w:sz w:val="20"/>
          <w:szCs w:val="20"/>
          <w:lang w:eastAsia="cs-CZ"/>
        </w:rPr>
        <w:tab/>
        <w:t>35-3525450227/0100</w:t>
      </w:r>
    </w:p>
    <w:p w14:paraId="39998817" w14:textId="77777777" w:rsidR="00634D78" w:rsidRDefault="00A40C88">
      <w:pPr>
        <w:spacing w:after="0" w:line="240" w:lineRule="auto"/>
        <w:ind w:left="2552" w:hanging="2552"/>
        <w:rPr>
          <w:rFonts w:eastAsia="Times New Roman"/>
          <w:sz w:val="20"/>
          <w:szCs w:val="20"/>
          <w:lang w:eastAsia="cs-CZ"/>
        </w:rPr>
      </w:pPr>
      <w:r>
        <w:rPr>
          <w:rFonts w:eastAsia="Times New Roman"/>
          <w:sz w:val="20"/>
          <w:szCs w:val="20"/>
          <w:lang w:eastAsia="cs-CZ"/>
        </w:rPr>
        <w:t>Zapsaná v obchodním rejstříku Městského soudu v Praze, oddíl B, vložka 10019</w:t>
      </w:r>
    </w:p>
    <w:p w14:paraId="5206BA1D" w14:textId="77777777" w:rsidR="00634D78" w:rsidRDefault="00634D78">
      <w:pPr>
        <w:spacing w:after="0" w:line="240" w:lineRule="auto"/>
        <w:ind w:left="2127" w:hanging="2127"/>
        <w:jc w:val="both"/>
        <w:rPr>
          <w:rFonts w:eastAsia="Times New Roman"/>
          <w:sz w:val="20"/>
          <w:szCs w:val="20"/>
          <w:lang w:eastAsia="cs-CZ"/>
        </w:rPr>
      </w:pPr>
    </w:p>
    <w:p w14:paraId="671EC99E" w14:textId="77777777" w:rsidR="00634D78" w:rsidRDefault="00A40C88">
      <w:pPr>
        <w:spacing w:after="0" w:line="240" w:lineRule="auto"/>
        <w:ind w:left="2127" w:hanging="2127"/>
        <w:jc w:val="both"/>
        <w:rPr>
          <w:rFonts w:eastAsia="Times New Roman"/>
          <w:sz w:val="20"/>
          <w:szCs w:val="20"/>
          <w:lang w:eastAsia="cs-CZ"/>
        </w:rPr>
      </w:pPr>
      <w:r>
        <w:rPr>
          <w:rFonts w:eastAsia="Times New Roman"/>
          <w:sz w:val="20"/>
          <w:szCs w:val="20"/>
          <w:lang w:eastAsia="cs-CZ"/>
        </w:rPr>
        <w:t>dále jen „</w:t>
      </w:r>
      <w:r>
        <w:rPr>
          <w:rFonts w:eastAsia="Times New Roman"/>
          <w:b/>
          <w:sz w:val="20"/>
          <w:szCs w:val="20"/>
          <w:lang w:eastAsia="cs-CZ"/>
        </w:rPr>
        <w:t>kupující</w:t>
      </w:r>
      <w:r>
        <w:rPr>
          <w:rFonts w:eastAsia="Times New Roman"/>
          <w:sz w:val="20"/>
          <w:szCs w:val="20"/>
          <w:lang w:eastAsia="cs-CZ"/>
        </w:rPr>
        <w:t>“ na straně druhé,</w:t>
      </w:r>
    </w:p>
    <w:p w14:paraId="23299F7F" w14:textId="77777777" w:rsidR="00634D78" w:rsidRDefault="00634D78">
      <w:pPr>
        <w:spacing w:after="0" w:line="240" w:lineRule="auto"/>
        <w:jc w:val="both"/>
        <w:rPr>
          <w:rFonts w:eastAsia="Times New Roman"/>
          <w:sz w:val="20"/>
          <w:szCs w:val="20"/>
          <w:lang w:eastAsia="cs-CZ"/>
        </w:rPr>
      </w:pPr>
    </w:p>
    <w:p w14:paraId="0ED89099" w14:textId="77777777" w:rsidR="00634D78" w:rsidRDefault="00634D78">
      <w:pPr>
        <w:spacing w:after="0" w:line="240" w:lineRule="auto"/>
        <w:jc w:val="both"/>
        <w:rPr>
          <w:rFonts w:eastAsia="Times New Roman"/>
          <w:sz w:val="20"/>
          <w:szCs w:val="20"/>
          <w:lang w:eastAsia="cs-CZ"/>
        </w:rPr>
      </w:pPr>
    </w:p>
    <w:p w14:paraId="252FFFAC" w14:textId="77777777" w:rsidR="00634D78" w:rsidRDefault="00A40C88">
      <w:pPr>
        <w:spacing w:after="0" w:line="240" w:lineRule="auto"/>
        <w:jc w:val="both"/>
        <w:rPr>
          <w:rFonts w:eastAsia="Times New Roman"/>
          <w:sz w:val="20"/>
          <w:szCs w:val="20"/>
          <w:lang w:eastAsia="cs-CZ"/>
        </w:rPr>
      </w:pPr>
      <w:r>
        <w:rPr>
          <w:rFonts w:eastAsia="Times New Roman"/>
          <w:sz w:val="20"/>
          <w:szCs w:val="20"/>
          <w:lang w:eastAsia="cs-CZ"/>
        </w:rPr>
        <w:t>se jako smluvní strany níže uvedeného dne, měsíce a roku dohodly, jak stanoví tato:</w:t>
      </w:r>
    </w:p>
    <w:p w14:paraId="3D7024E7" w14:textId="77777777" w:rsidR="00634D78" w:rsidRDefault="00634D78">
      <w:pPr>
        <w:spacing w:after="0" w:line="240" w:lineRule="auto"/>
        <w:jc w:val="both"/>
        <w:rPr>
          <w:rFonts w:eastAsia="Times New Roman"/>
          <w:sz w:val="20"/>
          <w:szCs w:val="20"/>
          <w:lang w:eastAsia="cs-CZ"/>
        </w:rPr>
      </w:pPr>
    </w:p>
    <w:p w14:paraId="12448D55" w14:textId="77777777" w:rsidR="00634D78" w:rsidRDefault="00634D78">
      <w:pPr>
        <w:spacing w:after="0" w:line="240" w:lineRule="auto"/>
        <w:jc w:val="both"/>
        <w:rPr>
          <w:rFonts w:eastAsia="Times New Roman"/>
          <w:sz w:val="20"/>
          <w:szCs w:val="20"/>
          <w:lang w:eastAsia="cs-CZ"/>
        </w:rPr>
      </w:pPr>
    </w:p>
    <w:p w14:paraId="6AEEC06E" w14:textId="77777777" w:rsidR="00634D78" w:rsidRDefault="00634D78">
      <w:pPr>
        <w:spacing w:after="0" w:line="240" w:lineRule="auto"/>
        <w:jc w:val="both"/>
        <w:rPr>
          <w:rFonts w:eastAsia="Times New Roman"/>
          <w:sz w:val="20"/>
          <w:szCs w:val="20"/>
          <w:lang w:eastAsia="cs-CZ"/>
        </w:rPr>
      </w:pPr>
    </w:p>
    <w:p w14:paraId="645931E5" w14:textId="77777777" w:rsidR="00634D78" w:rsidRDefault="00A40C88">
      <w:pPr>
        <w:spacing w:after="0" w:line="240" w:lineRule="auto"/>
        <w:jc w:val="center"/>
        <w:rPr>
          <w:rFonts w:eastAsia="Times New Roman"/>
          <w:b/>
          <w:caps/>
          <w:sz w:val="24"/>
          <w:szCs w:val="20"/>
          <w:lang w:eastAsia="cs-CZ"/>
        </w:rPr>
      </w:pPr>
      <w:r>
        <w:rPr>
          <w:rFonts w:eastAsia="Times New Roman"/>
          <w:b/>
          <w:caps/>
          <w:sz w:val="24"/>
          <w:szCs w:val="20"/>
          <w:lang w:eastAsia="cs-CZ"/>
        </w:rPr>
        <w:t>kupní smlouva č. 22003</w:t>
      </w:r>
    </w:p>
    <w:p w14:paraId="4CDC1ACC" w14:textId="77777777" w:rsidR="00634D78" w:rsidRDefault="00A40C88">
      <w:pPr>
        <w:spacing w:after="0" w:line="240" w:lineRule="auto"/>
        <w:jc w:val="center"/>
        <w:rPr>
          <w:rFonts w:eastAsia="Times New Roman"/>
          <w:sz w:val="20"/>
          <w:szCs w:val="20"/>
          <w:lang w:eastAsia="cs-CZ"/>
        </w:rPr>
      </w:pPr>
      <w:r>
        <w:rPr>
          <w:rFonts w:eastAsia="Times New Roman"/>
          <w:sz w:val="20"/>
          <w:szCs w:val="20"/>
          <w:lang w:eastAsia="cs-CZ"/>
        </w:rPr>
        <w:t>dále jen „smlouva“</w:t>
      </w:r>
    </w:p>
    <w:p w14:paraId="32FCE092" w14:textId="77777777" w:rsidR="00634D78" w:rsidRDefault="00634D78">
      <w:pPr>
        <w:spacing w:after="0" w:line="240" w:lineRule="auto"/>
        <w:jc w:val="center"/>
        <w:rPr>
          <w:rFonts w:eastAsia="Times New Roman"/>
          <w:sz w:val="20"/>
          <w:szCs w:val="20"/>
          <w:lang w:eastAsia="cs-CZ"/>
        </w:rPr>
      </w:pPr>
    </w:p>
    <w:p w14:paraId="2A40206D" w14:textId="77777777" w:rsidR="00634D78" w:rsidRDefault="00A40C88">
      <w:pPr>
        <w:pStyle w:val="Nadpis1"/>
        <w:keepNext w:val="0"/>
        <w:keepLines w:val="0"/>
        <w:numPr>
          <w:ilvl w:val="0"/>
          <w:numId w:val="2"/>
        </w:numPr>
        <w:spacing w:before="120"/>
        <w:rPr>
          <w:rFonts w:ascii="Verdana" w:hAnsi="Verdana"/>
          <w:sz w:val="20"/>
        </w:rPr>
      </w:pPr>
      <w:r>
        <w:rPr>
          <w:rFonts w:ascii="Verdana" w:hAnsi="Verdana"/>
          <w:sz w:val="20"/>
        </w:rPr>
        <w:t>Předmět smlouvy</w:t>
      </w:r>
    </w:p>
    <w:p w14:paraId="7928B1D6"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Předmětem této kupní smlouvy je závazek prodávajícího dodat kupujícímu dvouramenné operační svítidlo TRUMPF TruLight 5000, konfigurace 5300/5300 (dále jen „</w:t>
      </w:r>
      <w:r>
        <w:rPr>
          <w:rFonts w:ascii="Verdana" w:hAnsi="Verdana"/>
          <w:b/>
          <w:sz w:val="20"/>
          <w:lang w:eastAsia="cs-CZ"/>
        </w:rPr>
        <w:t>zboží</w:t>
      </w:r>
      <w:r>
        <w:rPr>
          <w:rFonts w:ascii="Verdana" w:hAnsi="Verdana"/>
          <w:sz w:val="20"/>
          <w:lang w:eastAsia="cs-CZ"/>
        </w:rPr>
        <w:t>“) a umožnit mu nabytí vlastnického práva ke zboží a dále závazek kupujícího řádně dodané zboží převzít a zaplatit za něj prodávajícímu sjednanou kupní cenu.</w:t>
      </w:r>
    </w:p>
    <w:p w14:paraId="293B6072"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Zboží je blíže specifikováno v nabídce, která tvoří přílohu č. 1 této smlouvy.</w:t>
      </w:r>
    </w:p>
    <w:p w14:paraId="65EFB913" w14:textId="1A36FC2C"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Prodávající prohlašuje, že zboží je/bude vyrobeno dle příslušných norem platných v EU. Prodávající zejména zaručuje, že zboží odpovídá všem požadavkům stanoveným obecně závaznými právními předpisy a normám ČSN a EN, především zákonu č. 22/1997 Sb., o technických požadavcích na výrobky, ve znění pozdějších předpisů, a zákonu č. 89/2021 Sb., o zdravotnických prostředcích, ve znění pozdějších předpisů, a je vybaveno všemi potřebnými doklady a certifikáty. Spolu se zbožím bude dodán návod k obsluze v českém jazyce (v tištěné a elektronické podobě).</w:t>
      </w:r>
    </w:p>
    <w:p w14:paraId="389BE891"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lastRenderedPageBreak/>
        <w:t>Prodávající dále prohlašuje, že má veškerá oprávnění, jakož i vybavení, k plnění povinností dle této smlouvy.</w:t>
      </w:r>
    </w:p>
    <w:p w14:paraId="5035D446" w14:textId="77777777" w:rsidR="00634D78" w:rsidRDefault="00634D78">
      <w:pPr>
        <w:pStyle w:val="Nadpis2"/>
        <w:keepNext w:val="0"/>
        <w:numPr>
          <w:ilvl w:val="0"/>
          <w:numId w:val="0"/>
        </w:numPr>
        <w:spacing w:after="60"/>
        <w:ind w:left="576"/>
        <w:jc w:val="both"/>
        <w:rPr>
          <w:rFonts w:ascii="Verdana" w:hAnsi="Verdana"/>
          <w:sz w:val="20"/>
          <w:lang w:eastAsia="cs-CZ"/>
        </w:rPr>
      </w:pPr>
    </w:p>
    <w:p w14:paraId="3C1D53DA" w14:textId="77777777" w:rsidR="00634D78" w:rsidRDefault="00A40C88">
      <w:pPr>
        <w:pStyle w:val="Nadpis1"/>
        <w:keepNext w:val="0"/>
        <w:keepLines w:val="0"/>
        <w:numPr>
          <w:ilvl w:val="0"/>
          <w:numId w:val="2"/>
        </w:numPr>
        <w:spacing w:before="120"/>
        <w:rPr>
          <w:rFonts w:ascii="Verdana" w:hAnsi="Verdana"/>
          <w:sz w:val="20"/>
        </w:rPr>
      </w:pPr>
      <w:r>
        <w:rPr>
          <w:rFonts w:ascii="Verdana" w:hAnsi="Verdana"/>
          <w:sz w:val="20"/>
        </w:rPr>
        <w:t>Doba, místo a způsob dodání</w:t>
      </w:r>
    </w:p>
    <w:p w14:paraId="4C26A48B" w14:textId="40F7A5C1" w:rsidR="00634D78" w:rsidRDefault="00A40C88">
      <w:pPr>
        <w:pStyle w:val="Nadpis2"/>
        <w:keepNext w:val="0"/>
        <w:numPr>
          <w:ilvl w:val="1"/>
          <w:numId w:val="2"/>
        </w:numPr>
        <w:tabs>
          <w:tab w:val="clear" w:pos="576"/>
          <w:tab w:val="left" w:pos="567"/>
        </w:tabs>
        <w:spacing w:after="60"/>
        <w:jc w:val="both"/>
        <w:rPr>
          <w:rFonts w:ascii="Verdana" w:hAnsi="Verdana"/>
          <w:sz w:val="20"/>
          <w:lang w:eastAsia="cs-CZ"/>
        </w:rPr>
      </w:pPr>
      <w:r>
        <w:rPr>
          <w:rFonts w:ascii="Verdana" w:hAnsi="Verdana"/>
          <w:sz w:val="20"/>
          <w:lang w:eastAsia="cs-CZ"/>
        </w:rPr>
        <w:t xml:space="preserve">Prodávající se zavazuje dodat zboží nejpozději </w:t>
      </w:r>
      <w:r>
        <w:rPr>
          <w:rFonts w:ascii="Verdana" w:hAnsi="Verdana"/>
          <w:b/>
          <w:sz w:val="20"/>
          <w:lang w:eastAsia="cs-CZ"/>
        </w:rPr>
        <w:t xml:space="preserve">  do 30. </w:t>
      </w:r>
      <w:r w:rsidR="00AF2191">
        <w:rPr>
          <w:rFonts w:ascii="Verdana" w:hAnsi="Verdana"/>
          <w:b/>
          <w:sz w:val="20"/>
          <w:lang w:eastAsia="cs-CZ"/>
        </w:rPr>
        <w:t>6</w:t>
      </w:r>
      <w:r>
        <w:rPr>
          <w:rFonts w:ascii="Verdana" w:hAnsi="Verdana"/>
          <w:b/>
          <w:sz w:val="20"/>
          <w:lang w:eastAsia="cs-CZ"/>
        </w:rPr>
        <w:t>. 2022</w:t>
      </w:r>
      <w:r>
        <w:rPr>
          <w:rFonts w:ascii="Verdana" w:hAnsi="Verdana"/>
          <w:sz w:val="20"/>
          <w:lang w:eastAsia="cs-CZ"/>
        </w:rPr>
        <w:t>. Pokud nebude zboží prodávajícím dodáno ve stanoveném termínu, je kupující oprávněn od této smlouvy odstoupit. Kupující si vyhrazuje právo v nezbytně nutném rozsahu prodloužit termín dodání zboží v případě výskytu nepředvídatelných okolností bránících instalaci zboží. Za takové okolnosti se považují zejména mimořádné provozní situace, nehody, havárie, stávky, výluky, nepříznivé klimatické podmínky, krizové stavy, nepříznivé zásahy ze strany orgánů veřejné moci apod.</w:t>
      </w:r>
    </w:p>
    <w:p w14:paraId="018333E1" w14:textId="77777777" w:rsidR="00634D78" w:rsidRDefault="00A40C88">
      <w:pPr>
        <w:pStyle w:val="Nadpis2"/>
        <w:keepNext w:val="0"/>
        <w:numPr>
          <w:ilvl w:val="1"/>
          <w:numId w:val="2"/>
        </w:numPr>
        <w:tabs>
          <w:tab w:val="clear" w:pos="576"/>
          <w:tab w:val="left" w:pos="567"/>
        </w:tabs>
        <w:spacing w:after="60"/>
        <w:jc w:val="both"/>
        <w:rPr>
          <w:rFonts w:ascii="Verdana" w:hAnsi="Verdana"/>
          <w:sz w:val="20"/>
          <w:lang w:eastAsia="cs-CZ"/>
        </w:rPr>
      </w:pPr>
      <w:r>
        <w:rPr>
          <w:rFonts w:ascii="Verdana" w:hAnsi="Verdana"/>
          <w:sz w:val="20"/>
          <w:lang w:eastAsia="cs-CZ"/>
        </w:rPr>
        <w:t>Místem dodání zboží je sídlo kupujícího, konkrétně GPO.</w:t>
      </w:r>
    </w:p>
    <w:p w14:paraId="2169E7E0" w14:textId="77777777" w:rsidR="00634D78" w:rsidRDefault="00A40C88">
      <w:pPr>
        <w:pStyle w:val="Nadpis2"/>
        <w:keepNext w:val="0"/>
        <w:numPr>
          <w:ilvl w:val="1"/>
          <w:numId w:val="2"/>
        </w:numPr>
        <w:spacing w:after="60"/>
        <w:jc w:val="both"/>
        <w:rPr>
          <w:rFonts w:ascii="Verdana" w:hAnsi="Verdana"/>
          <w:i/>
          <w:sz w:val="20"/>
          <w:lang w:eastAsia="cs-CZ"/>
        </w:rPr>
      </w:pPr>
      <w:r>
        <w:rPr>
          <w:rFonts w:ascii="Verdana" w:hAnsi="Verdana"/>
          <w:sz w:val="20"/>
          <w:lang w:eastAsia="cs-CZ"/>
        </w:rPr>
        <w:t xml:space="preserve">O průběhu a výsledku předávací řízení bude sepsán písemný předávací protokol. Přílohou předávacího protokolu budou veškeré zkušební, měřící, cejchovací a instruktážní protokoly a revizní zprávy, protokoly o provedené instruktáži a certifikaci pracovníků kupujícího, případně další doklady, prokazující způsobilost a připravenost zboží k provozu. Součástí předávacího protokolu bude také výslovné prohlášení prodávajícího, že </w:t>
      </w:r>
      <w:r>
        <w:rPr>
          <w:rFonts w:ascii="Verdana" w:hAnsi="Verdana"/>
          <w:i/>
          <w:sz w:val="20"/>
          <w:lang w:eastAsia="cs-CZ"/>
        </w:rPr>
        <w:t>„Zařízení splňuje výrobcem uváděné parametry, je plně funkční a bezpečné pro použití při poskytování zdravotních služeb pracovníky kupujícího.“</w:t>
      </w:r>
    </w:p>
    <w:p w14:paraId="76F14B7F"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Kupující je oprávněn odmítnout převzetí zboží v případě:</w:t>
      </w:r>
    </w:p>
    <w:p w14:paraId="21EA4BA6" w14:textId="77777777" w:rsidR="00634D78" w:rsidRDefault="00A40C88">
      <w:pPr>
        <w:pStyle w:val="Nadpis2"/>
        <w:keepNext w:val="0"/>
        <w:numPr>
          <w:ilvl w:val="0"/>
          <w:numId w:val="4"/>
        </w:numPr>
        <w:tabs>
          <w:tab w:val="left" w:pos="851"/>
        </w:tabs>
        <w:spacing w:after="60"/>
        <w:ind w:left="851" w:hanging="284"/>
        <w:jc w:val="both"/>
        <w:rPr>
          <w:rFonts w:ascii="Verdana" w:hAnsi="Verdana"/>
          <w:sz w:val="20"/>
          <w:lang w:eastAsia="cs-CZ"/>
        </w:rPr>
      </w:pPr>
      <w:r>
        <w:rPr>
          <w:rFonts w:ascii="Verdana" w:hAnsi="Verdana"/>
          <w:sz w:val="20"/>
          <w:lang w:eastAsia="cs-CZ"/>
        </w:rPr>
        <w:t>výskytu vad zboží nebo jeho částí,</w:t>
      </w:r>
    </w:p>
    <w:p w14:paraId="3464EEF4" w14:textId="77777777" w:rsidR="00634D78" w:rsidRDefault="00A40C88">
      <w:pPr>
        <w:pStyle w:val="Nadpis2"/>
        <w:keepNext w:val="0"/>
        <w:numPr>
          <w:ilvl w:val="0"/>
          <w:numId w:val="4"/>
        </w:numPr>
        <w:tabs>
          <w:tab w:val="left" w:pos="851"/>
        </w:tabs>
        <w:spacing w:after="60"/>
        <w:ind w:left="851" w:hanging="284"/>
        <w:jc w:val="both"/>
        <w:rPr>
          <w:rFonts w:ascii="Verdana" w:hAnsi="Verdana"/>
          <w:sz w:val="20"/>
          <w:lang w:eastAsia="cs-CZ"/>
        </w:rPr>
      </w:pPr>
      <w:r>
        <w:rPr>
          <w:rFonts w:ascii="Verdana" w:hAnsi="Verdana"/>
          <w:sz w:val="20"/>
          <w:lang w:eastAsia="cs-CZ"/>
        </w:rPr>
        <w:t>nesplnění všech povinnosti prodávajícího vztahujících se k předání zboží dle této smlouvy.</w:t>
      </w:r>
    </w:p>
    <w:p w14:paraId="1F2FE3B4"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Převezme-li kupující zboží s vadami uvedenými v předávacím protokolu a nebude-li v předávacím protokolu uvedeno jinak, zavazuje se prodávající k neprodlenému odstranění těchto vad.</w:t>
      </w:r>
    </w:p>
    <w:p w14:paraId="0B3F3ACC"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Nebezpečí škody na zboží a vlastnické právo ke zboží přechází na kupujícího okamžikem převzetí zboží a podpisem předávacího protokolu.</w:t>
      </w:r>
    </w:p>
    <w:p w14:paraId="13BF65C0" w14:textId="77777777" w:rsidR="00634D78" w:rsidRDefault="00A40C88">
      <w:pPr>
        <w:pStyle w:val="Nadpis2"/>
        <w:keepNext w:val="0"/>
        <w:numPr>
          <w:ilvl w:val="1"/>
          <w:numId w:val="2"/>
        </w:numPr>
        <w:tabs>
          <w:tab w:val="clear" w:pos="576"/>
          <w:tab w:val="left" w:pos="567"/>
        </w:tabs>
        <w:spacing w:after="60"/>
        <w:jc w:val="both"/>
        <w:rPr>
          <w:rFonts w:ascii="Verdana" w:hAnsi="Verdana"/>
          <w:sz w:val="20"/>
          <w:lang w:eastAsia="cs-CZ"/>
        </w:rPr>
      </w:pPr>
      <w:r>
        <w:rPr>
          <w:rFonts w:ascii="Verdana" w:hAnsi="Verdana"/>
          <w:sz w:val="20"/>
          <w:lang w:eastAsia="cs-CZ"/>
        </w:rPr>
        <w:t>Prodávající je povinen při dodávce a instalaci zboží postupovat v těsné spolupráci s kupujícím tak, aby nebyl narušován provoz nemocnice kupujícího nad míru nezbytně nutnou.</w:t>
      </w:r>
    </w:p>
    <w:p w14:paraId="30AF2EB9"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Dojde-li při instalaci zboží prodávajícím či v její souvislosti k poškození majetku kupujícího či třetích osob (např. poškození podlahy, stěny, výmalby apod.), zavazuje se prodávající bezodkladně poškozené věci opravit a uvést do původního stavu, případně nahradit vzniklou škodu.</w:t>
      </w:r>
    </w:p>
    <w:p w14:paraId="4BA03CFB" w14:textId="77777777" w:rsidR="00634D78" w:rsidRDefault="00A40C88">
      <w:pPr>
        <w:pStyle w:val="Nadpis1"/>
        <w:keepNext w:val="0"/>
        <w:keepLines w:val="0"/>
        <w:numPr>
          <w:ilvl w:val="0"/>
          <w:numId w:val="2"/>
        </w:numPr>
        <w:spacing w:before="120"/>
        <w:rPr>
          <w:rFonts w:ascii="Verdana" w:hAnsi="Verdana"/>
          <w:sz w:val="20"/>
        </w:rPr>
      </w:pPr>
      <w:r>
        <w:rPr>
          <w:rFonts w:ascii="Verdana" w:hAnsi="Verdana"/>
          <w:sz w:val="20"/>
        </w:rPr>
        <w:t>Kupní cena a platební podmínky</w:t>
      </w:r>
    </w:p>
    <w:p w14:paraId="5D5057DA" w14:textId="2C5095DC"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 xml:space="preserve">Celková kupní cena zboží činí 280.000,- Kč bez DPH, DPH 21% je 58.800,- Kč, kupní cena vč. DPH činí 338. 800,- Kč (slovy: </w:t>
      </w:r>
      <w:r w:rsidR="00AF2191">
        <w:rPr>
          <w:rFonts w:ascii="Verdana" w:hAnsi="Verdana"/>
          <w:sz w:val="20"/>
          <w:lang w:eastAsia="cs-CZ"/>
        </w:rPr>
        <w:t>třistatřicetosmtisícosmset</w:t>
      </w:r>
      <w:r>
        <w:rPr>
          <w:rFonts w:ascii="Verdana" w:hAnsi="Verdana"/>
          <w:sz w:val="20"/>
          <w:lang w:eastAsia="cs-CZ"/>
        </w:rPr>
        <w:t xml:space="preserve"> korun českých). Prodávající ručí za uplatnění správné sazby DPH vztahující se na dodávku zboží dle této smlouvy.</w:t>
      </w:r>
    </w:p>
    <w:p w14:paraId="6E472AE5"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Kupní cena zboží je stanovena dohodou jako cena konečná, maximální, nejvýše přípustná a zahrnuje rovněž dopravu zboží do místa plnění, balné, pojištění, případné celní a daňové poplatky, zaškolení personálu a jiné náklady související s dodávkou zboží.</w:t>
      </w:r>
    </w:p>
    <w:p w14:paraId="3B459831"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 xml:space="preserve">Úhrada kupní ceny bude kupujícím prováděna bezhotovostním převodem nebo vkladem na účet prodávajícího uvedený v záhlaví této smlouvy, a to na základě faktury vystavené </w:t>
      </w:r>
      <w:r>
        <w:rPr>
          <w:rFonts w:ascii="Verdana" w:hAnsi="Verdana"/>
          <w:sz w:val="20"/>
          <w:lang w:eastAsia="cs-CZ"/>
        </w:rPr>
        <w:lastRenderedPageBreak/>
        <w:t>prodávajícím v souladu s dodacím listem. Kupující je oprávněn pozdržet úhradu kupní ceny až do doby úplného odstranění všech vad zboží.</w:t>
      </w:r>
    </w:p>
    <w:p w14:paraId="77EC5329"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Splatnost faktury je do 30 dnů od data doručení faktury kupujícímu. Fakturu, která nebude mít veškeré náležitosti řádného daňového a účetního dokladu, je kupující oprávněn vrátit. V takovém případě běží ode dne doručení nové/opravené faktury kupujícímu nová lhůta splatnosti.</w:t>
      </w:r>
    </w:p>
    <w:p w14:paraId="403F310C"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V případě prodlení kupujícího s úhradou kupní ceny či její části je prodávající oprávněn požadovat zaplacení úroku z prodlení v souladu s ustanovením § 1970 občanského zákoníku.</w:t>
      </w:r>
    </w:p>
    <w:p w14:paraId="53497B97"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Zveřejní-li správce daně skutečnost, že prodávající je nespolehlivým plátcem ve smyslu zákona č. 235/2004 Sb., o dani z přidané hodnoty, je kupující oprávněn z každé fakturované platby zadržet daň z přidané hodnoty a tuto aniž by k tomu byl vyzván jako ručitel uhradit za prodávajícího příslušnému správci daně.</w:t>
      </w:r>
    </w:p>
    <w:p w14:paraId="45172EB7" w14:textId="77777777" w:rsidR="00634D78" w:rsidRDefault="00A40C88">
      <w:pPr>
        <w:pStyle w:val="Nadpis1"/>
        <w:keepNext w:val="0"/>
        <w:keepLines w:val="0"/>
        <w:numPr>
          <w:ilvl w:val="0"/>
          <w:numId w:val="2"/>
        </w:numPr>
        <w:spacing w:before="120"/>
        <w:rPr>
          <w:rFonts w:ascii="Verdana" w:hAnsi="Verdana"/>
          <w:sz w:val="20"/>
        </w:rPr>
      </w:pPr>
      <w:r>
        <w:rPr>
          <w:rFonts w:ascii="Verdana" w:hAnsi="Verdana"/>
          <w:sz w:val="20"/>
        </w:rPr>
        <w:t>Odpovědnost za vady, záruka za jakost</w:t>
      </w:r>
    </w:p>
    <w:p w14:paraId="2567FAAC"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Není-li uvedeno jinak, řídí se práva a povinnosti smluvních stran z vadného plnění příslušnými ustanoveními občanského zákoníku.</w:t>
      </w:r>
    </w:p>
    <w:p w14:paraId="21086A4F"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 xml:space="preserve">Na dodané zboží poskytuje prodávající záruku za jakost v délce </w:t>
      </w:r>
      <w:r>
        <w:rPr>
          <w:rFonts w:ascii="Verdana" w:hAnsi="Verdana"/>
          <w:b/>
          <w:sz w:val="20"/>
          <w:lang w:eastAsia="cs-CZ"/>
        </w:rPr>
        <w:t>24 měsíců</w:t>
      </w:r>
      <w:r>
        <w:rPr>
          <w:rFonts w:ascii="Verdana" w:hAnsi="Verdana"/>
          <w:sz w:val="20"/>
          <w:lang w:eastAsia="cs-CZ"/>
        </w:rPr>
        <w:t>. Záruční doba běží od okamžiku převzetí zboží kupujícím. Záruční doba se prodlužuje o dobu trvání vady, která brání řádnému užívání zboží. V případě dodání nového zboží běží ode dne jeho převzetí kupujícím nová záruční doba.</w:t>
      </w:r>
    </w:p>
    <w:p w14:paraId="5AE319A9"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V záruční době se prodávající zavazuje k servisní reakci nejpozději do 24 hodin od oznámení vad kupujícím (písemně, emailem, faxem či telefonicky) a uvést zboží do provozu nejpozději do dalších 48 hodin. Jestliže se prodávajícímu nepodaří zboží uvést do provozu ve výše uvedené lhůtě, zavazuje se prodávající v záruční době zapůjčit kupujícímu do bezplatného užívání náhradní zboží srovnatelných parametrů, a to po celou dobu nutné opravy.</w:t>
      </w:r>
    </w:p>
    <w:p w14:paraId="555C54BD"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Ukáže-li se, že vada zboží je neodstranitelná, nebo v případě, že prodávající neodstraní vady zboží včas, nejpozději do 30 dnů od dne oznámení, je kupující oprávněn požadovat dodání nového zboží shodných nebo lepších parametrů, nebo od této smlouvy odstoupit.</w:t>
      </w:r>
    </w:p>
    <w:p w14:paraId="522BC986"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Náklady spojené s odstraňováním vad zboží, za které odpovídá prodávající, hradí v plné výši prodávající (cestovné, náhradní díly, materiál, apod.).</w:t>
      </w:r>
    </w:p>
    <w:p w14:paraId="74DF04F9" w14:textId="77777777" w:rsidR="00634D78" w:rsidRDefault="00A40C88">
      <w:pPr>
        <w:pStyle w:val="Nadpis1"/>
        <w:keepNext w:val="0"/>
        <w:keepLines w:val="0"/>
        <w:numPr>
          <w:ilvl w:val="0"/>
          <w:numId w:val="2"/>
        </w:numPr>
        <w:spacing w:before="120"/>
        <w:rPr>
          <w:rFonts w:ascii="Verdana" w:hAnsi="Verdana"/>
          <w:sz w:val="20"/>
        </w:rPr>
      </w:pPr>
      <w:r>
        <w:rPr>
          <w:rFonts w:ascii="Verdana" w:hAnsi="Verdana"/>
          <w:sz w:val="20"/>
        </w:rPr>
        <w:t>Servis</w:t>
      </w:r>
    </w:p>
    <w:p w14:paraId="2ACEC8DB"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Prodávající se zavazuje zajišťovat po dobu deseti (10) let od dodání zboží mimozáruční a pozáruční servis zboží včetně dodávek náhradních dílů, a to ve stejných lhůtách jako jsou uvedeny v čl 4 odst. 4.3 této smlouvy.</w:t>
      </w:r>
    </w:p>
    <w:p w14:paraId="59FC51E6"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Prodávající se zavazuje provádět v rámci servisu zboží předepsanou odbornou údržbu zboží dle příslušných právních předpisů a doporučení výrobce, zahrnující pravidelné bezpečnostně technické kontroly (PBTK) a jiné předepsané servisní prohlídky. Rozsah odborné údržby je blíže popsán v příloze č. 1 této smlouvy.</w:t>
      </w:r>
    </w:p>
    <w:p w14:paraId="3FDEC450"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 xml:space="preserve">Odborná údržba v době záruky je zahrnuta v kupní ceně zboží. </w:t>
      </w:r>
    </w:p>
    <w:p w14:paraId="601E1025"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Splatnost faktur za provádění servisu zboží je 30 dnů od jejího doručení kupujícímu.</w:t>
      </w:r>
    </w:p>
    <w:p w14:paraId="7C5E4889" w14:textId="77777777" w:rsidR="00634D78" w:rsidRDefault="00A40C88">
      <w:pPr>
        <w:pStyle w:val="Nadpis2"/>
        <w:keepNext w:val="0"/>
        <w:numPr>
          <w:ilvl w:val="1"/>
          <w:numId w:val="2"/>
        </w:numPr>
        <w:tabs>
          <w:tab w:val="clear" w:pos="576"/>
          <w:tab w:val="left" w:pos="567"/>
        </w:tabs>
        <w:spacing w:after="60"/>
        <w:jc w:val="both"/>
        <w:rPr>
          <w:rFonts w:ascii="Verdana" w:hAnsi="Verdana"/>
          <w:sz w:val="20"/>
          <w:lang w:eastAsia="cs-CZ"/>
        </w:rPr>
      </w:pPr>
      <w:r>
        <w:rPr>
          <w:rFonts w:ascii="Verdana" w:hAnsi="Verdana"/>
          <w:sz w:val="20"/>
          <w:lang w:eastAsia="cs-CZ"/>
        </w:rPr>
        <w:t>Smluvní strany si sjednávají, že kupující je oprávněn poskytování pozáruční servisní podpory dle odstavce 5.3. tohoto článku kdykoliv vypovědět, a to i bez uvedení důvodu. Výpovědní doba pro ukončení servisní podpory činí jeden (1) měsíc a počíná běžet prvním dnem měsíce následujícího po doručení písemné výpovědi prodávajícímu.</w:t>
      </w:r>
    </w:p>
    <w:p w14:paraId="48119B97" w14:textId="77777777" w:rsidR="00634D78" w:rsidRDefault="00A40C88">
      <w:pPr>
        <w:pStyle w:val="Nadpis2"/>
        <w:keepNext w:val="0"/>
        <w:numPr>
          <w:ilvl w:val="1"/>
          <w:numId w:val="2"/>
        </w:numPr>
        <w:tabs>
          <w:tab w:val="clear" w:pos="576"/>
          <w:tab w:val="left" w:pos="567"/>
        </w:tabs>
        <w:spacing w:after="60"/>
        <w:jc w:val="both"/>
        <w:rPr>
          <w:rFonts w:ascii="Verdana" w:hAnsi="Verdana"/>
          <w:sz w:val="20"/>
          <w:lang w:eastAsia="cs-CZ"/>
        </w:rPr>
      </w:pPr>
      <w:r>
        <w:rPr>
          <w:rFonts w:ascii="Verdana" w:hAnsi="Verdana"/>
          <w:sz w:val="20"/>
          <w:lang w:eastAsia="cs-CZ"/>
        </w:rPr>
        <w:t>Kontaktní osobou k provádění servisu na straně kupujícího je:</w:t>
      </w:r>
    </w:p>
    <w:p w14:paraId="668AD861" w14:textId="589B7086" w:rsidR="00634D78" w:rsidRDefault="00A40C88">
      <w:pPr>
        <w:pStyle w:val="Nadpis2"/>
        <w:keepNext w:val="0"/>
        <w:numPr>
          <w:ilvl w:val="0"/>
          <w:numId w:val="0"/>
        </w:numPr>
        <w:spacing w:after="60"/>
        <w:ind w:left="567"/>
        <w:jc w:val="both"/>
        <w:rPr>
          <w:rFonts w:ascii="Verdana" w:hAnsi="Verdana"/>
          <w:sz w:val="20"/>
          <w:lang w:eastAsia="cs-CZ"/>
        </w:rPr>
      </w:pPr>
      <w:r>
        <w:rPr>
          <w:rFonts w:ascii="Verdana" w:hAnsi="Verdana"/>
          <w:sz w:val="20"/>
          <w:lang w:eastAsia="cs-CZ"/>
        </w:rPr>
        <w:lastRenderedPageBreak/>
        <w:t>Jméno a příjmení:</w:t>
      </w:r>
      <w:r>
        <w:rPr>
          <w:rFonts w:ascii="Verdana" w:hAnsi="Verdana"/>
          <w:sz w:val="20"/>
          <w:lang w:eastAsia="cs-CZ"/>
        </w:rPr>
        <w:tab/>
      </w:r>
      <w:r w:rsidR="00B21CB8">
        <w:rPr>
          <w:rFonts w:ascii="Verdana" w:hAnsi="Verdana"/>
          <w:b/>
          <w:sz w:val="20"/>
          <w:lang w:eastAsia="cs-CZ"/>
        </w:rPr>
        <w:t>(OÚ)</w:t>
      </w:r>
    </w:p>
    <w:p w14:paraId="779BE9FC" w14:textId="6E36FB5F" w:rsidR="00634D78" w:rsidRDefault="00A40C88">
      <w:pPr>
        <w:pStyle w:val="Nadpis2"/>
        <w:keepNext w:val="0"/>
        <w:numPr>
          <w:ilvl w:val="0"/>
          <w:numId w:val="0"/>
        </w:numPr>
        <w:spacing w:after="60"/>
        <w:ind w:left="567"/>
        <w:jc w:val="both"/>
        <w:rPr>
          <w:rFonts w:ascii="Verdana" w:hAnsi="Verdana"/>
          <w:sz w:val="20"/>
          <w:lang w:eastAsia="cs-CZ"/>
        </w:rPr>
      </w:pPr>
      <w:r>
        <w:rPr>
          <w:rFonts w:ascii="Verdana" w:hAnsi="Verdana"/>
          <w:sz w:val="20"/>
          <w:lang w:eastAsia="cs-CZ"/>
        </w:rPr>
        <w:t>tel:</w:t>
      </w:r>
      <w:r>
        <w:rPr>
          <w:rFonts w:ascii="Verdana" w:hAnsi="Verdana"/>
          <w:sz w:val="20"/>
          <w:lang w:eastAsia="cs-CZ"/>
        </w:rPr>
        <w:tab/>
      </w:r>
      <w:r>
        <w:rPr>
          <w:rFonts w:ascii="Verdana" w:hAnsi="Verdana"/>
          <w:sz w:val="20"/>
          <w:lang w:eastAsia="cs-CZ"/>
        </w:rPr>
        <w:tab/>
      </w:r>
      <w:r>
        <w:rPr>
          <w:rFonts w:ascii="Verdana" w:hAnsi="Verdana"/>
          <w:sz w:val="20"/>
          <w:lang w:eastAsia="cs-CZ"/>
        </w:rPr>
        <w:tab/>
      </w:r>
      <w:r w:rsidR="00B21CB8">
        <w:rPr>
          <w:rFonts w:ascii="Verdana" w:hAnsi="Verdana"/>
          <w:b/>
          <w:sz w:val="20"/>
          <w:lang w:eastAsia="cs-CZ"/>
        </w:rPr>
        <w:t>(OÚ)</w:t>
      </w:r>
    </w:p>
    <w:p w14:paraId="336C6634" w14:textId="650A563E" w:rsidR="00634D78" w:rsidRDefault="00A40C88">
      <w:pPr>
        <w:pStyle w:val="Nadpis2"/>
        <w:keepNext w:val="0"/>
        <w:numPr>
          <w:ilvl w:val="0"/>
          <w:numId w:val="0"/>
        </w:numPr>
        <w:spacing w:after="60"/>
        <w:ind w:left="567"/>
        <w:jc w:val="both"/>
        <w:rPr>
          <w:rFonts w:ascii="Verdana" w:hAnsi="Verdana"/>
          <w:sz w:val="20"/>
          <w:lang w:eastAsia="cs-CZ"/>
        </w:rPr>
      </w:pPr>
      <w:r>
        <w:rPr>
          <w:rFonts w:ascii="Verdana" w:hAnsi="Verdana"/>
          <w:sz w:val="20"/>
          <w:lang w:eastAsia="cs-CZ"/>
        </w:rPr>
        <w:t>email:</w:t>
      </w:r>
      <w:r>
        <w:rPr>
          <w:rFonts w:ascii="Verdana" w:hAnsi="Verdana"/>
          <w:sz w:val="20"/>
          <w:lang w:eastAsia="cs-CZ"/>
        </w:rPr>
        <w:tab/>
      </w:r>
      <w:r>
        <w:rPr>
          <w:rFonts w:ascii="Verdana" w:hAnsi="Verdana"/>
          <w:sz w:val="20"/>
          <w:lang w:eastAsia="cs-CZ"/>
        </w:rPr>
        <w:tab/>
      </w:r>
      <w:r>
        <w:rPr>
          <w:rFonts w:ascii="Verdana" w:hAnsi="Verdana"/>
          <w:sz w:val="20"/>
          <w:lang w:eastAsia="cs-CZ"/>
        </w:rPr>
        <w:tab/>
      </w:r>
      <w:hyperlink r:id="rId8"/>
      <w:r w:rsidR="00B21CB8">
        <w:rPr>
          <w:rFonts w:ascii="Verdana" w:hAnsi="Verdana"/>
          <w:b/>
          <w:sz w:val="20"/>
          <w:lang w:eastAsia="cs-CZ"/>
        </w:rPr>
        <w:t>(OÚ)</w:t>
      </w:r>
    </w:p>
    <w:p w14:paraId="6099A3E4" w14:textId="77777777" w:rsidR="00634D78" w:rsidRDefault="00A40C88">
      <w:pPr>
        <w:pStyle w:val="Nadpis2"/>
        <w:keepNext w:val="0"/>
        <w:numPr>
          <w:ilvl w:val="1"/>
          <w:numId w:val="2"/>
        </w:numPr>
        <w:tabs>
          <w:tab w:val="clear" w:pos="576"/>
          <w:tab w:val="left" w:pos="567"/>
        </w:tabs>
        <w:spacing w:after="60"/>
        <w:jc w:val="both"/>
        <w:rPr>
          <w:rFonts w:ascii="Verdana" w:hAnsi="Verdana"/>
          <w:sz w:val="20"/>
          <w:lang w:eastAsia="cs-CZ"/>
        </w:rPr>
      </w:pPr>
      <w:r>
        <w:rPr>
          <w:rFonts w:ascii="Verdana" w:hAnsi="Verdana"/>
          <w:sz w:val="20"/>
          <w:lang w:eastAsia="cs-CZ"/>
        </w:rPr>
        <w:t>Kontaktní osobou k provádění servisu na straně prodávajícího je:</w:t>
      </w:r>
    </w:p>
    <w:p w14:paraId="12A2085E" w14:textId="34B28072" w:rsidR="00B21CB8" w:rsidRDefault="00A40C88">
      <w:pPr>
        <w:pStyle w:val="Nadpis2"/>
        <w:keepNext w:val="0"/>
        <w:numPr>
          <w:ilvl w:val="0"/>
          <w:numId w:val="0"/>
        </w:numPr>
        <w:spacing w:after="60"/>
        <w:ind w:left="576"/>
        <w:jc w:val="both"/>
        <w:rPr>
          <w:rFonts w:ascii="Verdana" w:hAnsi="Verdana"/>
          <w:b/>
          <w:sz w:val="20"/>
          <w:lang w:eastAsia="cs-CZ"/>
        </w:rPr>
      </w:pPr>
      <w:r>
        <w:rPr>
          <w:rFonts w:ascii="Verdana" w:hAnsi="Verdana"/>
          <w:sz w:val="20"/>
          <w:lang w:eastAsia="cs-CZ"/>
        </w:rPr>
        <w:t>Jméno a příjmení:</w:t>
      </w:r>
      <w:r w:rsidR="00B21CB8">
        <w:rPr>
          <w:rFonts w:ascii="Verdana" w:hAnsi="Verdana"/>
          <w:sz w:val="20"/>
          <w:lang w:eastAsia="cs-CZ"/>
        </w:rPr>
        <w:tab/>
      </w:r>
      <w:r w:rsidR="00B21CB8">
        <w:rPr>
          <w:rFonts w:ascii="Verdana" w:hAnsi="Verdana"/>
          <w:b/>
          <w:sz w:val="20"/>
          <w:lang w:eastAsia="cs-CZ"/>
        </w:rPr>
        <w:t>(OÚ)</w:t>
      </w:r>
    </w:p>
    <w:p w14:paraId="5D850A58" w14:textId="12DA519B" w:rsidR="00634D78" w:rsidRDefault="00A40C88">
      <w:pPr>
        <w:pStyle w:val="Nadpis2"/>
        <w:keepNext w:val="0"/>
        <w:numPr>
          <w:ilvl w:val="0"/>
          <w:numId w:val="0"/>
        </w:numPr>
        <w:spacing w:after="60"/>
        <w:ind w:left="576"/>
        <w:jc w:val="both"/>
        <w:rPr>
          <w:rFonts w:ascii="Verdana" w:hAnsi="Verdana"/>
          <w:sz w:val="20"/>
          <w:lang w:eastAsia="cs-CZ"/>
        </w:rPr>
      </w:pPr>
      <w:r>
        <w:rPr>
          <w:rFonts w:ascii="Verdana" w:hAnsi="Verdana"/>
          <w:sz w:val="20"/>
          <w:lang w:eastAsia="cs-CZ"/>
        </w:rPr>
        <w:t>tel:</w:t>
      </w:r>
      <w:r>
        <w:rPr>
          <w:rFonts w:ascii="Verdana" w:hAnsi="Verdana"/>
          <w:sz w:val="20"/>
          <w:lang w:eastAsia="cs-CZ"/>
        </w:rPr>
        <w:tab/>
      </w:r>
      <w:r>
        <w:rPr>
          <w:rFonts w:ascii="Verdana" w:hAnsi="Verdana"/>
          <w:sz w:val="20"/>
          <w:lang w:eastAsia="cs-CZ"/>
        </w:rPr>
        <w:tab/>
      </w:r>
      <w:r w:rsidR="00B21CB8">
        <w:rPr>
          <w:rFonts w:ascii="Verdana" w:hAnsi="Verdana"/>
          <w:sz w:val="20"/>
          <w:lang w:eastAsia="cs-CZ"/>
        </w:rPr>
        <w:tab/>
      </w:r>
      <w:r w:rsidR="00B21CB8">
        <w:rPr>
          <w:rFonts w:ascii="Verdana" w:hAnsi="Verdana"/>
          <w:b/>
          <w:sz w:val="20"/>
          <w:lang w:eastAsia="cs-CZ"/>
        </w:rPr>
        <w:t>(OÚ)</w:t>
      </w:r>
    </w:p>
    <w:p w14:paraId="53EAC91B" w14:textId="520A431E" w:rsidR="00634D78" w:rsidRDefault="00A40C88">
      <w:pPr>
        <w:pStyle w:val="Nadpis2"/>
        <w:keepNext w:val="0"/>
        <w:numPr>
          <w:ilvl w:val="0"/>
          <w:numId w:val="0"/>
        </w:numPr>
        <w:spacing w:after="60"/>
        <w:ind w:left="576"/>
        <w:jc w:val="both"/>
        <w:rPr>
          <w:rFonts w:ascii="Verdana" w:hAnsi="Verdana"/>
          <w:sz w:val="20"/>
          <w:lang w:eastAsia="cs-CZ"/>
        </w:rPr>
      </w:pPr>
      <w:r>
        <w:rPr>
          <w:rFonts w:ascii="Verdana" w:hAnsi="Verdana"/>
          <w:sz w:val="20"/>
          <w:lang w:eastAsia="cs-CZ"/>
        </w:rPr>
        <w:t>fax:</w:t>
      </w:r>
      <w:r>
        <w:rPr>
          <w:rFonts w:ascii="Verdana" w:hAnsi="Verdana"/>
          <w:sz w:val="20"/>
          <w:lang w:eastAsia="cs-CZ"/>
        </w:rPr>
        <w:tab/>
      </w:r>
      <w:r w:rsidR="00B21CB8">
        <w:rPr>
          <w:rFonts w:ascii="Verdana" w:hAnsi="Verdana"/>
          <w:sz w:val="20"/>
          <w:lang w:eastAsia="cs-CZ"/>
        </w:rPr>
        <w:tab/>
      </w:r>
      <w:r w:rsidR="00B21CB8">
        <w:rPr>
          <w:rFonts w:ascii="Verdana" w:hAnsi="Verdana"/>
          <w:sz w:val="20"/>
          <w:lang w:eastAsia="cs-CZ"/>
        </w:rPr>
        <w:tab/>
      </w:r>
      <w:r w:rsidR="00B21CB8">
        <w:rPr>
          <w:rFonts w:ascii="Verdana" w:hAnsi="Verdana"/>
          <w:b/>
          <w:sz w:val="20"/>
          <w:lang w:eastAsia="cs-CZ"/>
        </w:rPr>
        <w:t>(OÚ)</w:t>
      </w:r>
    </w:p>
    <w:p w14:paraId="7131EEC4" w14:textId="52B9E06C" w:rsidR="00634D78" w:rsidRDefault="00A40C88">
      <w:pPr>
        <w:pStyle w:val="Nadpis2"/>
        <w:keepNext w:val="0"/>
        <w:numPr>
          <w:ilvl w:val="0"/>
          <w:numId w:val="0"/>
        </w:numPr>
        <w:spacing w:after="60"/>
        <w:ind w:left="576"/>
        <w:jc w:val="both"/>
        <w:rPr>
          <w:rFonts w:ascii="Verdana" w:hAnsi="Verdana"/>
          <w:sz w:val="20"/>
          <w:lang w:eastAsia="cs-CZ"/>
        </w:rPr>
      </w:pPr>
      <w:r>
        <w:rPr>
          <w:rFonts w:ascii="Verdana" w:hAnsi="Verdana"/>
          <w:sz w:val="20"/>
          <w:lang w:eastAsia="cs-CZ"/>
        </w:rPr>
        <w:t>email:</w:t>
      </w:r>
      <w:r>
        <w:rPr>
          <w:rFonts w:ascii="Verdana" w:hAnsi="Verdana"/>
          <w:sz w:val="20"/>
          <w:lang w:eastAsia="cs-CZ"/>
        </w:rPr>
        <w:tab/>
      </w:r>
      <w:r>
        <w:rPr>
          <w:rFonts w:ascii="Verdana" w:hAnsi="Verdana"/>
          <w:sz w:val="20"/>
          <w:lang w:eastAsia="cs-CZ"/>
        </w:rPr>
        <w:tab/>
      </w:r>
      <w:r>
        <w:rPr>
          <w:rFonts w:ascii="Verdana" w:hAnsi="Verdana"/>
          <w:sz w:val="20"/>
          <w:lang w:eastAsia="cs-CZ"/>
        </w:rPr>
        <w:tab/>
      </w:r>
      <w:r w:rsidR="00B21CB8">
        <w:rPr>
          <w:rFonts w:ascii="Verdana" w:hAnsi="Verdana"/>
          <w:b/>
          <w:sz w:val="20"/>
          <w:lang w:eastAsia="cs-CZ"/>
        </w:rPr>
        <w:t>(OÚ)</w:t>
      </w:r>
    </w:p>
    <w:p w14:paraId="23A1CCDE" w14:textId="77777777" w:rsidR="00634D78" w:rsidRDefault="00634D78">
      <w:pPr>
        <w:rPr>
          <w:lang w:eastAsia="cs-CZ"/>
        </w:rPr>
      </w:pPr>
    </w:p>
    <w:p w14:paraId="113D1746" w14:textId="77777777" w:rsidR="00634D78" w:rsidRDefault="00A40C88">
      <w:pPr>
        <w:pStyle w:val="Nadpis2"/>
        <w:keepNext w:val="0"/>
        <w:numPr>
          <w:ilvl w:val="1"/>
          <w:numId w:val="2"/>
        </w:numPr>
        <w:tabs>
          <w:tab w:val="clear" w:pos="576"/>
          <w:tab w:val="left" w:pos="567"/>
        </w:tabs>
        <w:spacing w:after="60"/>
        <w:jc w:val="both"/>
        <w:rPr>
          <w:rFonts w:ascii="Verdana" w:hAnsi="Verdana"/>
          <w:sz w:val="20"/>
          <w:lang w:eastAsia="cs-CZ"/>
        </w:rPr>
      </w:pPr>
      <w:r>
        <w:rPr>
          <w:rFonts w:ascii="Verdana" w:hAnsi="Verdana"/>
          <w:sz w:val="20"/>
          <w:lang w:eastAsia="cs-CZ"/>
        </w:rPr>
        <w:t>Ke změně údajů o kontaktních osobách postačí písemné oznámení doručeného druhé smluvní straně.</w:t>
      </w:r>
    </w:p>
    <w:p w14:paraId="6FB29BDD" w14:textId="77777777" w:rsidR="00634D78" w:rsidRDefault="00A40C88">
      <w:pPr>
        <w:pStyle w:val="Nadpis1"/>
        <w:keepNext w:val="0"/>
        <w:keepLines w:val="0"/>
        <w:numPr>
          <w:ilvl w:val="0"/>
          <w:numId w:val="2"/>
        </w:numPr>
        <w:spacing w:before="120"/>
        <w:rPr>
          <w:rFonts w:ascii="Verdana" w:hAnsi="Verdana"/>
          <w:sz w:val="20"/>
        </w:rPr>
      </w:pPr>
      <w:r>
        <w:rPr>
          <w:rFonts w:ascii="Verdana" w:hAnsi="Verdana"/>
          <w:sz w:val="20"/>
        </w:rPr>
        <w:t>Obecná ustanovení</w:t>
      </w:r>
    </w:p>
    <w:p w14:paraId="32125968" w14:textId="77777777" w:rsidR="00634D78" w:rsidRDefault="00A40C88">
      <w:pPr>
        <w:pStyle w:val="Nadpis2"/>
        <w:keepNext w:val="0"/>
        <w:numPr>
          <w:ilvl w:val="1"/>
          <w:numId w:val="2"/>
        </w:numPr>
        <w:spacing w:after="60"/>
        <w:jc w:val="both"/>
        <w:rPr>
          <w:rFonts w:ascii="Verdana" w:hAnsi="Verdana"/>
          <w:sz w:val="20"/>
        </w:rPr>
      </w:pPr>
      <w:r>
        <w:rPr>
          <w:rFonts w:ascii="Verdana" w:hAnsi="Verdana"/>
          <w:sz w:val="20"/>
        </w:rPr>
        <w:t>Smluvní strany se zavazují zachovávat mlčenlivost o všech skutečnostech, o kterých se dozvěděli v souvislosti s uzavřením této smlouvy. Tím není dotčena povinnost zveřejnit obsah této smlouvy či jiné skutečnosti týkající se smluvního vztahu založeného touto smlouvou, a to v rozsahu stanoveném zákonem.</w:t>
      </w:r>
    </w:p>
    <w:p w14:paraId="04FCC8D2" w14:textId="77777777" w:rsidR="00634D78" w:rsidRDefault="00A40C88">
      <w:pPr>
        <w:pStyle w:val="Nadpis2"/>
        <w:keepNext w:val="0"/>
        <w:numPr>
          <w:ilvl w:val="1"/>
          <w:numId w:val="2"/>
        </w:numPr>
        <w:spacing w:after="60"/>
        <w:jc w:val="both"/>
        <w:rPr>
          <w:rFonts w:ascii="Verdana" w:hAnsi="Verdana"/>
          <w:sz w:val="20"/>
        </w:rPr>
      </w:pPr>
      <w:r>
        <w:rPr>
          <w:rFonts w:ascii="Verdana" w:hAnsi="Verdana"/>
          <w:sz w:val="20"/>
        </w:rPr>
        <w:t>V případě,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kupující. Prodávající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70B0D230" w14:textId="77777777" w:rsidR="00634D78" w:rsidRDefault="00A40C88">
      <w:pPr>
        <w:pStyle w:val="Nadpis2"/>
        <w:keepNext w:val="0"/>
        <w:numPr>
          <w:ilvl w:val="1"/>
          <w:numId w:val="2"/>
        </w:numPr>
        <w:spacing w:after="60"/>
        <w:jc w:val="both"/>
        <w:rPr>
          <w:rFonts w:ascii="Verdana" w:hAnsi="Verdana"/>
          <w:sz w:val="20"/>
        </w:rPr>
      </w:pPr>
      <w:r>
        <w:rPr>
          <w:rFonts w:ascii="Verdana" w:hAnsi="Verdana"/>
          <w:sz w:val="20"/>
        </w:rPr>
        <w:t>V případě zániku této smlouvy, nebo v případě, že bude tato smlouva shledána neplatnou nebo neúčinnou, zůstávají zachována ta práva a povinnosti, z jejichž povahy plyne, že mají trvat i po ukončení této smlouvy. To platí zejména pro právo požadovat smluvní pokutu, náhradu újmy vzniklé porušením této smlouvy nebo závazek zachovávat mlčenlivost.</w:t>
      </w:r>
    </w:p>
    <w:p w14:paraId="4A7C7A97"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V případě prodlení prodávajícího s plněním závazků dle této smlouvy je prodávající povinen každý den prodlení zaplatit kupujícímu smluvní pokutu ve výši 0,05% z kupní ceny zboží bez DPH, kterého se prodlení týká. Zaplacením smluvní pokuty není dotčen nárok kupujícího na náhradu škody v plné výši.</w:t>
      </w:r>
    </w:p>
    <w:p w14:paraId="2477D623"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V případě, že se kterékoliv z prohlášení prodávajícího uvedené v čl. 1 této smlouvy ukáže být nepravdivým, hrubě zkresleným či v podstatném ohledu zavádějícím je prodávající povinen uhradit kupujícímu smluvní pokutu ve výši 10.000,- Kč za každý jednotlivý případ porušení.</w:t>
      </w:r>
    </w:p>
    <w:p w14:paraId="245ECA0B" w14:textId="77777777" w:rsidR="00634D78" w:rsidRDefault="00A40C88">
      <w:pPr>
        <w:pStyle w:val="Nadpis1"/>
        <w:keepNext w:val="0"/>
        <w:keepLines w:val="0"/>
        <w:numPr>
          <w:ilvl w:val="0"/>
          <w:numId w:val="2"/>
        </w:numPr>
        <w:spacing w:before="120"/>
        <w:rPr>
          <w:rFonts w:ascii="Verdana" w:hAnsi="Verdana"/>
          <w:sz w:val="20"/>
        </w:rPr>
      </w:pPr>
      <w:r>
        <w:rPr>
          <w:rFonts w:ascii="Verdana" w:hAnsi="Verdana"/>
          <w:sz w:val="20"/>
        </w:rPr>
        <w:t>Závěrečná ustanovení</w:t>
      </w:r>
    </w:p>
    <w:p w14:paraId="6379CCDA" w14:textId="77777777" w:rsidR="00634D78" w:rsidRDefault="00A40C88">
      <w:pPr>
        <w:pStyle w:val="Nadpis2"/>
        <w:keepNext w:val="0"/>
        <w:numPr>
          <w:ilvl w:val="1"/>
          <w:numId w:val="2"/>
        </w:numPr>
        <w:tabs>
          <w:tab w:val="clear" w:pos="576"/>
          <w:tab w:val="left" w:pos="567"/>
        </w:tabs>
        <w:spacing w:after="60"/>
        <w:jc w:val="both"/>
        <w:rPr>
          <w:rFonts w:ascii="Verdana" w:hAnsi="Verdana"/>
          <w:sz w:val="20"/>
          <w:lang w:eastAsia="cs-CZ"/>
        </w:rPr>
      </w:pPr>
      <w:r>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52B4C4A0" w14:textId="77777777" w:rsidR="00634D78" w:rsidRDefault="00A40C88">
      <w:pPr>
        <w:pStyle w:val="Nadpis2"/>
        <w:keepNext w:val="0"/>
        <w:numPr>
          <w:ilvl w:val="1"/>
          <w:numId w:val="2"/>
        </w:numPr>
        <w:tabs>
          <w:tab w:val="clear" w:pos="576"/>
          <w:tab w:val="left" w:pos="567"/>
        </w:tabs>
        <w:spacing w:after="60"/>
        <w:jc w:val="both"/>
        <w:rPr>
          <w:rFonts w:ascii="Verdana" w:hAnsi="Verdana"/>
          <w:sz w:val="20"/>
          <w:lang w:eastAsia="cs-CZ"/>
        </w:rPr>
      </w:pPr>
      <w:r>
        <w:rPr>
          <w:rFonts w:ascii="Verdana" w:hAnsi="Verdana"/>
          <w:sz w:val="20"/>
          <w:lang w:eastAsia="cs-CZ"/>
        </w:rPr>
        <w:lastRenderedPageBreak/>
        <w:t>V případě rozporu této smlouvy s obsahem jejích příloh či jakýchkoliv jiných ujednání nebo prohlášení, má vždy přednost ustanovení této smlouvy.</w:t>
      </w:r>
    </w:p>
    <w:p w14:paraId="7BE80A82" w14:textId="77777777" w:rsidR="00634D78" w:rsidRDefault="00A40C88">
      <w:pPr>
        <w:pStyle w:val="Nadpis2"/>
        <w:keepNext w:val="0"/>
        <w:numPr>
          <w:ilvl w:val="1"/>
          <w:numId w:val="2"/>
        </w:numPr>
        <w:tabs>
          <w:tab w:val="clear" w:pos="576"/>
          <w:tab w:val="left" w:pos="567"/>
        </w:tabs>
        <w:spacing w:after="60"/>
        <w:jc w:val="both"/>
        <w:rPr>
          <w:rFonts w:ascii="Verdana" w:hAnsi="Verdana"/>
          <w:sz w:val="20"/>
          <w:lang w:eastAsia="cs-CZ"/>
        </w:rPr>
      </w:pPr>
      <w:r>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14:paraId="0FE81C02" w14:textId="77777777" w:rsidR="00634D78" w:rsidRDefault="00A40C88">
      <w:pPr>
        <w:pStyle w:val="Nadpis2"/>
        <w:keepNext w:val="0"/>
        <w:numPr>
          <w:ilvl w:val="1"/>
          <w:numId w:val="2"/>
        </w:numPr>
        <w:tabs>
          <w:tab w:val="clear" w:pos="576"/>
          <w:tab w:val="left" w:pos="567"/>
        </w:tabs>
        <w:spacing w:after="60"/>
        <w:jc w:val="both"/>
        <w:rPr>
          <w:rFonts w:ascii="Verdana" w:hAnsi="Verdana"/>
          <w:sz w:val="20"/>
          <w:lang w:eastAsia="cs-CZ"/>
        </w:rPr>
      </w:pPr>
      <w:r>
        <w:rPr>
          <w:rFonts w:ascii="Verdana" w:hAnsi="Verdana"/>
          <w:sz w:val="20"/>
          <w:lang w:eastAsia="cs-CZ"/>
        </w:rPr>
        <w:t>Práva a povinnosti smluvních stran touto smlouvou výslovně neupravená se řídí příslušnými ustanoveními zákona č. 89/2012 Sb., občanský zákoník.</w:t>
      </w:r>
    </w:p>
    <w:p w14:paraId="56873917" w14:textId="77777777" w:rsidR="00634D78" w:rsidRDefault="00A40C88">
      <w:pPr>
        <w:pStyle w:val="Nadpis2"/>
        <w:keepNext w:val="0"/>
        <w:numPr>
          <w:ilvl w:val="1"/>
          <w:numId w:val="2"/>
        </w:numPr>
        <w:tabs>
          <w:tab w:val="clear" w:pos="576"/>
          <w:tab w:val="left" w:pos="567"/>
        </w:tabs>
        <w:spacing w:after="60"/>
        <w:jc w:val="both"/>
        <w:rPr>
          <w:rFonts w:ascii="Verdana" w:hAnsi="Verdana"/>
          <w:sz w:val="20"/>
          <w:lang w:eastAsia="cs-CZ"/>
        </w:rPr>
      </w:pPr>
      <w:r>
        <w:rPr>
          <w:rFonts w:ascii="Verdana" w:hAnsi="Verdana"/>
          <w:sz w:val="20"/>
          <w:lang w:eastAsia="cs-CZ"/>
        </w:rPr>
        <w:t>Jakékoli změny a doplňky této smlouvy jsou možné pouze ve formě písemných vzestupně číslovaných dodatků, podepsaných oprávněnými zástupci obou smluvních stran. Totéž platí i pro vzdání se písemné formy.</w:t>
      </w:r>
    </w:p>
    <w:p w14:paraId="1CA60252" w14:textId="77777777" w:rsidR="00634D78" w:rsidRDefault="00A40C88">
      <w:pPr>
        <w:pStyle w:val="Nadpis2"/>
        <w:keepNext w:val="0"/>
        <w:numPr>
          <w:ilvl w:val="1"/>
          <w:numId w:val="2"/>
        </w:numPr>
        <w:tabs>
          <w:tab w:val="clear" w:pos="576"/>
          <w:tab w:val="left" w:pos="567"/>
        </w:tabs>
        <w:spacing w:after="60"/>
        <w:jc w:val="both"/>
        <w:rPr>
          <w:rFonts w:ascii="Verdana" w:hAnsi="Verdana"/>
          <w:sz w:val="20"/>
          <w:lang w:eastAsia="cs-CZ"/>
        </w:rPr>
      </w:pPr>
      <w:r>
        <w:rPr>
          <w:rFonts w:ascii="Verdana" w:hAnsi="Verdana"/>
          <w:sz w:val="20"/>
          <w:lang w:eastAsia="cs-CZ"/>
        </w:rPr>
        <w:t>Tato smlouva nabývá platnosti dnem jejího podpisu a účinnosti dnem uveřejnění v registru smluv.</w:t>
      </w:r>
    </w:p>
    <w:p w14:paraId="27B3CAE6" w14:textId="77777777" w:rsidR="00634D78" w:rsidRDefault="00A40C88">
      <w:pPr>
        <w:pStyle w:val="Nadpis2"/>
        <w:keepNext w:val="0"/>
        <w:numPr>
          <w:ilvl w:val="1"/>
          <w:numId w:val="2"/>
        </w:numPr>
        <w:tabs>
          <w:tab w:val="clear" w:pos="576"/>
          <w:tab w:val="left" w:pos="567"/>
        </w:tabs>
        <w:spacing w:after="60"/>
        <w:jc w:val="both"/>
        <w:rPr>
          <w:rFonts w:ascii="Verdana" w:hAnsi="Verdana"/>
          <w:sz w:val="20"/>
          <w:lang w:eastAsia="cs-CZ"/>
        </w:rPr>
      </w:pPr>
      <w:r>
        <w:rPr>
          <w:rFonts w:ascii="Verdana" w:hAnsi="Verdana"/>
          <w:sz w:val="20"/>
          <w:lang w:eastAsia="cs-CZ"/>
        </w:rPr>
        <w:t>Tato smlouva je vypracována ve dvou vyhotoveních, z nichž každá smluvní strana obdrží po jednom.</w:t>
      </w:r>
    </w:p>
    <w:p w14:paraId="377B9B7E" w14:textId="77777777" w:rsidR="00634D78" w:rsidRDefault="00A40C88">
      <w:pPr>
        <w:pStyle w:val="Nadpis2"/>
        <w:keepNext w:val="0"/>
        <w:numPr>
          <w:ilvl w:val="1"/>
          <w:numId w:val="2"/>
        </w:numPr>
        <w:spacing w:after="60"/>
        <w:jc w:val="both"/>
        <w:rPr>
          <w:rFonts w:ascii="Verdana" w:hAnsi="Verdana"/>
          <w:sz w:val="20"/>
          <w:lang w:eastAsia="cs-CZ"/>
        </w:rPr>
      </w:pPr>
      <w:r>
        <w:rPr>
          <w:rFonts w:ascii="Verdana" w:hAnsi="Verdana"/>
          <w:sz w:val="20"/>
          <w:lang w:eastAsia="cs-CZ"/>
        </w:rPr>
        <w:t>Smluvní strany si smlouvu přečetly, jejímu obsahu rozumí a na důkaz toho připojují vlastnoruční podpisy svých oprávněných zástupců.</w:t>
      </w:r>
    </w:p>
    <w:p w14:paraId="1C09049F" w14:textId="77777777" w:rsidR="00634D78" w:rsidRDefault="00634D78">
      <w:pPr>
        <w:tabs>
          <w:tab w:val="left" w:pos="567"/>
        </w:tabs>
        <w:spacing w:after="60" w:line="240" w:lineRule="auto"/>
        <w:jc w:val="both"/>
        <w:rPr>
          <w:rFonts w:eastAsia="Times New Roman"/>
          <w:sz w:val="20"/>
          <w:szCs w:val="20"/>
          <w:lang w:eastAsia="cs-CZ"/>
        </w:rPr>
      </w:pPr>
    </w:p>
    <w:p w14:paraId="2103050E" w14:textId="77777777" w:rsidR="00634D78" w:rsidRDefault="00A40C88">
      <w:pPr>
        <w:tabs>
          <w:tab w:val="left" w:pos="567"/>
        </w:tabs>
        <w:spacing w:after="60" w:line="240" w:lineRule="auto"/>
        <w:jc w:val="both"/>
        <w:rPr>
          <w:rFonts w:eastAsia="Times New Roman"/>
          <w:sz w:val="20"/>
          <w:szCs w:val="20"/>
          <w:lang w:eastAsia="cs-CZ"/>
        </w:rPr>
      </w:pPr>
      <w:r>
        <w:rPr>
          <w:rFonts w:eastAsia="Times New Roman"/>
          <w:sz w:val="20"/>
          <w:szCs w:val="20"/>
          <w:lang w:eastAsia="cs-CZ"/>
        </w:rPr>
        <w:t>Přílohy:</w:t>
      </w:r>
    </w:p>
    <w:p w14:paraId="0BE5B3E5" w14:textId="77777777" w:rsidR="00634D78" w:rsidRDefault="00A40C88">
      <w:pPr>
        <w:pStyle w:val="Odstavecseseznamem"/>
        <w:numPr>
          <w:ilvl w:val="0"/>
          <w:numId w:val="3"/>
        </w:numPr>
        <w:spacing w:after="60" w:line="240" w:lineRule="auto"/>
        <w:ind w:left="426" w:hanging="426"/>
        <w:jc w:val="both"/>
        <w:rPr>
          <w:rFonts w:eastAsia="Times New Roman"/>
          <w:sz w:val="20"/>
          <w:szCs w:val="20"/>
          <w:lang w:eastAsia="cs-CZ"/>
        </w:rPr>
      </w:pPr>
      <w:r>
        <w:rPr>
          <w:rFonts w:eastAsia="Times New Roman"/>
          <w:sz w:val="20"/>
          <w:szCs w:val="20"/>
          <w:lang w:eastAsia="cs-CZ"/>
        </w:rPr>
        <w:t xml:space="preserve">nabídka zboží </w:t>
      </w:r>
    </w:p>
    <w:p w14:paraId="06330873" w14:textId="77777777" w:rsidR="00634D78" w:rsidRDefault="00634D78">
      <w:pPr>
        <w:tabs>
          <w:tab w:val="left" w:pos="567"/>
        </w:tabs>
        <w:spacing w:after="0" w:line="240" w:lineRule="auto"/>
        <w:jc w:val="both"/>
        <w:rPr>
          <w:rFonts w:eastAsia="Times New Roman"/>
          <w:sz w:val="20"/>
          <w:szCs w:val="20"/>
          <w:lang w:eastAsia="cs-CZ"/>
        </w:rPr>
      </w:pPr>
    </w:p>
    <w:p w14:paraId="6ED7D65A" w14:textId="77777777" w:rsidR="00634D78" w:rsidRDefault="00634D78">
      <w:pPr>
        <w:tabs>
          <w:tab w:val="left" w:pos="567"/>
        </w:tabs>
        <w:spacing w:after="0" w:line="240" w:lineRule="auto"/>
        <w:jc w:val="both"/>
        <w:rPr>
          <w:rFonts w:eastAsia="Times New Roman"/>
          <w:sz w:val="20"/>
          <w:szCs w:val="20"/>
          <w:lang w:eastAsia="cs-CZ"/>
        </w:rPr>
      </w:pPr>
    </w:p>
    <w:tbl>
      <w:tblPr>
        <w:tblW w:w="9211" w:type="dxa"/>
        <w:jc w:val="center"/>
        <w:tblLook w:val="04A0" w:firstRow="1" w:lastRow="0" w:firstColumn="1" w:lastColumn="0" w:noHBand="0" w:noVBand="1"/>
      </w:tblPr>
      <w:tblGrid>
        <w:gridCol w:w="4605"/>
        <w:gridCol w:w="4606"/>
      </w:tblGrid>
      <w:tr w:rsidR="00634D78" w14:paraId="6F94352D" w14:textId="77777777">
        <w:trPr>
          <w:jc w:val="center"/>
        </w:trPr>
        <w:tc>
          <w:tcPr>
            <w:tcW w:w="4605" w:type="dxa"/>
          </w:tcPr>
          <w:p w14:paraId="69472BD6" w14:textId="143E3469" w:rsidR="00634D78" w:rsidRDefault="00A40C88">
            <w:pPr>
              <w:spacing w:after="0" w:line="240" w:lineRule="auto"/>
              <w:rPr>
                <w:rFonts w:eastAsia="Times New Roman"/>
                <w:sz w:val="20"/>
                <w:szCs w:val="20"/>
                <w:lang w:eastAsia="cs-CZ"/>
              </w:rPr>
            </w:pPr>
            <w:r>
              <w:rPr>
                <w:rFonts w:eastAsia="Times New Roman"/>
                <w:sz w:val="20"/>
                <w:szCs w:val="20"/>
                <w:lang w:eastAsia="cs-CZ"/>
              </w:rPr>
              <w:t>V Praze dne</w:t>
            </w:r>
            <w:r w:rsidR="00B21CB8">
              <w:rPr>
                <w:rFonts w:eastAsia="Times New Roman"/>
                <w:sz w:val="20"/>
                <w:szCs w:val="20"/>
                <w:lang w:eastAsia="cs-CZ"/>
              </w:rPr>
              <w:t xml:space="preserve"> _______________</w:t>
            </w:r>
            <w:r>
              <w:rPr>
                <w:rFonts w:eastAsia="Times New Roman"/>
                <w:sz w:val="20"/>
                <w:szCs w:val="20"/>
                <w:lang w:eastAsia="cs-CZ"/>
              </w:rPr>
              <w:t xml:space="preserve">    </w:t>
            </w:r>
          </w:p>
        </w:tc>
        <w:tc>
          <w:tcPr>
            <w:tcW w:w="4605" w:type="dxa"/>
          </w:tcPr>
          <w:p w14:paraId="6A69955E" w14:textId="77777777" w:rsidR="00634D78" w:rsidRDefault="00A40C88">
            <w:pPr>
              <w:spacing w:after="0" w:line="240" w:lineRule="auto"/>
              <w:rPr>
                <w:rFonts w:eastAsia="Times New Roman"/>
                <w:sz w:val="20"/>
                <w:szCs w:val="20"/>
                <w:lang w:eastAsia="cs-CZ"/>
              </w:rPr>
            </w:pPr>
            <w:r>
              <w:rPr>
                <w:rFonts w:eastAsia="Times New Roman"/>
                <w:sz w:val="20"/>
                <w:szCs w:val="20"/>
                <w:lang w:eastAsia="cs-CZ"/>
              </w:rPr>
              <w:t>V Mladé Boleslavi dne ___________</w:t>
            </w:r>
          </w:p>
        </w:tc>
      </w:tr>
      <w:tr w:rsidR="00634D78" w14:paraId="3D049BA0" w14:textId="77777777">
        <w:trPr>
          <w:trHeight w:val="120"/>
          <w:jc w:val="center"/>
        </w:trPr>
        <w:tc>
          <w:tcPr>
            <w:tcW w:w="4605" w:type="dxa"/>
          </w:tcPr>
          <w:p w14:paraId="23C8ED1F" w14:textId="77777777" w:rsidR="00634D78" w:rsidRDefault="00634D78">
            <w:pPr>
              <w:spacing w:after="0" w:line="240" w:lineRule="auto"/>
              <w:jc w:val="center"/>
              <w:rPr>
                <w:sz w:val="20"/>
                <w:szCs w:val="20"/>
                <w:lang w:eastAsia="cs-CZ"/>
              </w:rPr>
            </w:pPr>
          </w:p>
          <w:p w14:paraId="6E3D75C8" w14:textId="77777777" w:rsidR="00634D78" w:rsidRDefault="00634D78">
            <w:pPr>
              <w:spacing w:after="0" w:line="240" w:lineRule="auto"/>
              <w:rPr>
                <w:sz w:val="20"/>
                <w:szCs w:val="20"/>
                <w:lang w:eastAsia="cs-CZ"/>
              </w:rPr>
            </w:pPr>
          </w:p>
          <w:p w14:paraId="46DC6A59" w14:textId="77777777" w:rsidR="00634D78" w:rsidRDefault="00634D78">
            <w:pPr>
              <w:spacing w:after="0" w:line="240" w:lineRule="auto"/>
              <w:jc w:val="center"/>
              <w:rPr>
                <w:sz w:val="20"/>
                <w:szCs w:val="20"/>
                <w:lang w:eastAsia="cs-CZ"/>
              </w:rPr>
            </w:pPr>
          </w:p>
          <w:p w14:paraId="10E8B95E" w14:textId="77777777" w:rsidR="00634D78" w:rsidRDefault="00634D78">
            <w:pPr>
              <w:spacing w:after="0" w:line="240" w:lineRule="auto"/>
              <w:jc w:val="center"/>
              <w:rPr>
                <w:sz w:val="20"/>
                <w:szCs w:val="20"/>
                <w:lang w:eastAsia="cs-CZ"/>
              </w:rPr>
            </w:pPr>
          </w:p>
          <w:p w14:paraId="4B1C073E" w14:textId="77777777" w:rsidR="00634D78" w:rsidRDefault="00634D78">
            <w:pPr>
              <w:spacing w:after="0" w:line="240" w:lineRule="auto"/>
              <w:jc w:val="center"/>
              <w:rPr>
                <w:sz w:val="20"/>
                <w:szCs w:val="20"/>
                <w:lang w:eastAsia="cs-CZ"/>
              </w:rPr>
            </w:pPr>
          </w:p>
          <w:p w14:paraId="0D4EA2EE" w14:textId="77777777" w:rsidR="00634D78" w:rsidRDefault="00634D78">
            <w:pPr>
              <w:spacing w:after="0" w:line="240" w:lineRule="auto"/>
              <w:jc w:val="center"/>
              <w:rPr>
                <w:sz w:val="20"/>
                <w:szCs w:val="20"/>
                <w:lang w:eastAsia="cs-CZ"/>
              </w:rPr>
            </w:pPr>
          </w:p>
          <w:p w14:paraId="1CCD29ED" w14:textId="77777777" w:rsidR="00634D78" w:rsidRDefault="00634D78">
            <w:pPr>
              <w:spacing w:after="0" w:line="240" w:lineRule="auto"/>
              <w:jc w:val="center"/>
              <w:rPr>
                <w:sz w:val="20"/>
                <w:szCs w:val="20"/>
                <w:lang w:eastAsia="cs-CZ"/>
              </w:rPr>
            </w:pPr>
          </w:p>
          <w:p w14:paraId="05CE3C0C" w14:textId="77777777" w:rsidR="00634D78" w:rsidRDefault="00A40C88">
            <w:pPr>
              <w:spacing w:after="0" w:line="240" w:lineRule="auto"/>
              <w:jc w:val="center"/>
              <w:rPr>
                <w:sz w:val="20"/>
                <w:szCs w:val="20"/>
                <w:lang w:eastAsia="cs-CZ"/>
              </w:rPr>
            </w:pPr>
            <w:r>
              <w:rPr>
                <w:sz w:val="20"/>
                <w:szCs w:val="20"/>
                <w:lang w:eastAsia="cs-CZ"/>
              </w:rPr>
              <w:t>……………………………………………….</w:t>
            </w:r>
          </w:p>
          <w:p w14:paraId="53E24EC2" w14:textId="77777777" w:rsidR="00634D78" w:rsidRDefault="00A40C88">
            <w:pPr>
              <w:spacing w:after="0" w:line="240" w:lineRule="auto"/>
              <w:jc w:val="center"/>
              <w:rPr>
                <w:b/>
                <w:bCs/>
                <w:sz w:val="20"/>
                <w:szCs w:val="20"/>
                <w:lang w:eastAsia="cs-CZ"/>
              </w:rPr>
            </w:pPr>
            <w:r>
              <w:rPr>
                <w:b/>
                <w:bCs/>
                <w:sz w:val="20"/>
                <w:szCs w:val="20"/>
                <w:lang w:eastAsia="cs-CZ"/>
              </w:rPr>
              <w:t>Hypokramed s.r.o.</w:t>
            </w:r>
          </w:p>
          <w:p w14:paraId="2BF43D5F" w14:textId="77777777" w:rsidR="00634D78" w:rsidRDefault="00A40C88">
            <w:pPr>
              <w:spacing w:after="0" w:line="240" w:lineRule="auto"/>
              <w:jc w:val="center"/>
              <w:rPr>
                <w:b/>
                <w:bCs/>
                <w:sz w:val="20"/>
                <w:szCs w:val="20"/>
                <w:lang w:eastAsia="cs-CZ"/>
              </w:rPr>
            </w:pPr>
            <w:r>
              <w:rPr>
                <w:b/>
                <w:bCs/>
                <w:sz w:val="20"/>
                <w:szCs w:val="20"/>
                <w:lang w:eastAsia="cs-CZ"/>
              </w:rPr>
              <w:t>Vratislav Roubal</w:t>
            </w:r>
          </w:p>
          <w:p w14:paraId="53E337A2" w14:textId="77777777" w:rsidR="00634D78" w:rsidRDefault="00A40C88">
            <w:pPr>
              <w:spacing w:after="0" w:line="240" w:lineRule="auto"/>
              <w:jc w:val="center"/>
              <w:rPr>
                <w:sz w:val="20"/>
                <w:szCs w:val="20"/>
                <w:lang w:eastAsia="cs-CZ"/>
              </w:rPr>
            </w:pPr>
            <w:r>
              <w:rPr>
                <w:sz w:val="20"/>
                <w:szCs w:val="20"/>
                <w:lang w:eastAsia="cs-CZ"/>
              </w:rPr>
              <w:t>jednatel</w:t>
            </w:r>
          </w:p>
        </w:tc>
        <w:tc>
          <w:tcPr>
            <w:tcW w:w="4605" w:type="dxa"/>
          </w:tcPr>
          <w:p w14:paraId="4EDA1EB0" w14:textId="77777777" w:rsidR="00634D78" w:rsidRDefault="00634D78">
            <w:pPr>
              <w:spacing w:after="0" w:line="240" w:lineRule="auto"/>
              <w:jc w:val="center"/>
              <w:rPr>
                <w:sz w:val="20"/>
                <w:szCs w:val="20"/>
                <w:lang w:eastAsia="cs-CZ"/>
              </w:rPr>
            </w:pPr>
          </w:p>
          <w:p w14:paraId="20D821CD" w14:textId="77777777" w:rsidR="00634D78" w:rsidRDefault="00634D78">
            <w:pPr>
              <w:spacing w:after="0" w:line="240" w:lineRule="auto"/>
              <w:jc w:val="center"/>
              <w:rPr>
                <w:sz w:val="20"/>
                <w:szCs w:val="20"/>
                <w:lang w:eastAsia="cs-CZ"/>
              </w:rPr>
            </w:pPr>
          </w:p>
          <w:p w14:paraId="1E95837A" w14:textId="77777777" w:rsidR="00634D78" w:rsidRDefault="00634D78">
            <w:pPr>
              <w:spacing w:after="0" w:line="240" w:lineRule="auto"/>
              <w:jc w:val="center"/>
              <w:rPr>
                <w:sz w:val="20"/>
                <w:szCs w:val="20"/>
                <w:lang w:eastAsia="cs-CZ"/>
              </w:rPr>
            </w:pPr>
          </w:p>
          <w:p w14:paraId="68E1962A" w14:textId="77777777" w:rsidR="00634D78" w:rsidRDefault="00634D78">
            <w:pPr>
              <w:spacing w:after="0" w:line="240" w:lineRule="auto"/>
              <w:jc w:val="center"/>
              <w:rPr>
                <w:sz w:val="20"/>
                <w:szCs w:val="20"/>
                <w:lang w:eastAsia="cs-CZ"/>
              </w:rPr>
            </w:pPr>
          </w:p>
          <w:p w14:paraId="314AC7F6" w14:textId="77777777" w:rsidR="00634D78" w:rsidRDefault="00634D78">
            <w:pPr>
              <w:spacing w:after="0" w:line="240" w:lineRule="auto"/>
              <w:jc w:val="center"/>
              <w:rPr>
                <w:sz w:val="20"/>
                <w:szCs w:val="20"/>
                <w:lang w:eastAsia="cs-CZ"/>
              </w:rPr>
            </w:pPr>
          </w:p>
          <w:p w14:paraId="1CE60821" w14:textId="77777777" w:rsidR="00634D78" w:rsidRDefault="00634D78">
            <w:pPr>
              <w:spacing w:after="0" w:line="240" w:lineRule="auto"/>
              <w:jc w:val="center"/>
              <w:rPr>
                <w:sz w:val="20"/>
                <w:szCs w:val="20"/>
                <w:lang w:eastAsia="cs-CZ"/>
              </w:rPr>
            </w:pPr>
          </w:p>
          <w:p w14:paraId="3FD292B6" w14:textId="77777777" w:rsidR="00634D78" w:rsidRDefault="00634D78">
            <w:pPr>
              <w:spacing w:after="0" w:line="240" w:lineRule="auto"/>
              <w:jc w:val="center"/>
              <w:rPr>
                <w:sz w:val="20"/>
                <w:szCs w:val="20"/>
                <w:lang w:eastAsia="cs-CZ"/>
              </w:rPr>
            </w:pPr>
          </w:p>
          <w:p w14:paraId="0C5316DA" w14:textId="77777777" w:rsidR="00634D78" w:rsidRDefault="00A40C88">
            <w:pPr>
              <w:spacing w:after="0" w:line="240" w:lineRule="auto"/>
              <w:jc w:val="center"/>
              <w:rPr>
                <w:sz w:val="20"/>
                <w:szCs w:val="20"/>
                <w:lang w:eastAsia="cs-CZ"/>
              </w:rPr>
            </w:pPr>
            <w:r>
              <w:rPr>
                <w:sz w:val="20"/>
                <w:szCs w:val="20"/>
                <w:lang w:eastAsia="cs-CZ"/>
              </w:rPr>
              <w:t>……………………………………………….</w:t>
            </w:r>
          </w:p>
          <w:p w14:paraId="6AA06EA7" w14:textId="77777777" w:rsidR="00634D78" w:rsidRDefault="00A40C88">
            <w:pPr>
              <w:spacing w:after="0" w:line="240" w:lineRule="auto"/>
              <w:jc w:val="center"/>
              <w:rPr>
                <w:b/>
                <w:sz w:val="20"/>
                <w:szCs w:val="20"/>
                <w:lang w:eastAsia="cs-CZ"/>
              </w:rPr>
            </w:pPr>
            <w:r>
              <w:rPr>
                <w:b/>
                <w:sz w:val="20"/>
                <w:szCs w:val="20"/>
                <w:lang w:eastAsia="cs-CZ"/>
              </w:rPr>
              <w:t>Oblastní nemocnice Mladá Boleslav, a.s., nemocnice Středočeského kraje</w:t>
            </w:r>
          </w:p>
          <w:p w14:paraId="27C1E51F" w14:textId="77777777" w:rsidR="00634D78" w:rsidRDefault="00A40C88">
            <w:pPr>
              <w:spacing w:after="0" w:line="240" w:lineRule="auto"/>
              <w:jc w:val="center"/>
              <w:rPr>
                <w:sz w:val="20"/>
                <w:szCs w:val="20"/>
                <w:lang w:eastAsia="cs-CZ"/>
              </w:rPr>
            </w:pPr>
            <w:r>
              <w:rPr>
                <w:sz w:val="20"/>
                <w:szCs w:val="20"/>
                <w:lang w:eastAsia="cs-CZ"/>
              </w:rPr>
              <w:t>JUDr. Ladislav Řípa</w:t>
            </w:r>
          </w:p>
          <w:p w14:paraId="547F91AE" w14:textId="77777777" w:rsidR="00634D78" w:rsidRDefault="00A40C88">
            <w:pPr>
              <w:spacing w:after="0" w:line="240" w:lineRule="auto"/>
              <w:jc w:val="center"/>
              <w:rPr>
                <w:sz w:val="20"/>
                <w:szCs w:val="20"/>
                <w:lang w:eastAsia="cs-CZ"/>
              </w:rPr>
            </w:pPr>
            <w:r>
              <w:rPr>
                <w:sz w:val="20"/>
                <w:szCs w:val="20"/>
                <w:lang w:eastAsia="cs-CZ"/>
              </w:rPr>
              <w:t>předseda představenstva</w:t>
            </w:r>
          </w:p>
        </w:tc>
      </w:tr>
      <w:tr w:rsidR="00634D78" w14:paraId="6F0D75CB" w14:textId="77777777">
        <w:trPr>
          <w:trHeight w:val="120"/>
          <w:jc w:val="center"/>
        </w:trPr>
        <w:tc>
          <w:tcPr>
            <w:tcW w:w="4605" w:type="dxa"/>
          </w:tcPr>
          <w:p w14:paraId="74D313AD" w14:textId="77777777" w:rsidR="00634D78" w:rsidRDefault="00634D78">
            <w:pPr>
              <w:spacing w:after="0" w:line="240" w:lineRule="auto"/>
              <w:jc w:val="center"/>
              <w:rPr>
                <w:sz w:val="20"/>
                <w:szCs w:val="20"/>
                <w:lang w:eastAsia="cs-CZ"/>
              </w:rPr>
            </w:pPr>
          </w:p>
        </w:tc>
        <w:tc>
          <w:tcPr>
            <w:tcW w:w="4605" w:type="dxa"/>
          </w:tcPr>
          <w:p w14:paraId="60A6C9C8" w14:textId="77777777" w:rsidR="00634D78" w:rsidRDefault="00634D78">
            <w:pPr>
              <w:spacing w:after="0" w:line="240" w:lineRule="auto"/>
              <w:jc w:val="center"/>
              <w:rPr>
                <w:sz w:val="20"/>
                <w:szCs w:val="20"/>
                <w:lang w:eastAsia="cs-CZ"/>
              </w:rPr>
            </w:pPr>
          </w:p>
          <w:p w14:paraId="7997FA42" w14:textId="77777777" w:rsidR="00634D78" w:rsidRDefault="00634D78">
            <w:pPr>
              <w:spacing w:after="0" w:line="240" w:lineRule="auto"/>
              <w:jc w:val="center"/>
              <w:rPr>
                <w:sz w:val="20"/>
                <w:szCs w:val="20"/>
                <w:lang w:eastAsia="cs-CZ"/>
              </w:rPr>
            </w:pPr>
          </w:p>
          <w:p w14:paraId="5668B8CD" w14:textId="77777777" w:rsidR="00634D78" w:rsidRDefault="00634D78">
            <w:pPr>
              <w:spacing w:after="0" w:line="240" w:lineRule="auto"/>
              <w:jc w:val="center"/>
              <w:rPr>
                <w:sz w:val="20"/>
                <w:szCs w:val="20"/>
                <w:lang w:eastAsia="cs-CZ"/>
              </w:rPr>
            </w:pPr>
          </w:p>
          <w:p w14:paraId="0A867003" w14:textId="77777777" w:rsidR="00634D78" w:rsidRDefault="00634D78">
            <w:pPr>
              <w:spacing w:after="0" w:line="240" w:lineRule="auto"/>
              <w:jc w:val="center"/>
              <w:rPr>
                <w:sz w:val="20"/>
                <w:szCs w:val="20"/>
                <w:lang w:eastAsia="cs-CZ"/>
              </w:rPr>
            </w:pPr>
          </w:p>
          <w:p w14:paraId="6283C6E7" w14:textId="77777777" w:rsidR="00634D78" w:rsidRDefault="00634D78">
            <w:pPr>
              <w:spacing w:after="0" w:line="240" w:lineRule="auto"/>
              <w:jc w:val="center"/>
              <w:rPr>
                <w:sz w:val="20"/>
                <w:szCs w:val="20"/>
                <w:lang w:eastAsia="cs-CZ"/>
              </w:rPr>
            </w:pPr>
          </w:p>
          <w:p w14:paraId="74728560" w14:textId="77777777" w:rsidR="00634D78" w:rsidRDefault="00A40C88">
            <w:pPr>
              <w:spacing w:after="0" w:line="240" w:lineRule="auto"/>
              <w:jc w:val="center"/>
              <w:rPr>
                <w:sz w:val="20"/>
                <w:szCs w:val="20"/>
                <w:lang w:eastAsia="cs-CZ"/>
              </w:rPr>
            </w:pPr>
            <w:r>
              <w:rPr>
                <w:sz w:val="20"/>
                <w:szCs w:val="20"/>
                <w:lang w:eastAsia="cs-CZ"/>
              </w:rPr>
              <w:t>……………………………………………….</w:t>
            </w:r>
          </w:p>
          <w:p w14:paraId="68739E92" w14:textId="77777777" w:rsidR="00634D78" w:rsidRDefault="00A40C88">
            <w:pPr>
              <w:spacing w:after="0" w:line="240" w:lineRule="auto"/>
              <w:jc w:val="center"/>
              <w:rPr>
                <w:b/>
                <w:sz w:val="20"/>
                <w:szCs w:val="20"/>
                <w:lang w:eastAsia="cs-CZ"/>
              </w:rPr>
            </w:pPr>
            <w:r>
              <w:rPr>
                <w:b/>
                <w:sz w:val="20"/>
                <w:szCs w:val="20"/>
                <w:lang w:eastAsia="cs-CZ"/>
              </w:rPr>
              <w:t>Oblastní nemocnice Mladá Boleslav, a.s., nemocnice Středočeského kraje</w:t>
            </w:r>
          </w:p>
          <w:p w14:paraId="36973A0E" w14:textId="77777777" w:rsidR="00634D78" w:rsidRDefault="00A40C88">
            <w:pPr>
              <w:spacing w:after="0" w:line="240" w:lineRule="auto"/>
              <w:jc w:val="center"/>
              <w:rPr>
                <w:sz w:val="20"/>
                <w:szCs w:val="20"/>
                <w:lang w:eastAsia="cs-CZ"/>
              </w:rPr>
            </w:pPr>
            <w:r>
              <w:rPr>
                <w:sz w:val="20"/>
                <w:szCs w:val="20"/>
                <w:lang w:eastAsia="cs-CZ"/>
              </w:rPr>
              <w:t>Mgr. Daniel Marek</w:t>
            </w:r>
          </w:p>
          <w:p w14:paraId="629AFDF4" w14:textId="77777777" w:rsidR="00634D78" w:rsidRDefault="00A40C88">
            <w:pPr>
              <w:spacing w:after="0" w:line="240" w:lineRule="auto"/>
              <w:jc w:val="center"/>
              <w:rPr>
                <w:sz w:val="20"/>
                <w:szCs w:val="20"/>
                <w:lang w:eastAsia="cs-CZ"/>
              </w:rPr>
            </w:pPr>
            <w:r>
              <w:rPr>
                <w:sz w:val="20"/>
                <w:szCs w:val="20"/>
                <w:lang w:eastAsia="cs-CZ"/>
              </w:rPr>
              <w:t>místopředseda představenstva</w:t>
            </w:r>
          </w:p>
        </w:tc>
      </w:tr>
    </w:tbl>
    <w:p w14:paraId="726CEC1F" w14:textId="77777777" w:rsidR="00634D78" w:rsidRDefault="00634D78">
      <w:pPr>
        <w:rPr>
          <w:sz w:val="2"/>
          <w:szCs w:val="20"/>
        </w:rPr>
      </w:pPr>
    </w:p>
    <w:sectPr w:rsidR="00634D78">
      <w:headerReference w:type="default" r:id="rId9"/>
      <w:footerReference w:type="default" r:id="rId10"/>
      <w:pgSz w:w="11906" w:h="16838"/>
      <w:pgMar w:top="2234" w:right="1134" w:bottom="1701" w:left="1418" w:header="567"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DEF8" w14:textId="77777777" w:rsidR="00E774DB" w:rsidRDefault="00E774DB">
      <w:pPr>
        <w:spacing w:after="0" w:line="240" w:lineRule="auto"/>
      </w:pPr>
      <w:r>
        <w:separator/>
      </w:r>
    </w:p>
  </w:endnote>
  <w:endnote w:type="continuationSeparator" w:id="0">
    <w:p w14:paraId="6B9A2791" w14:textId="77777777" w:rsidR="00E774DB" w:rsidRDefault="00E7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B7E5" w14:textId="77777777" w:rsidR="00634D78" w:rsidRDefault="00A40C88">
    <w:pPr>
      <w:ind w:right="360"/>
    </w:pPr>
    <w:r>
      <w:rPr>
        <w:noProof/>
      </w:rPr>
      <mc:AlternateContent>
        <mc:Choice Requires="wps">
          <w:drawing>
            <wp:anchor distT="0" distB="0" distL="0" distR="0" simplePos="0" relativeHeight="16" behindDoc="1" locked="0" layoutInCell="1" allowOverlap="1" wp14:anchorId="33209130" wp14:editId="036EB7E8">
              <wp:simplePos x="0" y="0"/>
              <wp:positionH relativeFrom="column">
                <wp:posOffset>-957580</wp:posOffset>
              </wp:positionH>
              <wp:positionV relativeFrom="paragraph">
                <wp:posOffset>-353060</wp:posOffset>
              </wp:positionV>
              <wp:extent cx="7947025" cy="1270"/>
              <wp:effectExtent l="0" t="0" r="0" b="0"/>
              <wp:wrapNone/>
              <wp:docPr id="3" name="AutoShape 3"/>
              <wp:cNvGraphicFramePr/>
              <a:graphic xmlns:a="http://schemas.openxmlformats.org/drawingml/2006/main">
                <a:graphicData uri="http://schemas.microsoft.com/office/word/2010/wordprocessingShape">
                  <wps:wsp>
                    <wps:cNvSpPr/>
                    <wps:spPr>
                      <a:xfrm>
                        <a:off x="0" y="0"/>
                        <a:ext cx="7946280" cy="720"/>
                      </a:xfrm>
                      <a:custGeom>
                        <a:avLst/>
                        <a:gdLst/>
                        <a:ahLst/>
                        <a:cxnLst/>
                        <a:rect l="l" t="t" r="r" b="b"/>
                        <a:pathLst>
                          <a:path w="21600" h="21600">
                            <a:moveTo>
                              <a:pt x="0" y="0"/>
                            </a:moveTo>
                            <a:lnTo>
                              <a:pt x="21600" y="21600"/>
                            </a:lnTo>
                          </a:path>
                        </a:pathLst>
                      </a:custGeom>
                      <a:noFill/>
                      <a:ln w="9360">
                        <a:solidFill>
                          <a:srgbClr val="7F7F7F"/>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3" stroked="t" style="position:absolute;margin-left:-75.4pt;margin-top:-27.8pt;width:625.65pt;height:0pt" wp14:anchorId="4F7FC4B9" type="shapetype_32">
              <w10:wrap type="none"/>
              <v:fill o:detectmouseclick="t" on="false"/>
              <v:stroke color="#7f7f7f" weight="9360" joinstyle="round" endcap="flat"/>
            </v:shape>
          </w:pict>
        </mc:Fallback>
      </mc:AlternateContent>
    </w:r>
    <w:r>
      <w:rPr>
        <w:noProof/>
      </w:rPr>
      <w:drawing>
        <wp:anchor distT="0" distB="0" distL="114300" distR="114300" simplePos="0" relativeHeight="11" behindDoc="0" locked="0" layoutInCell="1" allowOverlap="1" wp14:anchorId="4991EE1C" wp14:editId="7E68962A">
          <wp:simplePos x="0" y="0"/>
          <wp:positionH relativeFrom="column">
            <wp:posOffset>-13335</wp:posOffset>
          </wp:positionH>
          <wp:positionV relativeFrom="paragraph">
            <wp:posOffset>-320675</wp:posOffset>
          </wp:positionV>
          <wp:extent cx="5759450" cy="313690"/>
          <wp:effectExtent l="0" t="0" r="0" b="0"/>
          <wp:wrapTight wrapText="bothSides">
            <wp:wrapPolygon edited="0">
              <wp:start x="-75" y="0"/>
              <wp:lineTo x="-75" y="19552"/>
              <wp:lineTo x="21566" y="19552"/>
              <wp:lineTo x="21566" y="0"/>
              <wp:lineTo x="-75" y="0"/>
            </wp:wrapPolygon>
          </wp:wrapTight>
          <wp:docPr id="4"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2" descr="kn_hlavickovy papirpaticka"/>
                  <pic:cNvPicPr>
                    <a:picLocks noChangeAspect="1" noChangeArrowheads="1"/>
                  </pic:cNvPicPr>
                </pic:nvPicPr>
                <pic:blipFill>
                  <a:blip r:embed="rId1"/>
                  <a:stretch>
                    <a:fillRect/>
                  </a:stretch>
                </pic:blipFill>
                <pic:spPr bwMode="auto">
                  <a:xfrm>
                    <a:off x="0" y="0"/>
                    <a:ext cx="5759450" cy="313690"/>
                  </a:xfrm>
                  <a:prstGeom prst="rect">
                    <a:avLst/>
                  </a:prstGeom>
                </pic:spPr>
              </pic:pic>
            </a:graphicData>
          </a:graphic>
        </wp:anchor>
      </w:drawing>
    </w:r>
    <w:r>
      <w:rPr>
        <w:noProof/>
      </w:rPr>
      <mc:AlternateContent>
        <mc:Choice Requires="wps">
          <w:drawing>
            <wp:anchor distT="0" distB="0" distL="0" distR="0" simplePos="0" relativeHeight="26" behindDoc="0" locked="0" layoutInCell="1" allowOverlap="1" wp14:anchorId="0D55BBFA" wp14:editId="2D191CE5">
              <wp:simplePos x="0" y="0"/>
              <wp:positionH relativeFrom="margin">
                <wp:align>right</wp:align>
              </wp:positionH>
              <wp:positionV relativeFrom="paragraph">
                <wp:posOffset>635</wp:posOffset>
              </wp:positionV>
              <wp:extent cx="816610" cy="139065"/>
              <wp:effectExtent l="0" t="0" r="0" b="0"/>
              <wp:wrapSquare wrapText="largest"/>
              <wp:docPr id="5" name="Rámec1"/>
              <wp:cNvGraphicFramePr/>
              <a:graphic xmlns:a="http://schemas.openxmlformats.org/drawingml/2006/main">
                <a:graphicData uri="http://schemas.microsoft.com/office/word/2010/wordprocessingShape">
                  <wps:wsp>
                    <wps:cNvSpPr txBox="1"/>
                    <wps:spPr>
                      <a:xfrm>
                        <a:off x="0" y="0"/>
                        <a:ext cx="816610" cy="139065"/>
                      </a:xfrm>
                      <a:prstGeom prst="rect">
                        <a:avLst/>
                      </a:prstGeom>
                      <a:solidFill>
                        <a:srgbClr val="FFFFFF">
                          <a:alpha val="0"/>
                        </a:srgbClr>
                      </a:solidFill>
                    </wps:spPr>
                    <wps:txbx>
                      <w:txbxContent>
                        <w:p w14:paraId="37764413" w14:textId="77777777" w:rsidR="00634D78" w:rsidRDefault="00A40C88">
                          <w:pPr>
                            <w:pStyle w:val="Zpat"/>
                            <w:rPr>
                              <w:sz w:val="14"/>
                              <w:szCs w:val="18"/>
                            </w:rPr>
                          </w:pPr>
                          <w:r>
                            <w:rPr>
                              <w:rStyle w:val="slostrnky"/>
                              <w:sz w:val="18"/>
                              <w:szCs w:val="18"/>
                            </w:rPr>
                            <w:t xml:space="preserve">Stránka </w:t>
                          </w:r>
                          <w:r>
                            <w:rPr>
                              <w:rStyle w:val="slostrnky"/>
                              <w:sz w:val="18"/>
                              <w:szCs w:val="18"/>
                            </w:rPr>
                            <w:fldChar w:fldCharType="begin"/>
                          </w:r>
                          <w:r>
                            <w:rPr>
                              <w:rStyle w:val="slostrnky"/>
                              <w:sz w:val="18"/>
                              <w:szCs w:val="18"/>
                            </w:rPr>
                            <w:instrText>PAGE</w:instrText>
                          </w:r>
                          <w:r>
                            <w:rPr>
                              <w:rStyle w:val="slostrnky"/>
                              <w:sz w:val="18"/>
                              <w:szCs w:val="18"/>
                            </w:rPr>
                            <w:fldChar w:fldCharType="separate"/>
                          </w:r>
                          <w:r>
                            <w:rPr>
                              <w:rStyle w:val="slostrnky"/>
                              <w:sz w:val="18"/>
                              <w:szCs w:val="18"/>
                            </w:rPr>
                            <w:t>3</w:t>
                          </w:r>
                          <w:r>
                            <w:rPr>
                              <w:rStyle w:val="slostrnky"/>
                              <w:sz w:val="18"/>
                              <w:szCs w:val="18"/>
                            </w:rPr>
                            <w:fldChar w:fldCharType="end"/>
                          </w:r>
                          <w:r>
                            <w:rPr>
                              <w:rStyle w:val="slostrnky"/>
                              <w:sz w:val="18"/>
                              <w:szCs w:val="18"/>
                            </w:rPr>
                            <w:t xml:space="preserve"> z </w:t>
                          </w:r>
                          <w:r>
                            <w:rPr>
                              <w:rStyle w:val="slostrnky"/>
                              <w:sz w:val="18"/>
                              <w:szCs w:val="18"/>
                            </w:rPr>
                            <w:fldChar w:fldCharType="begin"/>
                          </w:r>
                          <w:r>
                            <w:rPr>
                              <w:rStyle w:val="slostrnky"/>
                              <w:sz w:val="18"/>
                              <w:szCs w:val="18"/>
                            </w:rPr>
                            <w:instrText>NUMPAGES \* ARABIC</w:instrText>
                          </w:r>
                          <w:r>
                            <w:rPr>
                              <w:rStyle w:val="slostrnky"/>
                              <w:sz w:val="18"/>
                              <w:szCs w:val="18"/>
                            </w:rPr>
                            <w:fldChar w:fldCharType="separate"/>
                          </w:r>
                          <w:r>
                            <w:rPr>
                              <w:rStyle w:val="slostrnky"/>
                              <w:sz w:val="18"/>
                              <w:szCs w:val="18"/>
                            </w:rPr>
                            <w:t>5</w:t>
                          </w:r>
                          <w:r>
                            <w:rPr>
                              <w:rStyle w:val="slostrnky"/>
                              <w:sz w:val="18"/>
                              <w:szCs w:val="18"/>
                            </w:rPr>
                            <w:fldChar w:fldCharType="end"/>
                          </w:r>
                          <w:r>
                            <w:rPr>
                              <w:rStyle w:val="slostrnky"/>
                              <w:sz w:val="18"/>
                              <w:szCs w:val="18"/>
                            </w:rPr>
                            <w:t xml:space="preserve"> </w:t>
                          </w:r>
                        </w:p>
                      </w:txbxContent>
                    </wps:txbx>
                    <wps:bodyPr lIns="0" tIns="0" rIns="0" bIns="0" anchor="t">
                      <a:spAutoFit/>
                    </wps:bodyPr>
                  </wps:wsp>
                </a:graphicData>
              </a:graphic>
            </wp:anchor>
          </w:drawing>
        </mc:Choice>
        <mc:Fallback>
          <w:pict>
            <v:shapetype w14:anchorId="0D55BBFA" id="_x0000_t202" coordsize="21600,21600" o:spt="202" path="m,l,21600r21600,l21600,xe">
              <v:stroke joinstyle="miter"/>
              <v:path gradientshapeok="t" o:connecttype="rect"/>
            </v:shapetype>
            <v:shape id="Rámec1" o:spid="_x0000_s1026" type="#_x0000_t202" style="position:absolute;margin-left:13.1pt;margin-top:.05pt;width:64.3pt;height:10.95pt;z-index:2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" stroked="f">
              <v:fill opacity="0"/>
              <v:textbox style="mso-fit-shape-to-text:t" inset="0,0,0,0">
                <w:txbxContent>
                  <w:p w14:paraId="37764413" w14:textId="77777777" w:rsidR="00634D78" w:rsidRDefault="00A40C88">
                    <w:pPr>
                      <w:pStyle w:val="Zpat"/>
                      <w:rPr>
                        <w:sz w:val="14"/>
                        <w:szCs w:val="18"/>
                      </w:rPr>
                    </w:pPr>
                    <w:r>
                      <w:rPr>
                        <w:rStyle w:val="slostrnky"/>
                        <w:sz w:val="18"/>
                        <w:szCs w:val="18"/>
                      </w:rPr>
                      <w:t xml:space="preserve">Stránka </w:t>
                    </w:r>
                    <w:r>
                      <w:rPr>
                        <w:rStyle w:val="slostrnky"/>
                        <w:sz w:val="18"/>
                        <w:szCs w:val="18"/>
                      </w:rPr>
                      <w:fldChar w:fldCharType="begin"/>
                    </w:r>
                    <w:r>
                      <w:rPr>
                        <w:rStyle w:val="slostrnky"/>
                        <w:sz w:val="18"/>
                        <w:szCs w:val="18"/>
                      </w:rPr>
                      <w:instrText>PAGE</w:instrText>
                    </w:r>
                    <w:r>
                      <w:rPr>
                        <w:rStyle w:val="slostrnky"/>
                        <w:sz w:val="18"/>
                        <w:szCs w:val="18"/>
                      </w:rPr>
                      <w:fldChar w:fldCharType="separate"/>
                    </w:r>
                    <w:r>
                      <w:rPr>
                        <w:rStyle w:val="slostrnky"/>
                        <w:sz w:val="18"/>
                        <w:szCs w:val="18"/>
                      </w:rPr>
                      <w:t>3</w:t>
                    </w:r>
                    <w:r>
                      <w:rPr>
                        <w:rStyle w:val="slostrnky"/>
                        <w:sz w:val="18"/>
                        <w:szCs w:val="18"/>
                      </w:rPr>
                      <w:fldChar w:fldCharType="end"/>
                    </w:r>
                    <w:r>
                      <w:rPr>
                        <w:rStyle w:val="slostrnky"/>
                        <w:sz w:val="18"/>
                        <w:szCs w:val="18"/>
                      </w:rPr>
                      <w:t xml:space="preserve"> z </w:t>
                    </w:r>
                    <w:r>
                      <w:rPr>
                        <w:rStyle w:val="slostrnky"/>
                        <w:sz w:val="18"/>
                        <w:szCs w:val="18"/>
                      </w:rPr>
                      <w:fldChar w:fldCharType="begin"/>
                    </w:r>
                    <w:r>
                      <w:rPr>
                        <w:rStyle w:val="slostrnky"/>
                        <w:sz w:val="18"/>
                        <w:szCs w:val="18"/>
                      </w:rPr>
                      <w:instrText>NUMPAGES \* ARABIC</w:instrText>
                    </w:r>
                    <w:r>
                      <w:rPr>
                        <w:rStyle w:val="slostrnky"/>
                        <w:sz w:val="18"/>
                        <w:szCs w:val="18"/>
                      </w:rPr>
                      <w:fldChar w:fldCharType="separate"/>
                    </w:r>
                    <w:r>
                      <w:rPr>
                        <w:rStyle w:val="slostrnky"/>
                        <w:sz w:val="18"/>
                        <w:szCs w:val="18"/>
                      </w:rPr>
                      <w:t>5</w:t>
                    </w:r>
                    <w:r>
                      <w:rPr>
                        <w:rStyle w:val="slostrnky"/>
                        <w:sz w:val="18"/>
                        <w:szCs w:val="18"/>
                      </w:rPr>
                      <w:fldChar w:fldCharType="end"/>
                    </w:r>
                    <w:r>
                      <w:rPr>
                        <w:rStyle w:val="slostrnky"/>
                        <w:sz w:val="18"/>
                        <w:szCs w:val="18"/>
                      </w:rPr>
                      <w:t xml:space="preserve"> </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89B7" w14:textId="77777777" w:rsidR="00E774DB" w:rsidRDefault="00E774DB">
      <w:pPr>
        <w:spacing w:after="0" w:line="240" w:lineRule="auto"/>
      </w:pPr>
      <w:r>
        <w:separator/>
      </w:r>
    </w:p>
  </w:footnote>
  <w:footnote w:type="continuationSeparator" w:id="0">
    <w:p w14:paraId="4D178964" w14:textId="77777777" w:rsidR="00E774DB" w:rsidRDefault="00E77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50D4" w14:textId="77777777" w:rsidR="00634D78" w:rsidRDefault="00A40C88">
    <w:pPr>
      <w:pStyle w:val="Zhlav"/>
      <w:ind w:left="-993" w:firstLine="993"/>
    </w:pPr>
    <w:r>
      <w:rPr>
        <w:noProof/>
      </w:rPr>
      <w:drawing>
        <wp:anchor distT="0" distB="0" distL="114300" distR="114300" simplePos="0" relativeHeight="6" behindDoc="0" locked="0" layoutInCell="1" allowOverlap="1" wp14:anchorId="48F47178" wp14:editId="64B1E2F5">
          <wp:simplePos x="0" y="0"/>
          <wp:positionH relativeFrom="column">
            <wp:posOffset>-690245</wp:posOffset>
          </wp:positionH>
          <wp:positionV relativeFrom="paragraph">
            <wp:posOffset>410845</wp:posOffset>
          </wp:positionV>
          <wp:extent cx="7343775" cy="590550"/>
          <wp:effectExtent l="0" t="0" r="0" b="0"/>
          <wp:wrapTight wrapText="bothSides">
            <wp:wrapPolygon edited="0">
              <wp:start x="-67" y="0"/>
              <wp:lineTo x="-67" y="20886"/>
              <wp:lineTo x="21626" y="20886"/>
              <wp:lineTo x="21626" y="0"/>
              <wp:lineTo x="-67" y="0"/>
            </wp:wrapPolygon>
          </wp:wrapTight>
          <wp:docPr id="1"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descr="C:\DATA\FIRMY\KLAUDIANOVA NEMOCNICE\hlavickovy papir\vlnka.jpg"/>
                  <pic:cNvPicPr>
                    <a:picLocks noChangeAspect="1" noChangeArrowheads="1"/>
                  </pic:cNvPicPr>
                </pic:nvPicPr>
                <pic:blipFill>
                  <a:blip r:embed="rId1"/>
                  <a:stretch>
                    <a:fillRect/>
                  </a:stretch>
                </pic:blipFill>
                <pic:spPr bwMode="auto">
                  <a:xfrm>
                    <a:off x="0" y="0"/>
                    <a:ext cx="7343775" cy="590550"/>
                  </a:xfrm>
                  <a:prstGeom prst="rect">
                    <a:avLst/>
                  </a:prstGeom>
                </pic:spPr>
              </pic:pic>
            </a:graphicData>
          </a:graphic>
        </wp:anchor>
      </w:drawing>
    </w:r>
    <w:r>
      <w:rPr>
        <w:noProof/>
      </w:rPr>
      <w:drawing>
        <wp:anchor distT="0" distB="0" distL="114300" distR="114300" simplePos="0" relativeHeight="21" behindDoc="0" locked="0" layoutInCell="1" allowOverlap="1" wp14:anchorId="175CAD18" wp14:editId="59692E42">
          <wp:simplePos x="0" y="0"/>
          <wp:positionH relativeFrom="column">
            <wp:posOffset>-153035</wp:posOffset>
          </wp:positionH>
          <wp:positionV relativeFrom="paragraph">
            <wp:posOffset>6985</wp:posOffset>
          </wp:positionV>
          <wp:extent cx="2593340" cy="777875"/>
          <wp:effectExtent l="0" t="0" r="0" b="0"/>
          <wp:wrapTight wrapText="bothSides">
            <wp:wrapPolygon edited="0">
              <wp:start x="-171" y="0"/>
              <wp:lineTo x="-171" y="21106"/>
              <wp:lineTo x="21572" y="21106"/>
              <wp:lineTo x="21572" y="0"/>
              <wp:lineTo x="-171" y="0"/>
            </wp:wrapPolygon>
          </wp:wrapTight>
          <wp:docPr id="2"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C:\DATA\FIRMY\KLAUDIANOVA NEMOCNICE\logo\logo_Klaudianova1-02.jpg"/>
                  <pic:cNvPicPr>
                    <a:picLocks noChangeAspect="1" noChangeArrowheads="1"/>
                  </pic:cNvPicPr>
                </pic:nvPicPr>
                <pic:blipFill>
                  <a:blip r:embed="rId2"/>
                  <a:stretch>
                    <a:fillRect/>
                  </a:stretch>
                </pic:blipFill>
                <pic:spPr bwMode="auto">
                  <a:xfrm>
                    <a:off x="0" y="0"/>
                    <a:ext cx="2593340" cy="777875"/>
                  </a:xfrm>
                  <a:prstGeom prst="rect">
                    <a:avLst/>
                  </a:prstGeom>
                </pic:spPr>
              </pic:pic>
            </a:graphicData>
          </a:graphic>
        </wp:anchor>
      </w:drawing>
    </w:r>
  </w:p>
  <w:p w14:paraId="1E429C34" w14:textId="77777777" w:rsidR="00634D78" w:rsidRDefault="00634D78"/>
  <w:p w14:paraId="7C6F306F" w14:textId="77777777" w:rsidR="00634D78" w:rsidRDefault="00634D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64C8"/>
    <w:multiLevelType w:val="multilevel"/>
    <w:tmpl w:val="10BA1DBC"/>
    <w:lvl w:ilvl="0">
      <w:start w:val="1"/>
      <w:numFmt w:val="ordinal"/>
      <w:lvlText w:val="%1"/>
      <w:lvlJc w:val="left"/>
      <w:pPr>
        <w:tabs>
          <w:tab w:val="num" w:pos="720"/>
        </w:tabs>
        <w:ind w:left="0" w:firstLine="0"/>
      </w:pPr>
      <w:rPr>
        <w:b/>
        <w:i w:val="0"/>
        <w:sz w:val="20"/>
        <w:szCs w:val="20"/>
        <w:u w:val="none"/>
      </w:rPr>
    </w:lvl>
    <w:lvl w:ilvl="1">
      <w:start w:val="1"/>
      <w:numFmt w:val="decimal"/>
      <w:lvlText w:val="%1.%2."/>
      <w:lvlJc w:val="left"/>
      <w:pPr>
        <w:tabs>
          <w:tab w:val="num" w:pos="576"/>
        </w:tabs>
        <w:ind w:left="576" w:hanging="576"/>
      </w:pPr>
      <w:rPr>
        <w:rFonts w:ascii="Verdana" w:hAnsi="Verdana" w:cs="Tahoma"/>
        <w:sz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58179FC"/>
    <w:multiLevelType w:val="multilevel"/>
    <w:tmpl w:val="068EED1C"/>
    <w:lvl w:ilvl="0">
      <w:start w:val="1"/>
      <w:numFmt w:val="decimal"/>
      <w:lvlText w:val="%1)"/>
      <w:lvlJc w:val="left"/>
      <w:pPr>
        <w:tabs>
          <w:tab w:val="num" w:pos="284"/>
        </w:tabs>
        <w:ind w:left="454" w:hanging="454"/>
      </w:pPr>
      <w:rPr>
        <w:b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6373201"/>
    <w:multiLevelType w:val="multilevel"/>
    <w:tmpl w:val="FCC00F08"/>
    <w:lvl w:ilvl="0">
      <w:start w:val="1"/>
      <w:numFmt w:val="bullet"/>
      <w:lvlText w:val="-"/>
      <w:lvlJc w:val="left"/>
      <w:pPr>
        <w:ind w:left="720" w:hanging="360"/>
      </w:pPr>
      <w:rPr>
        <w:rFonts w:ascii="Verdana" w:hAnsi="Verdan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E6C3739"/>
    <w:multiLevelType w:val="multilevel"/>
    <w:tmpl w:val="A85EBA22"/>
    <w:lvl w:ilvl="0">
      <w:start w:val="1"/>
      <w:numFmt w:val="ordinal"/>
      <w:pStyle w:val="Nadpis1"/>
      <w:lvlText w:val="%1"/>
      <w:lvlJc w:val="left"/>
      <w:pPr>
        <w:tabs>
          <w:tab w:val="num" w:pos="720"/>
        </w:tabs>
        <w:ind w:left="0" w:firstLine="0"/>
      </w:pPr>
      <w:rPr>
        <w:b/>
        <w:i w:val="0"/>
        <w:sz w:val="20"/>
        <w:szCs w:val="20"/>
        <w:u w:val="none"/>
      </w:rPr>
    </w:lvl>
    <w:lvl w:ilvl="1">
      <w:start w:val="1"/>
      <w:numFmt w:val="decimal"/>
      <w:pStyle w:val="Nadpis2"/>
      <w:lvlText w:val="%1.%2."/>
      <w:lvlJc w:val="left"/>
      <w:pPr>
        <w:tabs>
          <w:tab w:val="num" w:pos="576"/>
        </w:tabs>
        <w:ind w:left="576" w:hanging="576"/>
      </w:pPr>
      <w:rPr>
        <w:rFonts w:cs="Tahoma"/>
        <w:sz w:val="2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20961847">
    <w:abstractNumId w:val="3"/>
  </w:num>
  <w:num w:numId="2" w16cid:durableId="459539131">
    <w:abstractNumId w:val="0"/>
  </w:num>
  <w:num w:numId="3" w16cid:durableId="512308602">
    <w:abstractNumId w:val="1"/>
  </w:num>
  <w:num w:numId="4" w16cid:durableId="1510830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78"/>
    <w:rsid w:val="00204FE1"/>
    <w:rsid w:val="00634D78"/>
    <w:rsid w:val="00A40C88"/>
    <w:rsid w:val="00AF2191"/>
    <w:rsid w:val="00B21CB8"/>
    <w:rsid w:val="00E774D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BBE0"/>
  <w15:docId w15:val="{7F979946-4FE3-4F62-8619-14CBF090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basedOn w:val="Normln"/>
    <w:next w:val="Normln"/>
    <w:link w:val="Nadpis1Char"/>
    <w:uiPriority w:val="99"/>
    <w:qFormat/>
    <w:rsid w:val="00A57CF7"/>
    <w:pPr>
      <w:keepNext/>
      <w:keepLines/>
      <w:numPr>
        <w:numId w:val="1"/>
      </w:numPr>
      <w:tabs>
        <w:tab w:val="clear" w:pos="720"/>
        <w:tab w:val="left" w:pos="550"/>
      </w:tabs>
      <w:spacing w:before="240" w:after="60" w:line="240" w:lineRule="auto"/>
      <w:jc w:val="both"/>
      <w:outlineLvl w:val="0"/>
    </w:pPr>
    <w:rPr>
      <w:rFonts w:ascii="Times New Roman" w:eastAsia="Times New Roman" w:hAnsi="Times New Roman"/>
      <w:b/>
      <w:kern w:val="2"/>
      <w:sz w:val="28"/>
      <w:szCs w:val="20"/>
      <w:u w:val="single"/>
      <w:lang w:eastAsia="cs-CZ"/>
    </w:rPr>
  </w:style>
  <w:style w:type="paragraph" w:styleId="Nadpis2">
    <w:name w:val="heading 2"/>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qFormat/>
    <w:rsid w:val="00A57CF7"/>
    <w:rPr>
      <w:rFonts w:ascii="Verdana" w:eastAsia="Calibri" w:hAnsi="Verdana"/>
      <w:sz w:val="22"/>
      <w:szCs w:val="22"/>
      <w:lang w:val="cs-CZ" w:eastAsia="en-US" w:bidi="ar-SA"/>
    </w:rPr>
  </w:style>
  <w:style w:type="character" w:customStyle="1" w:styleId="ZpatChar">
    <w:name w:val="Zápatí Char"/>
    <w:basedOn w:val="Standardnpsmoodstavce"/>
    <w:link w:val="Zpat"/>
    <w:qFormat/>
    <w:rsid w:val="00A57CF7"/>
    <w:rPr>
      <w:rFonts w:ascii="Verdana" w:eastAsia="Calibri" w:hAnsi="Verdana"/>
      <w:sz w:val="22"/>
      <w:szCs w:val="22"/>
      <w:lang w:val="cs-CZ" w:eastAsia="en-US" w:bidi="ar-SA"/>
    </w:rPr>
  </w:style>
  <w:style w:type="character" w:styleId="slostrnky">
    <w:name w:val="page number"/>
    <w:basedOn w:val="Standardnpsmoodstavce"/>
    <w:qFormat/>
    <w:rsid w:val="00A57CF7"/>
  </w:style>
  <w:style w:type="character" w:customStyle="1" w:styleId="Nadpis1Char">
    <w:name w:val="Nadpis 1 Char"/>
    <w:basedOn w:val="Standardnpsmoodstavce"/>
    <w:link w:val="Nadpis1"/>
    <w:qFormat/>
    <w:rsid w:val="00A57CF7"/>
    <w:rPr>
      <w:b/>
      <w:kern w:val="2"/>
      <w:sz w:val="28"/>
      <w:u w:val="single"/>
    </w:rPr>
  </w:style>
  <w:style w:type="character" w:customStyle="1" w:styleId="potaemgenerovanpoloky">
    <w:name w:val="počítačem generované položky"/>
    <w:basedOn w:val="Standardnpsmoodstavce"/>
    <w:qFormat/>
    <w:rsid w:val="00F77C79"/>
    <w:rPr>
      <w:rFonts w:ascii="Courier New" w:hAnsi="Courier New" w:cs="Courier New"/>
      <w:sz w:val="22"/>
    </w:rPr>
  </w:style>
  <w:style w:type="character" w:customStyle="1" w:styleId="Internetovodkaz">
    <w:name w:val="Internetový odkaz"/>
    <w:basedOn w:val="Standardnpsmoodstavce"/>
    <w:rsid w:val="00515C4F"/>
    <w:rPr>
      <w:color w:val="0000FF" w:themeColor="hyperlink"/>
      <w:u w:val="single"/>
    </w:rPr>
  </w:style>
  <w:style w:type="character" w:customStyle="1" w:styleId="Nadpis2Char">
    <w:name w:val="Nadpis 2 Char"/>
    <w:basedOn w:val="Standardnpsmoodstavce"/>
    <w:link w:val="Nadpis2"/>
    <w:uiPriority w:val="99"/>
    <w:qFormat/>
    <w:rsid w:val="000D77B4"/>
    <w:rPr>
      <w:sz w:val="24"/>
      <w:lang w:eastAsia="de-D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rsid w:val="00F77C79"/>
    <w:pPr>
      <w:spacing w:after="0" w:line="240" w:lineRule="auto"/>
      <w:jc w:val="both"/>
    </w:pPr>
    <w:rPr>
      <w:rFonts w:ascii="Times New Roman" w:eastAsia="Times New Roman" w:hAnsi="Times New Roman"/>
      <w:sz w:val="24"/>
      <w:szCs w:val="20"/>
      <w:lang w:eastAsia="cs-CZ"/>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basedOn w:val="Normln"/>
    <w:link w:val="ZhlavChar"/>
    <w:unhideWhenUsed/>
    <w:rsid w:val="00A57CF7"/>
    <w:pPr>
      <w:tabs>
        <w:tab w:val="center" w:pos="4536"/>
        <w:tab w:val="right" w:pos="9072"/>
      </w:tabs>
      <w:spacing w:after="0" w:line="240" w:lineRule="auto"/>
    </w:pPr>
  </w:style>
  <w:style w:type="paragraph" w:styleId="Zpat">
    <w:name w:val="footer"/>
    <w:basedOn w:val="Normln"/>
    <w:link w:val="ZpatChar"/>
    <w:unhideWhenUsed/>
    <w:rsid w:val="00A57CF7"/>
    <w:pPr>
      <w:tabs>
        <w:tab w:val="center" w:pos="4536"/>
        <w:tab w:val="right" w:pos="9072"/>
      </w:tabs>
      <w:spacing w:after="0" w:line="240" w:lineRule="auto"/>
    </w:pPr>
  </w:style>
  <w:style w:type="paragraph" w:styleId="Odstavecseseznamem">
    <w:name w:val="List Paragraph"/>
    <w:basedOn w:val="Normln"/>
    <w:uiPriority w:val="34"/>
    <w:qFormat/>
    <w:rsid w:val="00584564"/>
    <w:pPr>
      <w:ind w:left="720"/>
      <w:contextualSpacing/>
    </w:pPr>
  </w:style>
  <w:style w:type="paragraph" w:customStyle="1" w:styleId="Obsahrmce">
    <w:name w:val="Obsah rámce"/>
    <w:basedOn w:val="Normln"/>
    <w:qFormat/>
  </w:style>
  <w:style w:type="table" w:styleId="Mkatabulky">
    <w:name w:val="Table Grid"/>
    <w:basedOn w:val="Normlntabulka"/>
    <w:uiPriority w:val="99"/>
    <w:rsid w:val="0039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semiHidden/>
    <w:unhideWhenUsed/>
    <w:pPr>
      <w:spacing w:line="240" w:lineRule="auto"/>
    </w:pPr>
    <w:rPr>
      <w:sz w:val="20"/>
      <w:szCs w:val="20"/>
    </w:rPr>
  </w:style>
  <w:style w:type="character" w:customStyle="1" w:styleId="TextkomenteChar">
    <w:name w:val="Text komentáře Char"/>
    <w:basedOn w:val="Standardnpsmoodstavce"/>
    <w:link w:val="Textkomente"/>
    <w:semiHidden/>
    <w:rPr>
      <w:rFonts w:ascii="Verdana" w:eastAsia="Calibri" w:hAnsi="Verdana"/>
      <w:lang w:eastAsia="en-US"/>
    </w:rPr>
  </w:style>
  <w:style w:type="character" w:styleId="Odkaznakoment">
    <w:name w:val="annotation reference"/>
    <w:basedOn w:val="Standardnpsmoodstavce"/>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indrich.uher@on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CEA51-7DB5-4E02-A4A6-0B945FEF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1822</Words>
  <Characters>10752</Characters>
  <Application>Microsoft Office Word</Application>
  <DocSecurity>0</DocSecurity>
  <Lines>89</Lines>
  <Paragraphs>25</Paragraphs>
  <ScaleCrop>false</ScaleCrop>
  <Company>ONMB a.s.</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osc9039</dc:creator>
  <dc:description/>
  <cp:lastModifiedBy>Michaela Šrajlová</cp:lastModifiedBy>
  <cp:revision>4</cp:revision>
  <cp:lastPrinted>2019-05-27T10:02:00Z</cp:lastPrinted>
  <dcterms:created xsi:type="dcterms:W3CDTF">2022-04-28T12:11:00Z</dcterms:created>
  <dcterms:modified xsi:type="dcterms:W3CDTF">2022-05-25T10:37:00Z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ONMB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