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C7D" w14:textId="77777777" w:rsidR="00A84CB1" w:rsidRPr="00DF4928" w:rsidRDefault="00A84CB1" w:rsidP="00A84CB1">
      <w:pPr>
        <w:pStyle w:val="Default"/>
        <w:rPr>
          <w:color w:val="auto"/>
        </w:rPr>
      </w:pPr>
    </w:p>
    <w:p w14:paraId="07E4EBAA" w14:textId="00AD3453" w:rsidR="00A84CB1" w:rsidRPr="00DF4928" w:rsidRDefault="00A84CB1" w:rsidP="00A84CB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 xml:space="preserve">DOHODA O VYPOŘÁDÁNÍ </w:t>
      </w:r>
      <w:r w:rsidR="008C61F7" w:rsidRPr="00DF4928">
        <w:rPr>
          <w:rFonts w:asciiTheme="minorHAnsi" w:hAnsiTheme="minorHAnsi"/>
          <w:b/>
          <w:bCs/>
          <w:color w:val="auto"/>
          <w:sz w:val="28"/>
          <w:szCs w:val="28"/>
        </w:rPr>
        <w:t>BEZDŮVODNÉHO OBOHACENÍ</w:t>
      </w:r>
    </w:p>
    <w:p w14:paraId="636CEB0E" w14:textId="1A1BE3EC" w:rsidR="00770849" w:rsidRPr="00DF4928" w:rsidRDefault="00770849" w:rsidP="00770849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39042F">
        <w:rPr>
          <w:rFonts w:asciiTheme="minorHAnsi" w:hAnsiTheme="minorHAnsi"/>
          <w:b/>
          <w:bCs/>
          <w:color w:val="auto"/>
          <w:sz w:val="28"/>
          <w:szCs w:val="28"/>
        </w:rPr>
        <w:t>20220</w:t>
      </w:r>
      <w:r w:rsidR="0048398E">
        <w:rPr>
          <w:rFonts w:asciiTheme="minorHAnsi" w:hAnsiTheme="minorHAnsi"/>
          <w:b/>
          <w:bCs/>
          <w:color w:val="auto"/>
          <w:sz w:val="28"/>
          <w:szCs w:val="28"/>
        </w:rPr>
        <w:t>3</w:t>
      </w:r>
      <w:r w:rsidR="00C50A4F">
        <w:rPr>
          <w:rFonts w:asciiTheme="minorHAnsi" w:hAnsiTheme="minorHAnsi"/>
          <w:b/>
          <w:bCs/>
          <w:color w:val="auto"/>
          <w:sz w:val="28"/>
          <w:szCs w:val="28"/>
        </w:rPr>
        <w:t>-D</w:t>
      </w:r>
    </w:p>
    <w:p w14:paraId="65D6F946" w14:textId="0325DC28" w:rsidR="008C61F7" w:rsidRPr="00DF4928" w:rsidRDefault="008C61F7" w:rsidP="00A84CB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2C292460" w14:textId="41654447" w:rsidR="004D4EC9" w:rsidRPr="00DF4928" w:rsidRDefault="00644091" w:rsidP="004D4EC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u</w:t>
      </w:r>
      <w:r w:rsidR="008C61F7" w:rsidRPr="00DF4928">
        <w:rPr>
          <w:rFonts w:asciiTheme="minorHAnsi" w:hAnsiTheme="minorHAnsi"/>
          <w:color w:val="auto"/>
          <w:sz w:val="23"/>
          <w:szCs w:val="23"/>
        </w:rPr>
        <w:t xml:space="preserve">zavřená dle § 2991 a násl. </w:t>
      </w:r>
      <w:r w:rsidRPr="00DF4928">
        <w:rPr>
          <w:rFonts w:asciiTheme="minorHAnsi" w:hAnsiTheme="minorHAnsi"/>
          <w:color w:val="auto"/>
          <w:sz w:val="23"/>
          <w:szCs w:val="23"/>
        </w:rPr>
        <w:t>z</w:t>
      </w:r>
      <w:r w:rsidR="008C61F7" w:rsidRPr="00DF4928">
        <w:rPr>
          <w:rFonts w:asciiTheme="minorHAnsi" w:hAnsiTheme="minorHAnsi"/>
          <w:color w:val="auto"/>
          <w:sz w:val="23"/>
          <w:szCs w:val="23"/>
        </w:rPr>
        <w:t>ákona č. 89/2012 Sb., občanského zákoníku mezi smluvními stranami:</w:t>
      </w:r>
    </w:p>
    <w:p w14:paraId="64F9239E" w14:textId="77777777" w:rsidR="004D4EC9" w:rsidRPr="00DF4928" w:rsidRDefault="004D4EC9" w:rsidP="004D4EC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</w:p>
    <w:p w14:paraId="09F9FE50" w14:textId="4418AB22" w:rsidR="004D4EC9" w:rsidRDefault="00622393" w:rsidP="00DF048B">
      <w:pPr>
        <w:pStyle w:val="Default"/>
        <w:spacing w:line="276" w:lineRule="auto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Š</w:t>
      </w:r>
      <w:r w:rsidR="004D4EC9" w:rsidRPr="00DF4928">
        <w:rPr>
          <w:rFonts w:ascii="Arial" w:hAnsi="Arial" w:cs="Arial"/>
          <w:b/>
          <w:color w:val="auto"/>
          <w:sz w:val="20"/>
        </w:rPr>
        <w:t>kolní jídelna Mnichovo Hradiště, příspěvková organizace</w:t>
      </w:r>
    </w:p>
    <w:p w14:paraId="569DF497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se sídlem: Studentská 895, 295 01 Mnichovo Hradiště</w:t>
      </w:r>
    </w:p>
    <w:p w14:paraId="04BD212C" w14:textId="096BC29D" w:rsidR="004D4EC9" w:rsidRPr="00DF4928" w:rsidRDefault="00622393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zastoupen</w:t>
      </w:r>
      <w:r w:rsidR="00494543">
        <w:rPr>
          <w:rFonts w:asciiTheme="minorHAnsi" w:hAnsiTheme="minorHAnsi"/>
          <w:color w:val="auto"/>
          <w:sz w:val="23"/>
          <w:szCs w:val="23"/>
        </w:rPr>
        <w:t>á</w:t>
      </w:r>
      <w:r w:rsidR="004D4EC9" w:rsidRPr="00DF4928">
        <w:rPr>
          <w:rFonts w:asciiTheme="minorHAnsi" w:hAnsiTheme="minorHAnsi"/>
          <w:color w:val="auto"/>
          <w:sz w:val="23"/>
          <w:szCs w:val="23"/>
        </w:rPr>
        <w:t>: Františ</w:t>
      </w:r>
      <w:r w:rsidR="002604B6">
        <w:rPr>
          <w:rFonts w:asciiTheme="minorHAnsi" w:hAnsiTheme="minorHAnsi"/>
          <w:color w:val="auto"/>
          <w:sz w:val="23"/>
          <w:szCs w:val="23"/>
        </w:rPr>
        <w:t>kem</w:t>
      </w:r>
      <w:r w:rsidR="004D4EC9" w:rsidRPr="00DF4928">
        <w:rPr>
          <w:rFonts w:asciiTheme="minorHAnsi" w:hAnsiTheme="minorHAnsi"/>
          <w:color w:val="auto"/>
          <w:sz w:val="23"/>
          <w:szCs w:val="23"/>
        </w:rPr>
        <w:t xml:space="preserve"> Ouředník</w:t>
      </w:r>
      <w:r w:rsidR="002604B6">
        <w:rPr>
          <w:rFonts w:asciiTheme="minorHAnsi" w:hAnsiTheme="minorHAnsi"/>
          <w:color w:val="auto"/>
          <w:sz w:val="23"/>
          <w:szCs w:val="23"/>
        </w:rPr>
        <w:t>em</w:t>
      </w:r>
      <w:r w:rsidR="004D4EC9" w:rsidRPr="00DF4928">
        <w:rPr>
          <w:rFonts w:asciiTheme="minorHAnsi" w:hAnsiTheme="minorHAnsi"/>
          <w:color w:val="auto"/>
          <w:sz w:val="23"/>
          <w:szCs w:val="23"/>
        </w:rPr>
        <w:t>, ředitel</w:t>
      </w:r>
      <w:r w:rsidR="002604B6">
        <w:rPr>
          <w:rFonts w:asciiTheme="minorHAnsi" w:hAnsiTheme="minorHAnsi"/>
          <w:color w:val="auto"/>
          <w:sz w:val="23"/>
          <w:szCs w:val="23"/>
        </w:rPr>
        <w:t>em</w:t>
      </w:r>
    </w:p>
    <w:p w14:paraId="66AE4011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IČ: 09367381</w:t>
      </w:r>
    </w:p>
    <w:p w14:paraId="45DCB706" w14:textId="2E4CB735" w:rsidR="004D4EC9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DIČ: CZ09367381</w:t>
      </w:r>
    </w:p>
    <w:p w14:paraId="501D40FF" w14:textId="77777777" w:rsidR="0048398E" w:rsidRPr="00DF4928" w:rsidRDefault="0048398E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14:paraId="39A1ABCF" w14:textId="6B5E9D9A" w:rsidR="00A84CB1" w:rsidRPr="00DF4928" w:rsidRDefault="00A84CB1" w:rsidP="004A4680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dále také jako „</w:t>
      </w:r>
      <w:r w:rsidR="00494543">
        <w:rPr>
          <w:rFonts w:asciiTheme="minorHAnsi" w:hAnsiTheme="minorHAnsi"/>
          <w:color w:val="auto"/>
          <w:sz w:val="23"/>
          <w:szCs w:val="23"/>
        </w:rPr>
        <w:t>zájemce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“ </w:t>
      </w:r>
    </w:p>
    <w:p w14:paraId="2964040E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a </w:t>
      </w:r>
    </w:p>
    <w:p w14:paraId="3CE3D7FF" w14:textId="48544D84" w:rsidR="00D64C7E" w:rsidRDefault="00494543" w:rsidP="00A84CB1">
      <w:pPr>
        <w:pStyle w:val="Default"/>
        <w:spacing w:line="276" w:lineRule="auto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b/>
          <w:color w:val="auto"/>
          <w:sz w:val="23"/>
          <w:szCs w:val="23"/>
        </w:rPr>
        <w:t>Hana Duňková Žižková</w:t>
      </w:r>
    </w:p>
    <w:p w14:paraId="24FEA557" w14:textId="51A95940" w:rsidR="00A84CB1" w:rsidRDefault="00494543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Turnovská 1094, 295 01 Mnichovo Hradiště</w:t>
      </w:r>
    </w:p>
    <w:p w14:paraId="5819CE73" w14:textId="0D536130" w:rsidR="00A84CB1" w:rsidRDefault="00244F30" w:rsidP="00A84CB1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IČO: </w:t>
      </w:r>
      <w:r w:rsidR="00494543">
        <w:rPr>
          <w:rFonts w:asciiTheme="minorHAnsi" w:hAnsiTheme="minorHAnsi"/>
          <w:color w:val="auto"/>
          <w:sz w:val="23"/>
          <w:szCs w:val="23"/>
        </w:rPr>
        <w:t>74265237</w:t>
      </w:r>
    </w:p>
    <w:p w14:paraId="52C42D27" w14:textId="77777777" w:rsidR="0048398E" w:rsidRDefault="0048398E" w:rsidP="00A84CB1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14:paraId="06FFAB3A" w14:textId="4FF1838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dále také jako „</w:t>
      </w:r>
      <w:r w:rsidR="00494543">
        <w:rPr>
          <w:rFonts w:asciiTheme="minorHAnsi" w:hAnsiTheme="minorHAnsi"/>
          <w:color w:val="auto"/>
          <w:sz w:val="23"/>
          <w:szCs w:val="23"/>
        </w:rPr>
        <w:t>obstaravatel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“ </w:t>
      </w:r>
    </w:p>
    <w:p w14:paraId="19589648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768A0332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uzavírají níže uvedeného dne, měsíce a roku tuto </w:t>
      </w:r>
    </w:p>
    <w:p w14:paraId="27A99A77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3097801A" w14:textId="7193BEC0" w:rsidR="00A84CB1" w:rsidRPr="00DF4928" w:rsidRDefault="00A84CB1" w:rsidP="00A84CB1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 xml:space="preserve">dohodu o vypořádání </w:t>
      </w:r>
      <w:r w:rsidR="008C61F7" w:rsidRPr="00DF4928">
        <w:rPr>
          <w:rFonts w:asciiTheme="minorHAnsi" w:hAnsiTheme="minorHAnsi"/>
          <w:b/>
          <w:bCs/>
          <w:color w:val="auto"/>
          <w:sz w:val="23"/>
          <w:szCs w:val="23"/>
        </w:rPr>
        <w:t>bezdůvodného obohacení</w:t>
      </w: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:</w:t>
      </w:r>
    </w:p>
    <w:p w14:paraId="30B9F743" w14:textId="77777777" w:rsidR="00604FC8" w:rsidRPr="00DF4928" w:rsidRDefault="00604FC8" w:rsidP="00604FC8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6C344E1D" w14:textId="491534E2" w:rsidR="00A84CB1" w:rsidRPr="00DF4928" w:rsidRDefault="00A84CB1" w:rsidP="00A84CB1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Čl. I.</w:t>
      </w:r>
    </w:p>
    <w:p w14:paraId="20F1C2E7" w14:textId="56DE3D8E" w:rsidR="00215648" w:rsidRPr="00DF4928" w:rsidRDefault="00215648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Popis skutkového stavu</w:t>
      </w:r>
    </w:p>
    <w:p w14:paraId="26EC55AB" w14:textId="77777777" w:rsidR="00A97BC9" w:rsidRPr="00DF492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30FC4AE3" w14:textId="6878D814" w:rsidR="007C14F5" w:rsidRPr="00DF4928" w:rsidRDefault="0029068C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Zájemce a obstaravatel</w:t>
      </w:r>
      <w:r w:rsidR="00644091" w:rsidRPr="00DF4928">
        <w:rPr>
          <w:rFonts w:ascii="Calibri" w:hAnsi="Calibri" w:cs="Calibri"/>
          <w:color w:val="auto"/>
          <w:sz w:val="23"/>
          <w:szCs w:val="23"/>
        </w:rPr>
        <w:t>,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644091" w:rsidRPr="00DF4928">
        <w:rPr>
          <w:rFonts w:ascii="Calibri" w:hAnsi="Calibri" w:cs="Calibri"/>
          <w:color w:val="auto"/>
          <w:sz w:val="23"/>
          <w:szCs w:val="23"/>
        </w:rPr>
        <w:t xml:space="preserve">uzavřeli dne 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1.</w:t>
      </w:r>
      <w:r w:rsidR="004D4EC9" w:rsidRPr="00DF4928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6328F1">
        <w:rPr>
          <w:rFonts w:ascii="Calibri" w:hAnsi="Calibri" w:cs="Calibri"/>
          <w:color w:val="auto"/>
          <w:sz w:val="23"/>
          <w:szCs w:val="23"/>
        </w:rPr>
        <w:t>9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.</w:t>
      </w:r>
      <w:r w:rsidR="004D4EC9" w:rsidRPr="00DF4928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20</w:t>
      </w:r>
      <w:r w:rsidR="004D4EC9" w:rsidRPr="00DF4928">
        <w:rPr>
          <w:rFonts w:ascii="Calibri" w:hAnsi="Calibri" w:cs="Calibri"/>
          <w:color w:val="auto"/>
          <w:sz w:val="23"/>
          <w:szCs w:val="23"/>
        </w:rPr>
        <w:t>20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6328F1">
        <w:rPr>
          <w:rFonts w:ascii="Calibri" w:hAnsi="Calibri" w:cs="Calibri"/>
          <w:color w:val="auto"/>
          <w:sz w:val="23"/>
          <w:szCs w:val="23"/>
        </w:rPr>
        <w:t>S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mlouvu o </w:t>
      </w:r>
      <w:r w:rsidR="00494543">
        <w:rPr>
          <w:rFonts w:ascii="Calibri" w:hAnsi="Calibri" w:cs="Calibri"/>
          <w:color w:val="auto"/>
          <w:sz w:val="23"/>
          <w:szCs w:val="23"/>
        </w:rPr>
        <w:t>vedení mzdového účetnictví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(dále jen „</w:t>
      </w:r>
      <w:r w:rsidR="00F809D2">
        <w:rPr>
          <w:rFonts w:ascii="Calibri" w:hAnsi="Calibri" w:cs="Calibri"/>
          <w:color w:val="auto"/>
          <w:sz w:val="23"/>
          <w:szCs w:val="23"/>
        </w:rPr>
        <w:t>s</w:t>
      </w:r>
      <w:r w:rsidR="007C14F5" w:rsidRPr="00F809D2">
        <w:rPr>
          <w:rFonts w:ascii="Calibri" w:hAnsi="Calibri" w:cs="Calibri"/>
          <w:color w:val="auto"/>
          <w:sz w:val="23"/>
          <w:szCs w:val="23"/>
        </w:rPr>
        <w:t>mlouva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“), na základě které</w:t>
      </w:r>
      <w:r w:rsidR="006A339E">
        <w:rPr>
          <w:rFonts w:ascii="Calibri" w:hAnsi="Calibri" w:cs="Calibri"/>
          <w:color w:val="auto"/>
          <w:sz w:val="23"/>
          <w:szCs w:val="23"/>
        </w:rPr>
        <w:t>,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se </w:t>
      </w:r>
      <w:r>
        <w:rPr>
          <w:rFonts w:ascii="Calibri" w:hAnsi="Calibri" w:cs="Calibri"/>
          <w:color w:val="auto"/>
          <w:sz w:val="23"/>
          <w:szCs w:val="23"/>
        </w:rPr>
        <w:t>obstaravatel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zavázal </w:t>
      </w:r>
      <w:r>
        <w:rPr>
          <w:rFonts w:ascii="Calibri" w:hAnsi="Calibri" w:cs="Calibri"/>
          <w:color w:val="auto"/>
          <w:sz w:val="23"/>
          <w:szCs w:val="23"/>
        </w:rPr>
        <w:t>vést pro zájemce mzdové účetnictví a související služby v rozsahu a způsobem stanoveným právními předpisy a vykonávat činnosti vyplývající z platných účetních a souvisejících právních předpisů</w:t>
      </w:r>
      <w:r w:rsidR="00103ABE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a </w:t>
      </w:r>
      <w:r>
        <w:rPr>
          <w:rFonts w:ascii="Calibri" w:hAnsi="Calibri" w:cs="Calibri"/>
          <w:color w:val="auto"/>
          <w:sz w:val="23"/>
          <w:szCs w:val="23"/>
        </w:rPr>
        <w:t>zájemce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se zavázal </w:t>
      </w:r>
      <w:r>
        <w:rPr>
          <w:rFonts w:ascii="Calibri" w:hAnsi="Calibri" w:cs="Calibri"/>
          <w:color w:val="auto"/>
          <w:sz w:val="23"/>
          <w:szCs w:val="23"/>
        </w:rPr>
        <w:t>poskytnout obstaravateli potřebnou součinnost ke splnění jeho povinností dle této smlouvy, plnění od obstaravatele převzít a zaplatit mu dohodnutou odměnu sjednanou v článku III. smlouvy</w:t>
      </w:r>
      <w:r w:rsidR="00103ABE">
        <w:rPr>
          <w:rFonts w:ascii="Calibri" w:hAnsi="Calibri" w:cs="Calibri"/>
          <w:color w:val="auto"/>
          <w:sz w:val="23"/>
          <w:szCs w:val="23"/>
        </w:rPr>
        <w:t>.</w:t>
      </w:r>
    </w:p>
    <w:p w14:paraId="5075F8DD" w14:textId="30974D54" w:rsidR="00AF6E74" w:rsidRPr="00DF4928" w:rsidRDefault="00DF4928" w:rsidP="00AF6E74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Při dodatečné kontrole bylo smluvními stranami zjištěno</w:t>
      </w:r>
      <w:r w:rsidR="00AF6E74" w:rsidRPr="00DF4928">
        <w:rPr>
          <w:rFonts w:asciiTheme="minorHAnsi" w:hAnsiTheme="minorHAnsi"/>
          <w:color w:val="auto"/>
          <w:sz w:val="23"/>
          <w:szCs w:val="23"/>
        </w:rPr>
        <w:t xml:space="preserve">, že </w:t>
      </w:r>
      <w:r w:rsidR="009619A5">
        <w:rPr>
          <w:rFonts w:asciiTheme="minorHAnsi" w:hAnsiTheme="minorHAnsi"/>
          <w:color w:val="auto"/>
          <w:sz w:val="23"/>
          <w:szCs w:val="23"/>
        </w:rPr>
        <w:t>tato smlouva nebyla zveřejněna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v registru smluv, přičemž smluvní strany vycházely v rámci plnění z toho, že </w:t>
      </w:r>
      <w:r w:rsidR="009619A5">
        <w:rPr>
          <w:rFonts w:asciiTheme="minorHAnsi" w:hAnsiTheme="minorHAnsi"/>
          <w:color w:val="auto"/>
          <w:sz w:val="23"/>
          <w:szCs w:val="23"/>
        </w:rPr>
        <w:t>tak bylo učiněno</w:t>
      </w:r>
      <w:r w:rsidRPr="00DF4928">
        <w:rPr>
          <w:rFonts w:asciiTheme="minorHAnsi" w:hAnsiTheme="minorHAnsi"/>
          <w:color w:val="auto"/>
          <w:sz w:val="23"/>
          <w:szCs w:val="23"/>
        </w:rPr>
        <w:t>.</w:t>
      </w:r>
      <w:r w:rsidR="00DE3F00">
        <w:rPr>
          <w:rFonts w:asciiTheme="minorHAnsi" w:hAnsiTheme="minorHAnsi"/>
          <w:color w:val="auto"/>
          <w:sz w:val="23"/>
          <w:szCs w:val="23"/>
        </w:rPr>
        <w:t xml:space="preserve"> Nebyla-li smlouva uveřejněna ve lhůtě tří měsíců ode dne, kdy byla uzavřena, dle § 7 zákona č. 340/2015 Sb., o zvláštních podmínkách účinnosti některých smluv, uveřejňování těchto smluv a o registru smluv platí, že je smlouva zrušena od počátku.</w:t>
      </w:r>
    </w:p>
    <w:p w14:paraId="3D897F5D" w14:textId="4B050C48" w:rsidR="00267563" w:rsidRDefault="00B42EB3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Plnění poskytnutá na základě zrušené </w:t>
      </w:r>
      <w:r w:rsidR="00F809D2">
        <w:rPr>
          <w:rFonts w:asciiTheme="minorHAnsi" w:hAnsiTheme="minorHAnsi"/>
          <w:color w:val="auto"/>
          <w:sz w:val="23"/>
          <w:szCs w:val="23"/>
        </w:rPr>
        <w:t>s</w:t>
      </w:r>
      <w:r w:rsidRPr="00DF4928">
        <w:rPr>
          <w:rFonts w:asciiTheme="minorHAnsi" w:hAnsiTheme="minorHAnsi"/>
          <w:color w:val="auto"/>
          <w:sz w:val="23"/>
          <w:szCs w:val="23"/>
        </w:rPr>
        <w:t>mlouvy jsou podle ustanovení § 2991 odst. 2 zákona č. 89/2012 Sb., občanský zákoník</w:t>
      </w:r>
      <w:r w:rsidR="00B31632" w:rsidRPr="00DF4928">
        <w:rPr>
          <w:rFonts w:asciiTheme="minorHAnsi" w:hAnsiTheme="minorHAnsi"/>
          <w:color w:val="auto"/>
          <w:sz w:val="23"/>
          <w:szCs w:val="23"/>
        </w:rPr>
        <w:t>, bezdůvodným obohacením. Vzhledem k výše uvedeným skutečnostem se smluvní strany zavazují toto bezdůvodné obohacení vypořádat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>, přičemž zároveň mají zájem na zachování vzájemného smluvního vztahu</w:t>
      </w:r>
      <w:r w:rsidR="00B31632" w:rsidRPr="00DF4928">
        <w:rPr>
          <w:rFonts w:asciiTheme="minorHAnsi" w:hAnsiTheme="minorHAnsi"/>
          <w:color w:val="auto"/>
          <w:sz w:val="23"/>
          <w:szCs w:val="23"/>
        </w:rPr>
        <w:t>.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5E1F22" w:rsidRPr="00DF4928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14:paraId="1BB4FB34" w14:textId="0915B397" w:rsidR="0048398E" w:rsidRDefault="0048398E" w:rsidP="0048398E">
      <w:pPr>
        <w:pStyle w:val="Default"/>
        <w:spacing w:after="147" w:line="276" w:lineRule="auto"/>
        <w:jc w:val="both"/>
        <w:rPr>
          <w:rFonts w:asciiTheme="minorHAnsi" w:hAnsiTheme="minorHAnsi"/>
          <w:color w:val="auto"/>
          <w:sz w:val="23"/>
          <w:szCs w:val="23"/>
        </w:rPr>
      </w:pPr>
    </w:p>
    <w:p w14:paraId="20975617" w14:textId="77777777" w:rsidR="0048398E" w:rsidRPr="00DF4928" w:rsidRDefault="0048398E" w:rsidP="0048398E">
      <w:pPr>
        <w:pStyle w:val="Default"/>
        <w:spacing w:after="147" w:line="276" w:lineRule="auto"/>
        <w:jc w:val="both"/>
        <w:rPr>
          <w:rFonts w:asciiTheme="minorHAnsi" w:hAnsiTheme="minorHAnsi"/>
          <w:color w:val="auto"/>
          <w:sz w:val="23"/>
          <w:szCs w:val="23"/>
        </w:rPr>
      </w:pPr>
    </w:p>
    <w:p w14:paraId="09CCC4DA" w14:textId="137B59F1" w:rsidR="00267563" w:rsidRPr="00DF4928" w:rsidRDefault="00B31632" w:rsidP="00B31632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Čl. II.</w:t>
      </w:r>
    </w:p>
    <w:p w14:paraId="6DD8C4D5" w14:textId="539F35DF" w:rsidR="00267563" w:rsidRPr="00DF4928" w:rsidRDefault="00B31632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Vypořádání bezdůvodného obohacení</w:t>
      </w:r>
    </w:p>
    <w:p w14:paraId="1DE2810F" w14:textId="77777777" w:rsidR="00A97BC9" w:rsidRPr="00DF492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0B4EA1E4" w14:textId="1EE9D16A" w:rsidR="00AF6E74" w:rsidRPr="00DF4928" w:rsidRDefault="00AF6E74" w:rsidP="00FB558F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dohodly na vypořádání bezdůvodného obohacení dle čl. I. této dohody tak, že si smluvní strany plnění poskytnuté na základě </w:t>
      </w:r>
      <w:r w:rsidR="00BE2957">
        <w:rPr>
          <w:rFonts w:asciiTheme="minorHAnsi" w:hAnsiTheme="minorHAnsi"/>
          <w:color w:val="auto"/>
          <w:sz w:val="23"/>
          <w:szCs w:val="23"/>
        </w:rPr>
        <w:t>s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mlouvy ponechají, resp. že veškeré </w:t>
      </w:r>
      <w:r w:rsidR="00BE2957">
        <w:rPr>
          <w:rFonts w:asciiTheme="minorHAnsi" w:hAnsiTheme="minorHAnsi"/>
          <w:color w:val="auto"/>
          <w:sz w:val="23"/>
          <w:szCs w:val="23"/>
        </w:rPr>
        <w:t xml:space="preserve">služby </w:t>
      </w:r>
      <w:r w:rsidR="0048398E">
        <w:rPr>
          <w:rFonts w:asciiTheme="minorHAnsi" w:hAnsiTheme="minorHAnsi"/>
          <w:color w:val="auto"/>
          <w:sz w:val="23"/>
          <w:szCs w:val="23"/>
        </w:rPr>
        <w:t>poskytnuté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dle </w:t>
      </w:r>
      <w:r w:rsidR="00BE2957">
        <w:rPr>
          <w:rFonts w:asciiTheme="minorHAnsi" w:hAnsiTheme="minorHAnsi"/>
          <w:color w:val="auto"/>
          <w:sz w:val="23"/>
          <w:szCs w:val="23"/>
        </w:rPr>
        <w:t>s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>mlouvy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, jakož i veškeré úhrady za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> </w:t>
      </w:r>
      <w:r w:rsidR="00BE2957">
        <w:rPr>
          <w:rFonts w:asciiTheme="minorHAnsi" w:hAnsiTheme="minorHAnsi"/>
          <w:color w:val="auto"/>
          <w:sz w:val="23"/>
          <w:szCs w:val="23"/>
        </w:rPr>
        <w:t>služby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 xml:space="preserve"> dle </w:t>
      </w:r>
      <w:r w:rsidR="00BE2957">
        <w:rPr>
          <w:rFonts w:asciiTheme="minorHAnsi" w:hAnsiTheme="minorHAnsi"/>
          <w:color w:val="auto"/>
          <w:sz w:val="23"/>
          <w:szCs w:val="23"/>
        </w:rPr>
        <w:t>s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>mlouvy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,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 byl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y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 poskytnut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y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 po právu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 xml:space="preserve"> a žádná ze smluvních stran nemá nárok na jejich vydání ani poskytnutí náhrady za ně.</w:t>
      </w:r>
    </w:p>
    <w:p w14:paraId="24EB7F89" w14:textId="431C0A63" w:rsidR="0048369B" w:rsidRPr="00DF4928" w:rsidRDefault="0048369B" w:rsidP="00FB558F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dohodly na tom, že 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 xml:space="preserve">na základě této dohody jsou dále vázány obsahem </w:t>
      </w:r>
      <w:r w:rsidR="00BE2957">
        <w:rPr>
          <w:rFonts w:asciiTheme="minorHAnsi" w:hAnsiTheme="minorHAnsi"/>
          <w:color w:val="auto"/>
          <w:sz w:val="23"/>
          <w:szCs w:val="23"/>
        </w:rPr>
        <w:t>s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>mlouvy v celém jejím rozsahu</w:t>
      </w:r>
      <w:r w:rsidR="00BE2957">
        <w:rPr>
          <w:rFonts w:asciiTheme="minorHAnsi" w:hAnsiTheme="minorHAnsi"/>
          <w:color w:val="auto"/>
          <w:sz w:val="23"/>
          <w:szCs w:val="23"/>
        </w:rPr>
        <w:t>.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BE2957">
        <w:rPr>
          <w:rFonts w:asciiTheme="minorHAnsi" w:hAnsiTheme="minorHAnsi"/>
          <w:color w:val="auto"/>
          <w:sz w:val="23"/>
          <w:szCs w:val="23"/>
        </w:rPr>
        <w:t>S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 xml:space="preserve">mluvní strany se tak zavazují dle </w:t>
      </w:r>
      <w:r w:rsidR="00BE2957">
        <w:rPr>
          <w:rFonts w:asciiTheme="minorHAnsi" w:hAnsiTheme="minorHAnsi"/>
          <w:color w:val="auto"/>
          <w:sz w:val="23"/>
          <w:szCs w:val="23"/>
        </w:rPr>
        <w:t>s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>mlouvy nadále postupovat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 xml:space="preserve"> a veškeré závazky z ní vyplývající jsou nadále v platnosti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 xml:space="preserve">. 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>Smlouva je pro vyloučení pochybností přílohou této dohody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 xml:space="preserve"> a je uveřejňována v registru smluv spolu s touto dohodou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 xml:space="preserve">.  </w:t>
      </w:r>
    </w:p>
    <w:p w14:paraId="7F2B957C" w14:textId="54D5B644" w:rsidR="0048369B" w:rsidRPr="00DF4928" w:rsidRDefault="0048369B" w:rsidP="0048369B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Každá ze smluvních stran prohlašuje, že se neobohatila na úkor druhé smluvní strany a jednala v dobré víře.</w:t>
      </w:r>
    </w:p>
    <w:p w14:paraId="0949394A" w14:textId="6C2F2B79" w:rsidR="00A84CB1" w:rsidRPr="00DF4928" w:rsidRDefault="00A84CB1" w:rsidP="00EF6F25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Čl. III.</w:t>
      </w:r>
    </w:p>
    <w:p w14:paraId="4B979244" w14:textId="157DD626" w:rsidR="00D24110" w:rsidRPr="00DF4928" w:rsidRDefault="00D24110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Závěrečná ustanovení</w:t>
      </w:r>
    </w:p>
    <w:p w14:paraId="178D1E0A" w14:textId="77777777" w:rsidR="00A97BC9" w:rsidRPr="00DF492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7C0DA902" w14:textId="3F02B357" w:rsidR="00A84CB1" w:rsidRPr="00DF4928" w:rsidRDefault="00D24110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Vzájemná práva a povinnosti účastníků v této 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 xml:space="preserve">dohodě 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výslovně neupravená se řídí příslušnými </w:t>
      </w:r>
      <w:r w:rsidR="00FB2E33" w:rsidRPr="00DF4928">
        <w:rPr>
          <w:rFonts w:asciiTheme="minorHAnsi" w:hAnsiTheme="minorHAnsi"/>
          <w:color w:val="auto"/>
          <w:sz w:val="23"/>
          <w:szCs w:val="23"/>
        </w:rPr>
        <w:t>právními předpisy, zejména občanským zákoníkem.</w:t>
      </w:r>
    </w:p>
    <w:p w14:paraId="1328AB0C" w14:textId="3AE3D6AC" w:rsidR="00FB2E33" w:rsidRPr="00DF4928" w:rsidRDefault="00FB2E33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Tato dohoda nabývá účinnosti dnem uveřejnění v registru smluv dle zákona č.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DF4928">
        <w:rPr>
          <w:rFonts w:asciiTheme="minorHAnsi" w:hAnsiTheme="minorHAnsi"/>
          <w:color w:val="auto"/>
          <w:sz w:val="23"/>
          <w:szCs w:val="23"/>
        </w:rPr>
        <w:t>340/2015 Sb., o zvláštních podmínkách účinnosti některých smluv</w:t>
      </w:r>
      <w:r w:rsidR="00327758" w:rsidRPr="00DF4928">
        <w:rPr>
          <w:rFonts w:asciiTheme="minorHAnsi" w:hAnsiTheme="minorHAnsi"/>
          <w:color w:val="auto"/>
          <w:sz w:val="23"/>
          <w:szCs w:val="23"/>
        </w:rPr>
        <w:t>, uveřejnění těchto smluv a o registru smluv (zákon o registru smluv), ve znění pozdějších předpisů.</w:t>
      </w:r>
    </w:p>
    <w:p w14:paraId="3CDBC609" w14:textId="3C7B8AEA" w:rsidR="00327758" w:rsidRPr="00DF4928" w:rsidRDefault="00327758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>dohodly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, že uveřejnění v souladu se zákonem o registru smluv provede </w:t>
      </w:r>
      <w:r w:rsidR="003D69A2">
        <w:rPr>
          <w:rFonts w:asciiTheme="minorHAnsi" w:hAnsiTheme="minorHAnsi"/>
          <w:color w:val="auto"/>
          <w:sz w:val="23"/>
          <w:szCs w:val="23"/>
        </w:rPr>
        <w:t>Školní jídelna</w:t>
      </w:r>
      <w:r w:rsidR="007F6C74" w:rsidRPr="00DF4928">
        <w:rPr>
          <w:rFonts w:asciiTheme="minorHAnsi" w:hAnsiTheme="minorHAnsi"/>
          <w:color w:val="auto"/>
          <w:sz w:val="23"/>
          <w:szCs w:val="23"/>
        </w:rPr>
        <w:t xml:space="preserve"> Mnichovo Hradiště, </w:t>
      </w:r>
      <w:r w:rsidR="00A37ED3">
        <w:rPr>
          <w:rFonts w:asciiTheme="minorHAnsi" w:hAnsiTheme="minorHAnsi"/>
          <w:color w:val="auto"/>
          <w:sz w:val="23"/>
          <w:szCs w:val="23"/>
        </w:rPr>
        <w:t xml:space="preserve">příspěvková organizace 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a to do 30 dnů od uzavření 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>této dohody</w:t>
      </w:r>
      <w:r w:rsidRPr="00DF4928">
        <w:rPr>
          <w:rFonts w:asciiTheme="minorHAnsi" w:hAnsiTheme="minorHAnsi"/>
          <w:color w:val="auto"/>
          <w:sz w:val="23"/>
          <w:szCs w:val="23"/>
        </w:rPr>
        <w:t>.</w:t>
      </w:r>
    </w:p>
    <w:p w14:paraId="792E076A" w14:textId="74F3EAE8" w:rsidR="00A84CB1" w:rsidRPr="00DF4928" w:rsidRDefault="00A84CB1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Tato dohoda se vyhotovuje ve dvou stejnopisech s platností originálu, přičemž každá smluvní strana obdrží po jednom vyhotovení. </w:t>
      </w:r>
    </w:p>
    <w:p w14:paraId="57EE3438" w14:textId="52835124" w:rsidR="00327758" w:rsidRDefault="00327758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Dohoda je uzavřena k datu podpisu poslední smluvní strany a nabývá účinnosti</w:t>
      </w:r>
      <w:r w:rsidR="00F436BC" w:rsidRPr="00DF4928">
        <w:rPr>
          <w:rFonts w:asciiTheme="minorHAnsi" w:hAnsiTheme="minorHAnsi"/>
          <w:color w:val="auto"/>
          <w:sz w:val="23"/>
          <w:szCs w:val="23"/>
        </w:rPr>
        <w:t xml:space="preserve"> dnem uveřejnění v registru smluv.</w:t>
      </w:r>
    </w:p>
    <w:p w14:paraId="12CCB37D" w14:textId="77777777" w:rsidR="00FE2903" w:rsidRPr="00DF4928" w:rsidRDefault="00FE2903" w:rsidP="00FE2903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color w:val="auto"/>
          <w:sz w:val="23"/>
          <w:szCs w:val="23"/>
        </w:rPr>
      </w:pPr>
    </w:p>
    <w:p w14:paraId="75DF55F4" w14:textId="0BED1EA3" w:rsidR="00A84CB1" w:rsidRPr="00DF4928" w:rsidRDefault="002C1B66" w:rsidP="00EF6F25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V</w:t>
      </w:r>
      <w:r w:rsidR="0048398E">
        <w:rPr>
          <w:rFonts w:asciiTheme="minorHAnsi" w:hAnsiTheme="minorHAnsi"/>
          <w:color w:val="auto"/>
          <w:sz w:val="23"/>
          <w:szCs w:val="23"/>
        </w:rPr>
        <w:t> Mnichově Hradišti</w:t>
      </w:r>
      <w:r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FE2903">
        <w:rPr>
          <w:rFonts w:asciiTheme="minorHAnsi" w:hAnsiTheme="minorHAnsi"/>
          <w:color w:val="auto"/>
          <w:sz w:val="23"/>
          <w:szCs w:val="23"/>
        </w:rPr>
        <w:t>dne</w:t>
      </w:r>
      <w:r w:rsidR="00C31A94">
        <w:rPr>
          <w:rFonts w:asciiTheme="minorHAnsi" w:hAnsiTheme="minorHAnsi"/>
          <w:color w:val="auto"/>
          <w:sz w:val="23"/>
          <w:szCs w:val="23"/>
        </w:rPr>
        <w:t xml:space="preserve"> 16.5.2022</w:t>
      </w:r>
      <w:r w:rsidR="00FE2903">
        <w:rPr>
          <w:rFonts w:asciiTheme="minorHAnsi" w:hAnsiTheme="minorHAnsi"/>
          <w:color w:val="auto"/>
          <w:sz w:val="23"/>
          <w:szCs w:val="23"/>
        </w:rPr>
        <w:t xml:space="preserve">                                                 V Mnichově Hradišti dne</w:t>
      </w:r>
      <w:r w:rsidR="00C31A94">
        <w:rPr>
          <w:rFonts w:asciiTheme="minorHAnsi" w:hAnsiTheme="minorHAnsi"/>
          <w:color w:val="auto"/>
          <w:sz w:val="23"/>
          <w:szCs w:val="23"/>
        </w:rPr>
        <w:t xml:space="preserve"> 16.5.2022</w:t>
      </w:r>
    </w:p>
    <w:p w14:paraId="2BDE3041" w14:textId="77777777" w:rsidR="00BA6BBA" w:rsidRPr="00DF4928" w:rsidRDefault="00BA6BBA" w:rsidP="008C6841">
      <w:pPr>
        <w:rPr>
          <w:rFonts w:ascii="Calibri" w:hAnsi="Calibri"/>
          <w:b/>
          <w:szCs w:val="24"/>
        </w:rPr>
      </w:pPr>
    </w:p>
    <w:p w14:paraId="16DB1522" w14:textId="77777777" w:rsidR="008C6841" w:rsidRPr="00DF4928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 w:rsidRPr="00DF4928">
        <w:rPr>
          <w:rFonts w:ascii="Calibri" w:hAnsi="Calibri"/>
          <w:szCs w:val="24"/>
        </w:rPr>
        <w:t>…………………………………………..</w:t>
      </w:r>
      <w:r w:rsidRPr="00DF4928">
        <w:rPr>
          <w:rFonts w:ascii="Calibri" w:hAnsi="Calibri"/>
          <w:szCs w:val="24"/>
        </w:rPr>
        <w:tab/>
      </w:r>
      <w:r w:rsidRPr="00DF4928">
        <w:rPr>
          <w:rFonts w:ascii="Calibri" w:hAnsi="Calibri"/>
          <w:szCs w:val="24"/>
        </w:rPr>
        <w:tab/>
        <w:t>…………………………………………..</w:t>
      </w:r>
    </w:p>
    <w:p w14:paraId="14A70116" w14:textId="29EE9DF2" w:rsidR="00BA6BBA" w:rsidRPr="00DF4928" w:rsidRDefault="008C6841" w:rsidP="0050174A">
      <w:pPr>
        <w:tabs>
          <w:tab w:val="center" w:pos="2608"/>
          <w:tab w:val="left" w:pos="6630"/>
          <w:tab w:val="center" w:pos="7881"/>
        </w:tabs>
        <w:spacing w:after="0"/>
        <w:rPr>
          <w:rFonts w:ascii="Calibri" w:hAnsi="Calibri"/>
          <w:szCs w:val="24"/>
        </w:rPr>
      </w:pPr>
      <w:r w:rsidRPr="00DF4928">
        <w:rPr>
          <w:rFonts w:ascii="Calibri" w:hAnsi="Calibri"/>
          <w:szCs w:val="24"/>
        </w:rPr>
        <w:t xml:space="preserve">                </w:t>
      </w:r>
      <w:r w:rsidR="0048398E">
        <w:rPr>
          <w:rFonts w:ascii="Calibri" w:hAnsi="Calibri"/>
          <w:szCs w:val="24"/>
        </w:rPr>
        <w:t>zájemce</w:t>
      </w:r>
      <w:r w:rsidR="00BA6BBA" w:rsidRPr="00DF4928">
        <w:rPr>
          <w:rFonts w:ascii="Calibri" w:hAnsi="Calibri"/>
          <w:szCs w:val="24"/>
        </w:rPr>
        <w:tab/>
      </w:r>
      <w:r w:rsidRPr="00DF4928">
        <w:rPr>
          <w:rFonts w:ascii="Calibri" w:hAnsi="Calibri"/>
          <w:szCs w:val="24"/>
        </w:rPr>
        <w:tab/>
      </w:r>
      <w:r w:rsidR="0050174A">
        <w:rPr>
          <w:rFonts w:ascii="Calibri" w:hAnsi="Calibri"/>
          <w:szCs w:val="24"/>
        </w:rPr>
        <w:t xml:space="preserve">         </w:t>
      </w:r>
      <w:r w:rsidR="0048398E">
        <w:rPr>
          <w:rFonts w:ascii="Calibri" w:hAnsi="Calibri"/>
          <w:szCs w:val="24"/>
        </w:rPr>
        <w:t>obstaravatel</w:t>
      </w:r>
    </w:p>
    <w:p w14:paraId="7991FD66" w14:textId="470ADE3A" w:rsidR="00BC620C" w:rsidRPr="00DF4928" w:rsidRDefault="008C6841" w:rsidP="004F4D21">
      <w:pPr>
        <w:tabs>
          <w:tab w:val="center" w:pos="2608"/>
          <w:tab w:val="left" w:pos="3495"/>
          <w:tab w:val="left" w:pos="6630"/>
        </w:tabs>
        <w:spacing w:after="0"/>
        <w:rPr>
          <w:rFonts w:ascii="Calibri" w:hAnsi="Calibri"/>
          <w:szCs w:val="24"/>
        </w:rPr>
      </w:pPr>
      <w:r w:rsidRPr="00DF4928">
        <w:rPr>
          <w:rFonts w:ascii="Calibri" w:hAnsi="Calibri"/>
          <w:szCs w:val="24"/>
        </w:rPr>
        <w:t xml:space="preserve"> </w:t>
      </w:r>
      <w:r w:rsidR="0050174A">
        <w:rPr>
          <w:rFonts w:ascii="Calibri" w:hAnsi="Calibri"/>
          <w:szCs w:val="24"/>
        </w:rPr>
        <w:t>Š</w:t>
      </w:r>
      <w:r w:rsidR="00B662D9" w:rsidRPr="00DF4928">
        <w:rPr>
          <w:rFonts w:ascii="Calibri" w:hAnsi="Calibri"/>
          <w:szCs w:val="24"/>
        </w:rPr>
        <w:t>kolní jídelna Mnichovo Hradiště</w:t>
      </w:r>
      <w:r w:rsidR="0048398E">
        <w:rPr>
          <w:rFonts w:ascii="Calibri" w:hAnsi="Calibri"/>
          <w:szCs w:val="24"/>
        </w:rPr>
        <w:t xml:space="preserve">           </w:t>
      </w:r>
      <w:r w:rsidR="004F4D21">
        <w:rPr>
          <w:rFonts w:ascii="Calibri" w:hAnsi="Calibri"/>
          <w:szCs w:val="24"/>
        </w:rPr>
        <w:tab/>
        <w:t>Hana Duňková Žižková</w:t>
      </w:r>
    </w:p>
    <w:p w14:paraId="65E16DED" w14:textId="155E844A" w:rsidR="00BA6BBA" w:rsidRPr="00DF4928" w:rsidRDefault="0050174A" w:rsidP="008C6841">
      <w:pPr>
        <w:tabs>
          <w:tab w:val="center" w:pos="2608"/>
          <w:tab w:val="center" w:pos="7881"/>
        </w:tabs>
        <w:spacing w:after="0"/>
        <w:rPr>
          <w:szCs w:val="24"/>
        </w:rPr>
      </w:pPr>
      <w:r>
        <w:rPr>
          <w:rFonts w:ascii="Calibri" w:hAnsi="Calibri"/>
          <w:szCs w:val="24"/>
        </w:rPr>
        <w:t xml:space="preserve">    </w:t>
      </w:r>
      <w:r w:rsidR="008C6841" w:rsidRPr="00DF4928">
        <w:rPr>
          <w:rFonts w:ascii="Calibri" w:hAnsi="Calibri"/>
          <w:szCs w:val="24"/>
        </w:rPr>
        <w:t xml:space="preserve">      </w:t>
      </w:r>
      <w:r>
        <w:rPr>
          <w:rFonts w:ascii="Calibri" w:hAnsi="Calibri"/>
          <w:szCs w:val="24"/>
        </w:rPr>
        <w:t>příspěvková organizace</w:t>
      </w:r>
      <w:r w:rsidR="008C6841" w:rsidRPr="00DF4928">
        <w:rPr>
          <w:rFonts w:ascii="Calibri" w:hAnsi="Calibri"/>
          <w:szCs w:val="24"/>
        </w:rPr>
        <w:t xml:space="preserve">                                                       </w:t>
      </w:r>
      <w:r w:rsidR="00BC620C" w:rsidRPr="00DF4928">
        <w:rPr>
          <w:rFonts w:ascii="Calibri" w:hAnsi="Calibri"/>
          <w:szCs w:val="24"/>
        </w:rPr>
        <w:t xml:space="preserve"> </w:t>
      </w:r>
    </w:p>
    <w:p w14:paraId="1442FB23" w14:textId="77777777" w:rsidR="00BA6BBA" w:rsidRPr="00DF4928" w:rsidRDefault="00BA6BBA" w:rsidP="008C6841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sectPr w:rsidR="00BA6BBA" w:rsidRPr="00DF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A09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C946757"/>
    <w:multiLevelType w:val="hybridMultilevel"/>
    <w:tmpl w:val="98AA1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0B17"/>
    <w:multiLevelType w:val="hybridMultilevel"/>
    <w:tmpl w:val="624E9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15D5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A2A01"/>
    <w:multiLevelType w:val="hybridMultilevel"/>
    <w:tmpl w:val="A11C4192"/>
    <w:lvl w:ilvl="0" w:tplc="2B0CC1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CF9504C"/>
    <w:multiLevelType w:val="hybridMultilevel"/>
    <w:tmpl w:val="B908F842"/>
    <w:lvl w:ilvl="0" w:tplc="C5F838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1072"/>
    <w:multiLevelType w:val="hybridMultilevel"/>
    <w:tmpl w:val="13A0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C2B4115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7336">
    <w:abstractNumId w:val="3"/>
  </w:num>
  <w:num w:numId="2" w16cid:durableId="1403991278">
    <w:abstractNumId w:val="4"/>
  </w:num>
  <w:num w:numId="3" w16cid:durableId="1139692997">
    <w:abstractNumId w:val="9"/>
  </w:num>
  <w:num w:numId="4" w16cid:durableId="1350060047">
    <w:abstractNumId w:val="0"/>
  </w:num>
  <w:num w:numId="5" w16cid:durableId="1368146063">
    <w:abstractNumId w:val="7"/>
  </w:num>
  <w:num w:numId="6" w16cid:durableId="1462571911">
    <w:abstractNumId w:val="5"/>
  </w:num>
  <w:num w:numId="7" w16cid:durableId="790519802">
    <w:abstractNumId w:val="6"/>
  </w:num>
  <w:num w:numId="8" w16cid:durableId="944187621">
    <w:abstractNumId w:val="2"/>
  </w:num>
  <w:num w:numId="9" w16cid:durableId="1220628448">
    <w:abstractNumId w:val="8"/>
  </w:num>
  <w:num w:numId="10" w16cid:durableId="201726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B1"/>
    <w:rsid w:val="00052C4F"/>
    <w:rsid w:val="000F7B9F"/>
    <w:rsid w:val="00103ABE"/>
    <w:rsid w:val="00110481"/>
    <w:rsid w:val="00203450"/>
    <w:rsid w:val="00215648"/>
    <w:rsid w:val="002351EA"/>
    <w:rsid w:val="00244F30"/>
    <w:rsid w:val="002604B6"/>
    <w:rsid w:val="00263B31"/>
    <w:rsid w:val="00267563"/>
    <w:rsid w:val="002676D4"/>
    <w:rsid w:val="00272246"/>
    <w:rsid w:val="002863C1"/>
    <w:rsid w:val="0029068C"/>
    <w:rsid w:val="002C1B66"/>
    <w:rsid w:val="00326949"/>
    <w:rsid w:val="00327758"/>
    <w:rsid w:val="00370863"/>
    <w:rsid w:val="0039042F"/>
    <w:rsid w:val="00397BEE"/>
    <w:rsid w:val="003D69A2"/>
    <w:rsid w:val="003F483F"/>
    <w:rsid w:val="003F685E"/>
    <w:rsid w:val="00440CB2"/>
    <w:rsid w:val="00443A11"/>
    <w:rsid w:val="00446DC3"/>
    <w:rsid w:val="0048369B"/>
    <w:rsid w:val="0048398E"/>
    <w:rsid w:val="00494543"/>
    <w:rsid w:val="004A4680"/>
    <w:rsid w:val="004D1FC6"/>
    <w:rsid w:val="004D4EC9"/>
    <w:rsid w:val="004F4D21"/>
    <w:rsid w:val="0050174A"/>
    <w:rsid w:val="005B301A"/>
    <w:rsid w:val="005D1FF5"/>
    <w:rsid w:val="005D75F2"/>
    <w:rsid w:val="005E1F22"/>
    <w:rsid w:val="005E2AAB"/>
    <w:rsid w:val="00604FC8"/>
    <w:rsid w:val="00614DAD"/>
    <w:rsid w:val="00622393"/>
    <w:rsid w:val="006328F1"/>
    <w:rsid w:val="006364F2"/>
    <w:rsid w:val="00637CBA"/>
    <w:rsid w:val="00644091"/>
    <w:rsid w:val="006A339E"/>
    <w:rsid w:val="006A4259"/>
    <w:rsid w:val="00770849"/>
    <w:rsid w:val="007C14F5"/>
    <w:rsid w:val="007F6C74"/>
    <w:rsid w:val="00831A46"/>
    <w:rsid w:val="008623DC"/>
    <w:rsid w:val="008C61F7"/>
    <w:rsid w:val="008C6841"/>
    <w:rsid w:val="009619A5"/>
    <w:rsid w:val="00962B60"/>
    <w:rsid w:val="0096669A"/>
    <w:rsid w:val="00A27313"/>
    <w:rsid w:val="00A37ED3"/>
    <w:rsid w:val="00A84CB1"/>
    <w:rsid w:val="00A94191"/>
    <w:rsid w:val="00A97BC9"/>
    <w:rsid w:val="00AF6E74"/>
    <w:rsid w:val="00B31632"/>
    <w:rsid w:val="00B42EB3"/>
    <w:rsid w:val="00B662D9"/>
    <w:rsid w:val="00B72554"/>
    <w:rsid w:val="00BA6BBA"/>
    <w:rsid w:val="00BC620C"/>
    <w:rsid w:val="00BC6705"/>
    <w:rsid w:val="00BE1843"/>
    <w:rsid w:val="00BE2957"/>
    <w:rsid w:val="00C31A94"/>
    <w:rsid w:val="00C50A4F"/>
    <w:rsid w:val="00CD7AA4"/>
    <w:rsid w:val="00D24110"/>
    <w:rsid w:val="00D64C7E"/>
    <w:rsid w:val="00DA4DFA"/>
    <w:rsid w:val="00DB33A1"/>
    <w:rsid w:val="00DE3825"/>
    <w:rsid w:val="00DE3F00"/>
    <w:rsid w:val="00DF048B"/>
    <w:rsid w:val="00DF4928"/>
    <w:rsid w:val="00E70F61"/>
    <w:rsid w:val="00E84C80"/>
    <w:rsid w:val="00EE1E0D"/>
    <w:rsid w:val="00EF6F25"/>
    <w:rsid w:val="00F25E9F"/>
    <w:rsid w:val="00F357B4"/>
    <w:rsid w:val="00F436BC"/>
    <w:rsid w:val="00F52A57"/>
    <w:rsid w:val="00F809D2"/>
    <w:rsid w:val="00FB0D7F"/>
    <w:rsid w:val="00FB2E33"/>
    <w:rsid w:val="00FB558F"/>
    <w:rsid w:val="00FD1A8F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C930"/>
  <w15:docId w15:val="{1B44D3C1-20F0-4E56-A5B4-A138948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A4680"/>
    <w:pPr>
      <w:keepNext/>
      <w:numPr>
        <w:numId w:val="10"/>
      </w:numPr>
      <w:spacing w:before="360" w:after="60" w:line="240" w:lineRule="auto"/>
      <w:ind w:left="431" w:hanging="431"/>
      <w:jc w:val="both"/>
      <w:outlineLvl w:val="0"/>
    </w:pPr>
    <w:rPr>
      <w:rFonts w:ascii="Arial Narrow" w:eastAsia="Times New Roman" w:hAnsi="Arial Narrow" w:cs="Times New Roman"/>
      <w:b/>
      <w:caps/>
      <w:kern w:val="28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A4680"/>
    <w:pPr>
      <w:keepNext/>
      <w:numPr>
        <w:ilvl w:val="1"/>
        <w:numId w:val="10"/>
      </w:numPr>
      <w:spacing w:before="240" w:after="60" w:line="240" w:lineRule="auto"/>
      <w:ind w:left="578" w:hanging="578"/>
      <w:jc w:val="both"/>
      <w:outlineLvl w:val="1"/>
    </w:pPr>
    <w:rPr>
      <w:rFonts w:ascii="Arial Narrow" w:eastAsia="Times New Roman" w:hAnsi="Arial Narro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A4680"/>
    <w:pPr>
      <w:keepNext/>
      <w:numPr>
        <w:ilvl w:val="2"/>
        <w:numId w:val="10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4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6BBA"/>
    <w:pPr>
      <w:ind w:left="720"/>
      <w:contextualSpacing/>
    </w:pPr>
  </w:style>
  <w:style w:type="paragraph" w:styleId="Revize">
    <w:name w:val="Revision"/>
    <w:hidden/>
    <w:uiPriority w:val="99"/>
    <w:semiHidden/>
    <w:rsid w:val="00446D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7C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7CB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4A4680"/>
    <w:rPr>
      <w:rFonts w:ascii="Arial Narrow" w:eastAsia="Times New Roman" w:hAnsi="Arial Narrow" w:cs="Times New Roman"/>
      <w:b/>
      <w:caps/>
      <w:kern w:val="28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A4680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A4680"/>
    <w:rPr>
      <w:rFonts w:ascii="Arial Narrow" w:eastAsia="Times New Roman" w:hAnsi="Arial Narrow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Kroupová Monika</cp:lastModifiedBy>
  <cp:revision>12</cp:revision>
  <cp:lastPrinted>2022-04-28T07:57:00Z</cp:lastPrinted>
  <dcterms:created xsi:type="dcterms:W3CDTF">2022-03-11T09:05:00Z</dcterms:created>
  <dcterms:modified xsi:type="dcterms:W3CDTF">2022-05-24T06:05:00Z</dcterms:modified>
</cp:coreProperties>
</file>