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1AD4" w14:textId="77777777" w:rsidR="006E02F8" w:rsidRDefault="00985297">
      <w:pPr>
        <w:pStyle w:val="Bodytext30"/>
        <w:framePr w:wrap="none" w:vAnchor="page" w:hAnchor="page" w:x="1478" w:y="576"/>
        <w:shd w:val="clear" w:color="auto" w:fill="auto"/>
        <w:spacing w:after="0"/>
        <w:ind w:left="160"/>
      </w:pPr>
      <w:r>
        <w:rPr>
          <w:rStyle w:val="Bodytext3SmallCaps"/>
          <w:b/>
          <w:bCs/>
        </w:rPr>
        <w:t>Legal Crew</w:t>
      </w:r>
    </w:p>
    <w:p w14:paraId="28AC1AD5" w14:textId="77777777" w:rsidR="006E02F8" w:rsidRDefault="00985297">
      <w:pPr>
        <w:pStyle w:val="Heading10"/>
        <w:framePr w:w="9158" w:h="326" w:hRule="exact" w:wrap="none" w:vAnchor="page" w:hAnchor="page" w:x="1478" w:y="1291"/>
        <w:shd w:val="clear" w:color="auto" w:fill="auto"/>
        <w:spacing w:before="0" w:after="0"/>
      </w:pPr>
      <w:bookmarkStart w:id="0" w:name="bookmark0"/>
      <w:r>
        <w:t>Smlouva o nájmu movité věci</w:t>
      </w:r>
      <w:bookmarkEnd w:id="0"/>
    </w:p>
    <w:p w14:paraId="28AC1AD6" w14:textId="77777777" w:rsidR="006E02F8" w:rsidRDefault="00985297">
      <w:pPr>
        <w:pStyle w:val="Heading20"/>
        <w:framePr w:w="9158" w:h="1692" w:hRule="exact" w:wrap="none" w:vAnchor="page" w:hAnchor="page" w:x="1478" w:y="2041"/>
        <w:shd w:val="clear" w:color="auto" w:fill="auto"/>
        <w:spacing w:before="0" w:after="78"/>
        <w:ind w:left="600" w:hanging="600"/>
      </w:pPr>
      <w:bookmarkStart w:id="1" w:name="bookmark1"/>
      <w:r>
        <w:t>Smluvní strany</w:t>
      </w:r>
      <w:bookmarkEnd w:id="1"/>
    </w:p>
    <w:p w14:paraId="28AC1AD7" w14:textId="5FBC171A" w:rsidR="006E02F8" w:rsidRDefault="00985297">
      <w:pPr>
        <w:pStyle w:val="Heading20"/>
        <w:framePr w:w="9158" w:h="1692" w:hRule="exact" w:wrap="none" w:vAnchor="page" w:hAnchor="page" w:x="1478" w:y="2041"/>
        <w:shd w:val="clear" w:color="auto" w:fill="auto"/>
        <w:spacing w:before="0" w:after="0" w:line="264" w:lineRule="exact"/>
        <w:ind w:left="600" w:hanging="600"/>
      </w:pPr>
      <w:bookmarkStart w:id="2" w:name="bookmark2"/>
      <w:r>
        <w:t>1. Hudební divadlo v Karl</w:t>
      </w:r>
      <w:r w:rsidR="00F16691">
        <w:t>í</w:t>
      </w:r>
      <w:r>
        <w:t>ně, příspěvková organizace</w:t>
      </w:r>
      <w:bookmarkEnd w:id="2"/>
    </w:p>
    <w:p w14:paraId="28AC1AD8" w14:textId="77777777" w:rsidR="006E02F8" w:rsidRDefault="00985297">
      <w:pPr>
        <w:pStyle w:val="Bodytext20"/>
        <w:framePr w:w="9158" w:h="1692" w:hRule="exact" w:wrap="none" w:vAnchor="page" w:hAnchor="page" w:x="1478" w:y="2041"/>
        <w:shd w:val="clear" w:color="auto" w:fill="auto"/>
        <w:ind w:firstLine="600"/>
      </w:pPr>
      <w:r>
        <w:t>IČ: 00064335</w:t>
      </w:r>
    </w:p>
    <w:p w14:paraId="28AC1AD9" w14:textId="4AFA760A" w:rsidR="006E02F8" w:rsidRDefault="00985297">
      <w:pPr>
        <w:pStyle w:val="Bodytext20"/>
        <w:framePr w:w="9158" w:h="1692" w:hRule="exact" w:wrap="none" w:vAnchor="page" w:hAnchor="page" w:x="1478" w:y="2041"/>
        <w:shd w:val="clear" w:color="auto" w:fill="auto"/>
        <w:ind w:left="600" w:right="3960" w:firstLine="0"/>
      </w:pPr>
      <w:r>
        <w:t xml:space="preserve">se sídlem Praha 8, Křižíkova 283/10, PSČ: 186 17, zastoupení: Bc. Jan Lepša, technický ředitel divadla </w:t>
      </w:r>
      <w:r w:rsidRPr="00F16691">
        <w:rPr>
          <w:rStyle w:val="Bodytext2Bold"/>
          <w:b w:val="0"/>
        </w:rPr>
        <w:t>(„</w:t>
      </w:r>
      <w:r>
        <w:rPr>
          <w:rStyle w:val="Bodytext2Bold"/>
        </w:rPr>
        <w:t>Pronajímatel</w:t>
      </w:r>
      <w:r w:rsidR="00F16691" w:rsidRPr="00F16691">
        <w:rPr>
          <w:rStyle w:val="Bodytext2Bold"/>
          <w:b w:val="0"/>
        </w:rPr>
        <w:t>“</w:t>
      </w:r>
      <w:r w:rsidRPr="00F16691">
        <w:rPr>
          <w:rStyle w:val="Bodytext2Bold"/>
          <w:b w:val="0"/>
        </w:rPr>
        <w:t>)</w:t>
      </w:r>
    </w:p>
    <w:p w14:paraId="28AC1ADA" w14:textId="77777777" w:rsidR="006E02F8" w:rsidRDefault="00985297">
      <w:pPr>
        <w:pStyle w:val="Heading20"/>
        <w:framePr w:w="9158" w:h="4746" w:hRule="exact" w:wrap="none" w:vAnchor="page" w:hAnchor="page" w:x="1478" w:y="4193"/>
        <w:shd w:val="clear" w:color="auto" w:fill="auto"/>
        <w:spacing w:before="0" w:after="0" w:line="264" w:lineRule="exact"/>
        <w:ind w:left="600" w:hanging="600"/>
      </w:pPr>
      <w:bookmarkStart w:id="3" w:name="bookmark3"/>
      <w:r>
        <w:t xml:space="preserve">2. Agentura </w:t>
      </w:r>
      <w:r>
        <w:t>DIVINUS Kateřiny Brožové s.r.o.</w:t>
      </w:r>
      <w:bookmarkEnd w:id="3"/>
    </w:p>
    <w:p w14:paraId="28AC1ADB" w14:textId="77777777" w:rsidR="006E02F8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ind w:firstLine="600"/>
      </w:pPr>
      <w:r>
        <w:t>IČ:09851925</w:t>
      </w:r>
    </w:p>
    <w:p w14:paraId="639A7FC1" w14:textId="77777777" w:rsidR="00F16691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ind w:left="600" w:right="3960" w:firstLine="0"/>
      </w:pPr>
      <w:r>
        <w:t xml:space="preserve">se sídlem: K Rybníku 401, 252 42 Jesenice </w:t>
      </w:r>
    </w:p>
    <w:p w14:paraId="25B6FA46" w14:textId="77777777" w:rsidR="00F16691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ind w:left="600" w:right="3960" w:firstLine="0"/>
        <w:rPr>
          <w:rStyle w:val="Bodytext21"/>
          <w:u w:val="none"/>
        </w:rPr>
      </w:pPr>
      <w:r>
        <w:t xml:space="preserve">e-mail: </w:t>
      </w:r>
      <w:hyperlink r:id="rId7" w:history="1">
        <w:r>
          <w:rPr>
            <w:rStyle w:val="Bodytext21"/>
          </w:rPr>
          <w:t>aqentura.divinus@qmail.com</w:t>
        </w:r>
      </w:hyperlink>
      <w:r w:rsidR="00F16691">
        <w:rPr>
          <w:rStyle w:val="Bodytext21"/>
          <w:u w:val="none"/>
        </w:rPr>
        <w:t xml:space="preserve"> </w:t>
      </w:r>
    </w:p>
    <w:p w14:paraId="28AC1ADC" w14:textId="78CB6890" w:rsidR="006E02F8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ind w:left="600" w:right="3960" w:firstLine="0"/>
      </w:pPr>
      <w:r>
        <w:t xml:space="preserve">zastoupení: Kateřina Brožová, jednatelka </w:t>
      </w:r>
      <w:r w:rsidR="00F16691">
        <w:t xml:space="preserve">       </w:t>
      </w:r>
      <w:r w:rsidRPr="00F16691">
        <w:rPr>
          <w:rStyle w:val="Bodytext2Bold"/>
          <w:b w:val="0"/>
        </w:rPr>
        <w:t>(„</w:t>
      </w:r>
      <w:r>
        <w:rPr>
          <w:rStyle w:val="Bodytext2Bold"/>
        </w:rPr>
        <w:t>Nájemce</w:t>
      </w:r>
      <w:r w:rsidRPr="00F16691">
        <w:rPr>
          <w:rStyle w:val="Bodytext2Bold"/>
          <w:b w:val="0"/>
        </w:rPr>
        <w:t>")</w:t>
      </w:r>
    </w:p>
    <w:p w14:paraId="20F1E22D" w14:textId="77777777" w:rsidR="00F16691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spacing w:line="619" w:lineRule="exact"/>
        <w:ind w:firstLine="600"/>
        <w:rPr>
          <w:rStyle w:val="Bodytext2Bold"/>
        </w:rPr>
      </w:pPr>
      <w:r>
        <w:t>(Pronajímatel a Nájemce dále jen j</w:t>
      </w:r>
      <w:r>
        <w:t xml:space="preserve">ako </w:t>
      </w:r>
      <w:r w:rsidRPr="00F16691">
        <w:rPr>
          <w:rStyle w:val="Bodytext2Bold"/>
          <w:b w:val="0"/>
        </w:rPr>
        <w:t>„</w:t>
      </w:r>
      <w:r>
        <w:rPr>
          <w:rStyle w:val="Bodytext2Bold"/>
        </w:rPr>
        <w:t>Strany</w:t>
      </w:r>
      <w:r w:rsidRPr="00F16691">
        <w:rPr>
          <w:rStyle w:val="Bodytext2Bold"/>
          <w:b w:val="0"/>
        </w:rPr>
        <w:t>"</w:t>
      </w:r>
      <w:r>
        <w:rPr>
          <w:rStyle w:val="Bodytext2Bold"/>
        </w:rPr>
        <w:t xml:space="preserve"> </w:t>
      </w:r>
      <w:r>
        <w:t xml:space="preserve">nebo každý samostatně jako </w:t>
      </w:r>
      <w:r w:rsidRPr="00F16691">
        <w:rPr>
          <w:rStyle w:val="Bodytext2Bold"/>
          <w:b w:val="0"/>
        </w:rPr>
        <w:t>„</w:t>
      </w:r>
      <w:r>
        <w:rPr>
          <w:rStyle w:val="Bodytext2Bold"/>
        </w:rPr>
        <w:t>Strana</w:t>
      </w:r>
      <w:r w:rsidRPr="00F16691">
        <w:rPr>
          <w:rStyle w:val="Bodytext2Bold"/>
          <w:b w:val="0"/>
        </w:rPr>
        <w:t xml:space="preserve">") </w:t>
      </w:r>
    </w:p>
    <w:p w14:paraId="28AC1ADD" w14:textId="77AC1D6D" w:rsidR="006E02F8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spacing w:line="619" w:lineRule="exact"/>
        <w:ind w:firstLine="600"/>
      </w:pPr>
      <w:r>
        <w:rPr>
          <w:rStyle w:val="Bodytext2Bold"/>
        </w:rPr>
        <w:t>Vzhledem k tomu, že:</w:t>
      </w:r>
    </w:p>
    <w:p w14:paraId="28AC1ADE" w14:textId="49D12FF5" w:rsidR="006E02F8" w:rsidRPr="00F16691" w:rsidRDefault="00985297">
      <w:pPr>
        <w:pStyle w:val="Bodytext20"/>
        <w:framePr w:w="9158" w:h="4746" w:hRule="exact" w:wrap="none" w:vAnchor="page" w:hAnchor="page" w:x="1478" w:y="4193"/>
        <w:numPr>
          <w:ilvl w:val="0"/>
          <w:numId w:val="1"/>
        </w:numPr>
        <w:shd w:val="clear" w:color="auto" w:fill="auto"/>
        <w:tabs>
          <w:tab w:val="left" w:pos="568"/>
        </w:tabs>
        <w:spacing w:after="135" w:line="230" w:lineRule="exact"/>
        <w:ind w:left="600" w:hanging="600"/>
        <w:jc w:val="both"/>
        <w:rPr>
          <w:b/>
        </w:rPr>
      </w:pPr>
      <w:r>
        <w:t>Pronajímatel je vlastníkem scénické výpravy; tj. dekorací, kostýmů, obuvi a dalších rekvizit užívaných v rámci muzikálového představení Noc na Karlštejně. Předmětem nájmu dle této Smlou</w:t>
      </w:r>
      <w:r>
        <w:t xml:space="preserve">vy jsou pouze ty věci, které jsou uvedené a případně blíže popsané v příloze A. této Smlouvy </w:t>
      </w:r>
      <w:r w:rsidRPr="00F16691">
        <w:rPr>
          <w:rStyle w:val="Bodytext2Bold"/>
          <w:b w:val="0"/>
        </w:rPr>
        <w:t>(„</w:t>
      </w:r>
      <w:r>
        <w:rPr>
          <w:rStyle w:val="Bodytext2Bold"/>
        </w:rPr>
        <w:t>Výprava</w:t>
      </w:r>
      <w:r w:rsidR="00F16691" w:rsidRPr="00F16691">
        <w:rPr>
          <w:rStyle w:val="Bodytext2Bold"/>
          <w:b w:val="0"/>
        </w:rPr>
        <w:t>“</w:t>
      </w:r>
      <w:r w:rsidRPr="00F16691">
        <w:rPr>
          <w:rStyle w:val="Bodytext2Bold"/>
          <w:b w:val="0"/>
        </w:rPr>
        <w:t>);</w:t>
      </w:r>
    </w:p>
    <w:p w14:paraId="28AC1ADF" w14:textId="77777777" w:rsidR="006E02F8" w:rsidRDefault="00985297">
      <w:pPr>
        <w:pStyle w:val="Bodytext20"/>
        <w:framePr w:w="9158" w:h="4746" w:hRule="exact" w:wrap="none" w:vAnchor="page" w:hAnchor="page" w:x="1478" w:y="4193"/>
        <w:numPr>
          <w:ilvl w:val="0"/>
          <w:numId w:val="1"/>
        </w:numPr>
        <w:shd w:val="clear" w:color="auto" w:fill="auto"/>
        <w:tabs>
          <w:tab w:val="left" w:pos="568"/>
        </w:tabs>
        <w:spacing w:after="102" w:line="212" w:lineRule="exact"/>
        <w:ind w:left="600" w:hanging="600"/>
        <w:jc w:val="both"/>
      </w:pPr>
      <w:r>
        <w:t>Nájemce má zájem na nájmu Výpravy a Pronajímatel má zájem Výpravu Nájemci pronajmout;</w:t>
      </w:r>
    </w:p>
    <w:p w14:paraId="28AC1AE0" w14:textId="77777777" w:rsidR="006E02F8" w:rsidRPr="00F16691" w:rsidRDefault="00985297">
      <w:pPr>
        <w:pStyle w:val="Bodytext20"/>
        <w:framePr w:w="9158" w:h="4746" w:hRule="exact" w:wrap="none" w:vAnchor="page" w:hAnchor="page" w:x="1478" w:y="4193"/>
        <w:shd w:val="clear" w:color="auto" w:fill="auto"/>
        <w:spacing w:line="235" w:lineRule="exact"/>
        <w:ind w:firstLine="0"/>
        <w:jc w:val="both"/>
        <w:rPr>
          <w:b/>
        </w:rPr>
      </w:pPr>
      <w:r>
        <w:t xml:space="preserve">Strany uzavírají ve smyslu § 2201 a násl. zákona č. 89/2012 Sb., občanský zákoník, ve znění pozdějších předpisů, tuto smlouvu o nájmu movité věci </w:t>
      </w:r>
      <w:r w:rsidRPr="00F16691">
        <w:rPr>
          <w:rStyle w:val="Bodytext2Bold"/>
          <w:b w:val="0"/>
        </w:rPr>
        <w:t>(„</w:t>
      </w:r>
      <w:r>
        <w:rPr>
          <w:rStyle w:val="Bodytext2Bold"/>
        </w:rPr>
        <w:t>Smlouva</w:t>
      </w:r>
      <w:r w:rsidRPr="00F16691">
        <w:rPr>
          <w:rStyle w:val="Bodytext2Bold"/>
          <w:b w:val="0"/>
        </w:rPr>
        <w:t>").</w:t>
      </w:r>
    </w:p>
    <w:p w14:paraId="28AC1AE1" w14:textId="77777777" w:rsidR="006E02F8" w:rsidRDefault="00985297">
      <w:pPr>
        <w:pStyle w:val="Heading20"/>
        <w:framePr w:w="9158" w:h="5682" w:hRule="exact" w:wrap="none" w:vAnchor="page" w:hAnchor="page" w:x="1478" w:y="9361"/>
        <w:shd w:val="clear" w:color="auto" w:fill="auto"/>
        <w:spacing w:before="0" w:after="105"/>
        <w:ind w:left="600" w:hanging="600"/>
      </w:pPr>
      <w:bookmarkStart w:id="4" w:name="bookmark4"/>
      <w:r>
        <w:t>1. Předmět Smlouvy</w:t>
      </w:r>
      <w:bookmarkEnd w:id="4"/>
    </w:p>
    <w:p w14:paraId="28AC1AE2" w14:textId="77777777" w:rsidR="006E02F8" w:rsidRDefault="00985297">
      <w:pPr>
        <w:pStyle w:val="Bodytext20"/>
        <w:framePr w:w="9158" w:h="5682" w:hRule="exact" w:wrap="none" w:vAnchor="page" w:hAnchor="page" w:x="1478" w:y="9361"/>
        <w:numPr>
          <w:ilvl w:val="0"/>
          <w:numId w:val="2"/>
        </w:numPr>
        <w:shd w:val="clear" w:color="auto" w:fill="auto"/>
        <w:tabs>
          <w:tab w:val="left" w:pos="568"/>
        </w:tabs>
        <w:spacing w:after="120" w:line="230" w:lineRule="exact"/>
        <w:ind w:left="600" w:hanging="600"/>
        <w:jc w:val="both"/>
      </w:pPr>
      <w:r>
        <w:t xml:space="preserve">Pronajímatel se zavazuje přenechat Nájemci Výpravu za níže uvedených podmínek </w:t>
      </w:r>
      <w:r>
        <w:t>ode dne uzavření této Smlouvy do 31.3.3024 a Nájemce tuto Výpravu za níže uvedených podmínek od Pronajímatele přijímá.</w:t>
      </w:r>
    </w:p>
    <w:p w14:paraId="28AC1AE3" w14:textId="228B0955" w:rsidR="006E02F8" w:rsidRDefault="00985297">
      <w:pPr>
        <w:pStyle w:val="Bodytext20"/>
        <w:framePr w:w="9158" w:h="5682" w:hRule="exact" w:wrap="none" w:vAnchor="page" w:hAnchor="page" w:x="1478" w:y="9361"/>
        <w:numPr>
          <w:ilvl w:val="0"/>
          <w:numId w:val="2"/>
        </w:numPr>
        <w:shd w:val="clear" w:color="auto" w:fill="auto"/>
        <w:tabs>
          <w:tab w:val="left" w:pos="568"/>
        </w:tabs>
        <w:spacing w:after="124" w:line="230" w:lineRule="exact"/>
        <w:ind w:left="600" w:hanging="600"/>
        <w:jc w:val="both"/>
      </w:pPr>
      <w:r>
        <w:t>Nájemce je oprávněn dobu nájmu prodloužit vždy o rok, a to i opakovaně, za předpokladu, že svůj zájem na prodloužení doby nájmu sdělí pís</w:t>
      </w:r>
      <w:r>
        <w:t xml:space="preserve">emně Pronajímateli alespoň měsíc před ukončením doby nájmu. Za písemné sdělení se v tomto případě bude považovat i emailová komunikace zaslaná na email </w:t>
      </w:r>
      <w:hyperlink r:id="rId8" w:history="1">
        <w:r>
          <w:rPr>
            <w:rStyle w:val="Bodytext21"/>
          </w:rPr>
          <w:t>eqon.kulhanek@hdk.cz</w:t>
        </w:r>
      </w:hyperlink>
      <w:r>
        <w:rPr>
          <w:rStyle w:val="Bodytext22"/>
        </w:rPr>
        <w:t xml:space="preserve"> </w:t>
      </w:r>
      <w:r>
        <w:t xml:space="preserve">nebo </w:t>
      </w:r>
      <w:hyperlink r:id="rId9" w:history="1">
        <w:r w:rsidR="00F16691" w:rsidRPr="004025FD">
          <w:rPr>
            <w:rStyle w:val="Hypertextovodkaz"/>
            <w:lang w:val="en-US" w:eastAsia="en-US" w:bidi="en-US"/>
          </w:rPr>
          <w:t>jan.lepsa@hdk.cz</w:t>
        </w:r>
      </w:hyperlink>
      <w:r>
        <w:rPr>
          <w:rStyle w:val="Bodytext22"/>
        </w:rPr>
        <w:t>.</w:t>
      </w:r>
    </w:p>
    <w:p w14:paraId="28AC1AE4" w14:textId="77777777" w:rsidR="006E02F8" w:rsidRDefault="00985297">
      <w:pPr>
        <w:pStyle w:val="Bodytext20"/>
        <w:framePr w:w="9158" w:h="5682" w:hRule="exact" w:wrap="none" w:vAnchor="page" w:hAnchor="page" w:x="1478" w:y="9361"/>
        <w:numPr>
          <w:ilvl w:val="0"/>
          <w:numId w:val="2"/>
        </w:numPr>
        <w:shd w:val="clear" w:color="auto" w:fill="auto"/>
        <w:tabs>
          <w:tab w:val="left" w:pos="568"/>
        </w:tabs>
        <w:spacing w:after="120" w:line="226" w:lineRule="exact"/>
        <w:ind w:left="600" w:hanging="600"/>
        <w:jc w:val="both"/>
      </w:pPr>
      <w:r>
        <w:t>Převzetím Výpravy Nájemcem přechází na Nájemce odpovědnost za škodu na Výpravě. Současně se Nájemce zavazuje Výpravu po celou dobu nájmu uskladnit ve svých prostorách. Náklady spojené s údržbou, manipulací a převozem Výpravy jdou k tíži</w:t>
      </w:r>
      <w:r>
        <w:t xml:space="preserve"> Nájemce. Pronajímatel prohlašuje, že věci tvořící Výpravu jsou 18 let staré, a tedy Strany potvrzují, že Nájemce nenese odpovědnost za poškození nebo zánik věcí tvořících Výpravu z důvodu jejich stáří.</w:t>
      </w:r>
    </w:p>
    <w:p w14:paraId="28AC1AE5" w14:textId="4AF1CAC9" w:rsidR="006E02F8" w:rsidRDefault="00985297">
      <w:pPr>
        <w:pStyle w:val="Bodytext20"/>
        <w:framePr w:w="9158" w:h="5682" w:hRule="exact" w:wrap="none" w:vAnchor="page" w:hAnchor="page" w:x="1478" w:y="9361"/>
        <w:numPr>
          <w:ilvl w:val="0"/>
          <w:numId w:val="2"/>
        </w:numPr>
        <w:shd w:val="clear" w:color="auto" w:fill="auto"/>
        <w:tabs>
          <w:tab w:val="left" w:pos="568"/>
        </w:tabs>
        <w:spacing w:after="120" w:line="226" w:lineRule="exact"/>
        <w:ind w:left="600" w:hanging="600"/>
        <w:jc w:val="both"/>
      </w:pPr>
      <w:r>
        <w:t>V případě, že dojde u ukončení nájmu Výpravy, zejména</w:t>
      </w:r>
      <w:r>
        <w:t xml:space="preserve"> uběhnutím doby nájmu, dotáže se Nájemce před ukončením nájmu Pronajímatele kam má být Výprava doručena, případně jak s ní má být naloženo, včetně její případné likvidace. Tato manipulace jde k</w:t>
      </w:r>
      <w:r w:rsidR="00F16691">
        <w:t xml:space="preserve"> </w:t>
      </w:r>
      <w:r>
        <w:t>tíži Nájemce.</w:t>
      </w:r>
    </w:p>
    <w:p w14:paraId="28AC1AE6" w14:textId="77777777" w:rsidR="006E02F8" w:rsidRDefault="00985297">
      <w:pPr>
        <w:pStyle w:val="Bodytext20"/>
        <w:framePr w:w="9158" w:h="5682" w:hRule="exact" w:wrap="none" w:vAnchor="page" w:hAnchor="page" w:x="1478" w:y="9361"/>
        <w:numPr>
          <w:ilvl w:val="0"/>
          <w:numId w:val="2"/>
        </w:numPr>
        <w:shd w:val="clear" w:color="auto" w:fill="auto"/>
        <w:tabs>
          <w:tab w:val="left" w:pos="568"/>
        </w:tabs>
        <w:spacing w:line="226" w:lineRule="exact"/>
        <w:ind w:left="600" w:hanging="600"/>
        <w:jc w:val="both"/>
      </w:pPr>
      <w:r>
        <w:t xml:space="preserve">Nájemce se zavazuje uhradit Pronajímateli úplatu </w:t>
      </w:r>
      <w:r>
        <w:t>za poskytnutí Výpravy ve výši 50.000,-- Kč plus DPH za období od uzavření této Smlouvy do 31.3.2023 a dále 50.000,-- Kč plus DPH za období od 1.4.2023 do 31.3.2024. V případě prodloužení doby nájmu Strany souhlasí, že nájemné na následující roční období bu</w:t>
      </w:r>
      <w:r>
        <w:t>de ve výši 50.000,-- Kč plus DPH za každý další rok trvání nájmu. Nájemné je splatné na základě faktury vystavené Pronajímatelem vždy k 1.5. daného kalendářního roku se splatností 30 dní od doručení faktury Nájemci.</w:t>
      </w:r>
    </w:p>
    <w:p w14:paraId="28AC1AE7" w14:textId="77777777" w:rsidR="006E02F8" w:rsidRDefault="00985297">
      <w:pPr>
        <w:pStyle w:val="Bodytext20"/>
        <w:framePr w:wrap="none" w:vAnchor="page" w:hAnchor="page" w:x="1478" w:y="3720"/>
        <w:shd w:val="clear" w:color="auto" w:fill="auto"/>
        <w:spacing w:line="212" w:lineRule="exact"/>
        <w:ind w:left="600" w:hanging="600"/>
        <w:jc w:val="both"/>
      </w:pPr>
      <w:r>
        <w:t>a</w:t>
      </w:r>
    </w:p>
    <w:p w14:paraId="28AC1AE8" w14:textId="0FD7785F" w:rsidR="006E02F8" w:rsidRDefault="006E02F8">
      <w:pPr>
        <w:rPr>
          <w:sz w:val="2"/>
          <w:szCs w:val="2"/>
        </w:rPr>
        <w:sectPr w:rsidR="006E02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AC1AE9" w14:textId="77777777" w:rsidR="006E02F8" w:rsidRDefault="00985297">
      <w:pPr>
        <w:pStyle w:val="Heading10"/>
        <w:framePr w:wrap="none" w:vAnchor="page" w:hAnchor="page" w:x="1478" w:y="576"/>
        <w:shd w:val="clear" w:color="auto" w:fill="auto"/>
        <w:spacing w:before="0" w:after="0"/>
        <w:ind w:left="200"/>
        <w:jc w:val="left"/>
      </w:pPr>
      <w:bookmarkStart w:id="5" w:name="bookmark5"/>
      <w:r>
        <w:rPr>
          <w:lang w:val="en-US" w:eastAsia="en-US" w:bidi="en-US"/>
        </w:rPr>
        <w:lastRenderedPageBreak/>
        <w:t>LEGAL CREW</w:t>
      </w:r>
      <w:bookmarkEnd w:id="5"/>
    </w:p>
    <w:p w14:paraId="28AC1AEA" w14:textId="77777777" w:rsidR="006E02F8" w:rsidRDefault="00985297" w:rsidP="00985297">
      <w:pPr>
        <w:pStyle w:val="Heading20"/>
        <w:framePr w:w="9158" w:h="10816" w:hRule="exact" w:wrap="none" w:vAnchor="page" w:hAnchor="page" w:x="1478" w:y="1647"/>
        <w:shd w:val="clear" w:color="auto" w:fill="auto"/>
        <w:spacing w:before="0" w:after="105"/>
        <w:ind w:left="640"/>
      </w:pPr>
      <w:bookmarkStart w:id="6" w:name="bookmark6"/>
      <w:r>
        <w:rPr>
          <w:lang w:val="en-US" w:eastAsia="en-US" w:bidi="en-US"/>
        </w:rPr>
        <w:t xml:space="preserve">2. </w:t>
      </w:r>
      <w:r>
        <w:t>Závěrečná ustanovení</w:t>
      </w:r>
      <w:bookmarkEnd w:id="6"/>
    </w:p>
    <w:p w14:paraId="28AC1AEB" w14:textId="77777777" w:rsidR="006E02F8" w:rsidRDefault="00985297" w:rsidP="00985297">
      <w:pPr>
        <w:pStyle w:val="Bodytext20"/>
        <w:framePr w:w="9158" w:h="10816" w:hRule="exact" w:wrap="none" w:vAnchor="page" w:hAnchor="page" w:x="1478" w:y="1647"/>
        <w:numPr>
          <w:ilvl w:val="0"/>
          <w:numId w:val="3"/>
        </w:numPr>
        <w:shd w:val="clear" w:color="auto" w:fill="auto"/>
        <w:tabs>
          <w:tab w:val="left" w:pos="564"/>
        </w:tabs>
        <w:spacing w:after="120" w:line="230" w:lineRule="exact"/>
        <w:ind w:left="640"/>
        <w:jc w:val="both"/>
      </w:pPr>
      <w:r>
        <w:t>Strany se dohodly, že pokud byly součástí originálního představení movité věci, které nejsou uvedené v příloze A, této Smlouvy, tak tyto věci nejsou součástí nájemního vztahu založeného touto Smlouvou.</w:t>
      </w:r>
    </w:p>
    <w:p w14:paraId="28AC1AEC" w14:textId="77777777" w:rsidR="006E02F8" w:rsidRDefault="00985297" w:rsidP="00985297">
      <w:pPr>
        <w:pStyle w:val="Bodytext20"/>
        <w:framePr w:w="9158" w:h="10816" w:hRule="exact" w:wrap="none" w:vAnchor="page" w:hAnchor="page" w:x="1478" w:y="1647"/>
        <w:numPr>
          <w:ilvl w:val="0"/>
          <w:numId w:val="3"/>
        </w:numPr>
        <w:shd w:val="clear" w:color="auto" w:fill="auto"/>
        <w:tabs>
          <w:tab w:val="left" w:pos="564"/>
        </w:tabs>
        <w:spacing w:after="120" w:line="230" w:lineRule="exact"/>
        <w:ind w:left="640"/>
        <w:jc w:val="both"/>
      </w:pPr>
      <w:r>
        <w:t>Případná neplatnost jakéhokoli</w:t>
      </w:r>
      <w:r>
        <w:t xml:space="preserve"> ustanovení této Smlouvy nezpůsobuje neplatnost zbývajících ustanovení, pokud není z podstaty této Smlouvy, jejího obsahu nebo z okolností při uzavření Smlouvy zřejmé, že je takové neplatné ustanovení neoddělitelné od zbývajících ustanovení Smlouvy.</w:t>
      </w:r>
    </w:p>
    <w:p w14:paraId="28AC1AED" w14:textId="77777777" w:rsidR="006E02F8" w:rsidRDefault="00985297" w:rsidP="00985297">
      <w:pPr>
        <w:pStyle w:val="Bodytext20"/>
        <w:framePr w:w="9158" w:h="10816" w:hRule="exact" w:wrap="none" w:vAnchor="page" w:hAnchor="page" w:x="1478" w:y="1647"/>
        <w:numPr>
          <w:ilvl w:val="0"/>
          <w:numId w:val="3"/>
        </w:numPr>
        <w:shd w:val="clear" w:color="auto" w:fill="auto"/>
        <w:tabs>
          <w:tab w:val="left" w:pos="564"/>
        </w:tabs>
        <w:spacing w:after="135" w:line="230" w:lineRule="exact"/>
        <w:ind w:left="640"/>
        <w:jc w:val="both"/>
      </w:pPr>
      <w:r>
        <w:t>Tato S</w:t>
      </w:r>
      <w:r>
        <w:t>mlouva je sepsána a řídí se českými právními předpisy. Všechny spory vzniklé z této Smlouvy nebo ve spojení s touto Smlouvou budou řešeny příslušnými českými soudy.</w:t>
      </w:r>
    </w:p>
    <w:p w14:paraId="28AC1AEE" w14:textId="77777777" w:rsidR="006E02F8" w:rsidRDefault="00985297" w:rsidP="00985297">
      <w:pPr>
        <w:pStyle w:val="Bodytext20"/>
        <w:framePr w:w="9158" w:h="10816" w:hRule="exact" w:wrap="none" w:vAnchor="page" w:hAnchor="page" w:x="1478" w:y="1647"/>
        <w:numPr>
          <w:ilvl w:val="0"/>
          <w:numId w:val="3"/>
        </w:numPr>
        <w:shd w:val="clear" w:color="auto" w:fill="auto"/>
        <w:tabs>
          <w:tab w:val="left" w:pos="564"/>
        </w:tabs>
        <w:spacing w:after="102" w:line="212" w:lineRule="exact"/>
        <w:ind w:left="640"/>
        <w:jc w:val="both"/>
      </w:pPr>
      <w:r>
        <w:t>Tato Smlouva nabývá platnosti a účinnosti podpisem Stran.</w:t>
      </w:r>
    </w:p>
    <w:p w14:paraId="28AC1AEF" w14:textId="77777777" w:rsidR="006E02F8" w:rsidRDefault="00985297" w:rsidP="00985297">
      <w:pPr>
        <w:pStyle w:val="Bodytext20"/>
        <w:framePr w:w="9158" w:h="10816" w:hRule="exact" w:wrap="none" w:vAnchor="page" w:hAnchor="page" w:x="1478" w:y="1647"/>
        <w:numPr>
          <w:ilvl w:val="0"/>
          <w:numId w:val="3"/>
        </w:numPr>
        <w:shd w:val="clear" w:color="auto" w:fill="auto"/>
        <w:tabs>
          <w:tab w:val="left" w:pos="564"/>
        </w:tabs>
        <w:spacing w:after="443" w:line="235" w:lineRule="exact"/>
        <w:ind w:left="640"/>
        <w:jc w:val="both"/>
      </w:pPr>
      <w:r>
        <w:t>Tato Smlouva je vyhotovena ve 2 (</w:t>
      </w:r>
      <w:r>
        <w:t>dvou) vyhotoveních v českém jazyce, každá ze Stran obdrží 1 (jedno) vyhotovení.</w:t>
      </w:r>
    </w:p>
    <w:p w14:paraId="28AC1AF0" w14:textId="3BC1A9A5" w:rsidR="006E02F8" w:rsidRP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tabs>
          <w:tab w:val="left" w:pos="4622"/>
        </w:tabs>
        <w:spacing w:after="155" w:line="256" w:lineRule="exact"/>
        <w:ind w:left="640"/>
        <w:jc w:val="both"/>
        <w:rPr>
          <w:color w:val="0070C0"/>
        </w:rPr>
      </w:pPr>
      <w:r>
        <w:t xml:space="preserve">V Praze dne   </w:t>
      </w:r>
      <w:r w:rsidRPr="00985297">
        <w:rPr>
          <w:rStyle w:val="Bodytext2115ptItalic"/>
          <w:i w:val="0"/>
          <w:sz w:val="18"/>
          <w:szCs w:val="18"/>
        </w:rPr>
        <w:t>28.4.2022</w:t>
      </w:r>
      <w:r>
        <w:rPr>
          <w:rStyle w:val="Bodytext22"/>
          <w:lang w:val="cs-CZ" w:eastAsia="cs-CZ" w:bidi="cs-CZ"/>
        </w:rPr>
        <w:tab/>
      </w:r>
      <w:r>
        <w:t xml:space="preserve">V Praze dne   </w:t>
      </w:r>
      <w:r w:rsidRPr="00985297">
        <w:rPr>
          <w:color w:val="0070C0"/>
        </w:rPr>
        <w:t>28.4.2022</w:t>
      </w:r>
    </w:p>
    <w:p w14:paraId="28AC1AF1" w14:textId="0C4A95CB" w:rsidR="006E02F8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  <w:r>
        <w:t xml:space="preserve">za Hudební divadlo v Karlině, příspěvková                     </w:t>
      </w:r>
      <w:r>
        <w:t>Agentura DIVINUS Kateřiny Brožové s.r.o.</w:t>
      </w:r>
    </w:p>
    <w:p w14:paraId="28AC1AF2" w14:textId="34C354F7" w:rsidR="006E02F8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  <w:r>
        <w:t>organizace</w:t>
      </w:r>
    </w:p>
    <w:p w14:paraId="449F5DC0" w14:textId="4CA6391C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</w:p>
    <w:p w14:paraId="1FE9CD14" w14:textId="4FDA898E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</w:p>
    <w:p w14:paraId="0DDBECB9" w14:textId="3BCC480E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</w:p>
    <w:p w14:paraId="26F525DE" w14:textId="3279D67F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</w:p>
    <w:p w14:paraId="0726A3BA" w14:textId="21C522AA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</w:p>
    <w:p w14:paraId="22CF9F96" w14:textId="246141CC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  <w:r>
        <w:t>Bc. Jan Lepša, technický ředitel                                      Kateřina Brožová, jednatelka</w:t>
      </w:r>
    </w:p>
    <w:p w14:paraId="4226080A" w14:textId="77777777" w:rsidR="00985297" w:rsidRDefault="00985297" w:rsidP="00985297">
      <w:pPr>
        <w:pStyle w:val="Bodytext20"/>
        <w:framePr w:w="9158" w:h="10816" w:hRule="exact" w:wrap="none" w:vAnchor="page" w:hAnchor="page" w:x="1478" w:y="1647"/>
        <w:shd w:val="clear" w:color="auto" w:fill="auto"/>
        <w:spacing w:line="212" w:lineRule="exact"/>
        <w:ind w:left="640"/>
        <w:jc w:val="both"/>
      </w:pPr>
      <w:bookmarkStart w:id="7" w:name="_GoBack"/>
      <w:bookmarkEnd w:id="7"/>
    </w:p>
    <w:p w14:paraId="28AC1AF7" w14:textId="77777777" w:rsidR="006E02F8" w:rsidRDefault="006E02F8">
      <w:pPr>
        <w:rPr>
          <w:sz w:val="2"/>
          <w:szCs w:val="2"/>
        </w:rPr>
      </w:pPr>
    </w:p>
    <w:sectPr w:rsidR="006E02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1AFF" w14:textId="77777777" w:rsidR="00000000" w:rsidRDefault="00985297">
      <w:r>
        <w:separator/>
      </w:r>
    </w:p>
  </w:endnote>
  <w:endnote w:type="continuationSeparator" w:id="0">
    <w:p w14:paraId="28AC1B01" w14:textId="77777777" w:rsidR="00000000" w:rsidRDefault="009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1AFB" w14:textId="77777777" w:rsidR="006E02F8" w:rsidRDefault="006E02F8"/>
  </w:footnote>
  <w:footnote w:type="continuationSeparator" w:id="0">
    <w:p w14:paraId="28AC1AFC" w14:textId="77777777" w:rsidR="006E02F8" w:rsidRDefault="006E0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75B"/>
    <w:multiLevelType w:val="multilevel"/>
    <w:tmpl w:val="BB1E0C6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F142CE"/>
    <w:multiLevelType w:val="multilevel"/>
    <w:tmpl w:val="185838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8D7CCC"/>
    <w:multiLevelType w:val="multilevel"/>
    <w:tmpl w:val="EFDA212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02F8"/>
    <w:rsid w:val="006E02F8"/>
    <w:rsid w:val="00985297"/>
    <w:rsid w:val="00F1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AC1AD4"/>
  <w15:docId w15:val="{94FBC763-E787-4B6B-A48A-03709A3D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5FB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25FB1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15ptItalic">
    <w:name w:val="Body text (2) + 11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225FB1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15ptItalic0">
    <w:name w:val="Body text (2) + 11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85ptBold">
    <w:name w:val="Picture caption + 8.5 pt;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Andalus14pt">
    <w:name w:val="Picture caption + Andalus;14 pt"/>
    <w:basedOn w:val="Picturecaption"/>
    <w:rPr>
      <w:rFonts w:ascii="Andalus" w:eastAsia="Andalus" w:hAnsi="Andalus" w:cs="Andalu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40" w:line="268" w:lineRule="exact"/>
    </w:pPr>
    <w:rPr>
      <w:b/>
      <w:bCs/>
      <w:sz w:val="26"/>
      <w:szCs w:val="26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40" w:after="440" w:line="268" w:lineRule="exact"/>
      <w:jc w:val="center"/>
      <w:outlineLvl w:val="0"/>
    </w:pPr>
    <w:rPr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40" w:after="120" w:line="212" w:lineRule="exact"/>
      <w:ind w:hanging="640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640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6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on.kulhanek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entura.divinus@q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lepsa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3512</Characters>
  <Application>Microsoft Office Word</Application>
  <DocSecurity>0</DocSecurity>
  <Lines>29</Lines>
  <Paragraphs>8</Paragraphs>
  <ScaleCrop>false</ScaleCrop>
  <Company>Hudební divadlo Karlín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2022-05-04T09:53:00Z</dcterms:created>
  <dcterms:modified xsi:type="dcterms:W3CDTF">2022-05-04T10:00:00Z</dcterms:modified>
</cp:coreProperties>
</file>