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343B0" w14:textId="52700E19" w:rsidR="00586522" w:rsidRPr="00586522" w:rsidRDefault="00DA5E3D" w:rsidP="00DA5E3D">
      <w:pPr>
        <w:pStyle w:val="Nadpis1"/>
        <w:spacing w:before="0" w:after="360"/>
        <w:ind w:left="0"/>
      </w:pPr>
      <w:r>
        <w:rPr>
          <w:rFonts w:ascii="Arial" w:eastAsia="Arial" w:hAnsi="Arial" w:cs="Arial"/>
        </w:rPr>
        <w:t xml:space="preserve">SMLOUVA O </w:t>
      </w:r>
      <w:proofErr w:type="gramStart"/>
      <w:r>
        <w:rPr>
          <w:rFonts w:ascii="Arial" w:eastAsia="Arial" w:hAnsi="Arial" w:cs="Arial"/>
        </w:rPr>
        <w:t>DÍLO</w:t>
      </w:r>
      <w:r w:rsidR="00586522">
        <w:rPr>
          <w:rFonts w:ascii="Arial" w:eastAsia="Arial" w:hAnsi="Arial" w:cs="Arial"/>
        </w:rPr>
        <w:t xml:space="preserve"> - </w:t>
      </w:r>
      <w:r w:rsidR="00586522" w:rsidRPr="00586522">
        <w:t>SML059</w:t>
      </w:r>
      <w:proofErr w:type="gramEnd"/>
      <w:r w:rsidR="00586522" w:rsidRPr="00586522">
        <w:t>/2022/OSV</w:t>
      </w:r>
    </w:p>
    <w:p w14:paraId="00000002" w14:textId="77777777" w:rsidR="00870DEB" w:rsidRDefault="00DA5E3D">
      <w:pPr>
        <w:pStyle w:val="Nadpis1"/>
        <w:tabs>
          <w:tab w:val="left" w:pos="2552"/>
        </w:tabs>
        <w:spacing w:before="0" w:after="60"/>
        <w:ind w:left="0"/>
        <w:jc w:val="both"/>
        <w:rPr>
          <w:rFonts w:ascii="Arial" w:eastAsia="Arial" w:hAnsi="Arial" w:cs="Arial"/>
          <w:b w:val="0"/>
          <w:sz w:val="20"/>
          <w:szCs w:val="20"/>
        </w:rPr>
      </w:pPr>
      <w:r>
        <w:rPr>
          <w:rFonts w:ascii="Arial" w:eastAsia="Arial" w:hAnsi="Arial" w:cs="Arial"/>
          <w:b w:val="0"/>
          <w:sz w:val="20"/>
          <w:szCs w:val="20"/>
        </w:rPr>
        <w:tab/>
      </w:r>
    </w:p>
    <w:p w14:paraId="00000003" w14:textId="77777777" w:rsidR="00870DEB" w:rsidRDefault="00DA5E3D" w:rsidP="00DA5E3D">
      <w:pPr>
        <w:pStyle w:val="Nadpis1"/>
        <w:tabs>
          <w:tab w:val="left" w:pos="2552"/>
        </w:tabs>
        <w:spacing w:after="0"/>
        <w:ind w:left="0"/>
        <w:rPr>
          <w:rFonts w:ascii="Arial" w:eastAsia="Arial" w:hAnsi="Arial" w:cs="Arial"/>
          <w:b w:val="0"/>
          <w:sz w:val="20"/>
          <w:szCs w:val="20"/>
        </w:rPr>
      </w:pPr>
      <w:r>
        <w:rPr>
          <w:rFonts w:ascii="Arial" w:eastAsia="Arial" w:hAnsi="Arial" w:cs="Arial"/>
          <w:b w:val="0"/>
          <w:sz w:val="20"/>
          <w:szCs w:val="20"/>
        </w:rPr>
        <w:t>uzavřená podle § 2586 a násl. Zákona č. 89/2012 Sb.</w:t>
      </w:r>
    </w:p>
    <w:p w14:paraId="00000004" w14:textId="77777777" w:rsidR="00870DEB" w:rsidRDefault="00870DEB"/>
    <w:p w14:paraId="00000005" w14:textId="77777777" w:rsidR="00870DEB" w:rsidRDefault="00870DEB"/>
    <w:p w14:paraId="00000006" w14:textId="77777777" w:rsidR="00870DEB" w:rsidRDefault="00DA5E3D">
      <w:pPr>
        <w:pStyle w:val="Nadpis2"/>
        <w:spacing w:before="360" w:after="120"/>
        <w:ind w:left="284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Účastníci smlouvy:</w:t>
      </w:r>
    </w:p>
    <w:p w14:paraId="00000007" w14:textId="77777777" w:rsidR="00870DEB" w:rsidRDefault="00870DEB"/>
    <w:p w14:paraId="00000008" w14:textId="77777777" w:rsidR="00870DEB" w:rsidRDefault="00870DEB"/>
    <w:p w14:paraId="00000009" w14:textId="77777777" w:rsidR="00870DEB" w:rsidRDefault="00DA5E3D">
      <w:pPr>
        <w:tabs>
          <w:tab w:val="left" w:pos="2268"/>
        </w:tabs>
        <w:spacing w:after="120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Zadavatel: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sz w:val="24"/>
          <w:szCs w:val="24"/>
        </w:rPr>
        <w:t>Statutární město Brno, městská část Brno – Nový Lískovec</w:t>
      </w:r>
    </w:p>
    <w:p w14:paraId="0000000A" w14:textId="77777777" w:rsidR="00870DEB" w:rsidRDefault="00DA5E3D">
      <w:pPr>
        <w:tabs>
          <w:tab w:val="left" w:pos="2268"/>
        </w:tabs>
        <w:spacing w:after="120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</w:t>
      </w:r>
      <w:r>
        <w:rPr>
          <w:rFonts w:ascii="Arial" w:eastAsia="Arial" w:hAnsi="Arial" w:cs="Arial"/>
        </w:rPr>
        <w:tab/>
        <w:t xml:space="preserve">Oblá </w:t>
      </w:r>
      <w:proofErr w:type="gramStart"/>
      <w:r>
        <w:rPr>
          <w:rFonts w:ascii="Arial" w:eastAsia="Arial" w:hAnsi="Arial" w:cs="Arial"/>
        </w:rPr>
        <w:t>75a</w:t>
      </w:r>
      <w:proofErr w:type="gramEnd"/>
      <w:r>
        <w:rPr>
          <w:rFonts w:ascii="Arial" w:eastAsia="Arial" w:hAnsi="Arial" w:cs="Arial"/>
        </w:rPr>
        <w:t>, 634 00 Brno</w:t>
      </w:r>
    </w:p>
    <w:p w14:paraId="37974683" w14:textId="5FE67461" w:rsidR="00DA5E3D" w:rsidRDefault="00DA5E3D" w:rsidP="00DA5E3D">
      <w:pPr>
        <w:tabs>
          <w:tab w:val="left" w:pos="2268"/>
        </w:tabs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zastoupený ve věcech   </w:t>
      </w:r>
      <w:r w:rsidRPr="00DA5E3D">
        <w:rPr>
          <w:rFonts w:ascii="Arial" w:eastAsia="Arial" w:hAnsi="Arial" w:cs="Arial"/>
        </w:rPr>
        <w:t>Ing. Jan</w:t>
      </w:r>
      <w:r>
        <w:rPr>
          <w:rFonts w:ascii="Arial" w:eastAsia="Arial" w:hAnsi="Arial" w:cs="Arial"/>
        </w:rPr>
        <w:t>ou</w:t>
      </w:r>
      <w:r w:rsidRPr="00DA5E3D">
        <w:rPr>
          <w:rFonts w:ascii="Arial" w:eastAsia="Arial" w:hAnsi="Arial" w:cs="Arial"/>
        </w:rPr>
        <w:t xml:space="preserve"> Drápalov</w:t>
      </w:r>
      <w:r>
        <w:rPr>
          <w:rFonts w:ascii="Arial" w:eastAsia="Arial" w:hAnsi="Arial" w:cs="Arial"/>
        </w:rPr>
        <w:t>ou</w:t>
      </w:r>
      <w:r w:rsidRPr="00DA5E3D">
        <w:rPr>
          <w:rFonts w:ascii="Arial" w:eastAsia="Arial" w:hAnsi="Arial" w:cs="Arial"/>
        </w:rPr>
        <w:t>, starostk</w:t>
      </w:r>
      <w:r>
        <w:rPr>
          <w:rFonts w:ascii="Arial" w:eastAsia="Arial" w:hAnsi="Arial" w:cs="Arial"/>
        </w:rPr>
        <w:t>ou</w:t>
      </w:r>
      <w:r w:rsidRPr="00DA5E3D">
        <w:rPr>
          <w:rFonts w:ascii="Arial" w:eastAsia="Arial" w:hAnsi="Arial" w:cs="Arial"/>
        </w:rPr>
        <w:t xml:space="preserve"> městské části</w:t>
      </w:r>
      <w:r>
        <w:rPr>
          <w:rFonts w:ascii="Arial" w:eastAsia="Arial" w:hAnsi="Arial" w:cs="Arial"/>
        </w:rPr>
        <w:tab/>
      </w:r>
    </w:p>
    <w:p w14:paraId="0000000F" w14:textId="77777777" w:rsidR="00870DEB" w:rsidRDefault="00870DEB">
      <w:pPr>
        <w:tabs>
          <w:tab w:val="left" w:pos="2268"/>
        </w:tabs>
        <w:ind w:left="426"/>
        <w:rPr>
          <w:rFonts w:ascii="Arial" w:eastAsia="Arial" w:hAnsi="Arial" w:cs="Arial"/>
        </w:rPr>
      </w:pPr>
    </w:p>
    <w:p w14:paraId="101C7915" w14:textId="012B85FA" w:rsidR="00DA5E3D" w:rsidRDefault="00DA5E3D" w:rsidP="00DA5E3D">
      <w:pPr>
        <w:tabs>
          <w:tab w:val="left" w:pos="2268"/>
        </w:tabs>
        <w:spacing w:after="60"/>
        <w:ind w:left="4326" w:hanging="390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ve věcech technických oprávněn jednat: </w:t>
      </w:r>
      <w:r>
        <w:rPr>
          <w:rFonts w:ascii="Arial" w:eastAsia="Arial" w:hAnsi="Arial" w:cs="Arial"/>
        </w:rPr>
        <w:tab/>
        <w:t xml:space="preserve">Ing. Kamila Tokošová, email: </w:t>
      </w:r>
      <w:hyperlink r:id="rId6" w:history="1">
        <w:r w:rsidRPr="00DA5E3D">
          <w:rPr>
            <w:rFonts w:ascii="Arial" w:eastAsia="Arial" w:hAnsi="Arial" w:cs="Arial"/>
          </w:rPr>
          <w:t>tokosova@nliskovec.brno.cz</w:t>
        </w:r>
      </w:hyperlink>
      <w:r>
        <w:rPr>
          <w:rFonts w:ascii="Arial" w:eastAsia="Arial" w:hAnsi="Arial" w:cs="Arial"/>
        </w:rPr>
        <w:t xml:space="preserve"> </w:t>
      </w:r>
    </w:p>
    <w:p w14:paraId="00000010" w14:textId="57DC1C8F" w:rsidR="00870DEB" w:rsidRDefault="00DA5E3D" w:rsidP="00DA5E3D">
      <w:pPr>
        <w:tabs>
          <w:tab w:val="left" w:pos="2268"/>
        </w:tabs>
        <w:spacing w:after="60"/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Ing. Michal Šípek, email: sipek@nliskovec.brno.cz</w:t>
      </w:r>
    </w:p>
    <w:p w14:paraId="00000011" w14:textId="77777777" w:rsidR="00870DEB" w:rsidRDefault="00DA5E3D">
      <w:pPr>
        <w:tabs>
          <w:tab w:val="left" w:pos="2268"/>
        </w:tabs>
        <w:spacing w:after="60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12" w14:textId="77777777" w:rsidR="00870DEB" w:rsidRDefault="00DA5E3D">
      <w:pPr>
        <w:tabs>
          <w:tab w:val="left" w:pos="2268"/>
        </w:tabs>
        <w:spacing w:after="120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IČ: 449 92 785</w:t>
      </w:r>
      <w:r>
        <w:rPr>
          <w:rFonts w:ascii="Arial" w:eastAsia="Arial" w:hAnsi="Arial" w:cs="Arial"/>
        </w:rPr>
        <w:tab/>
        <w:t>DIČ: CZ449 92 785</w:t>
      </w:r>
    </w:p>
    <w:p w14:paraId="00000013" w14:textId="77777777" w:rsidR="00870DEB" w:rsidRDefault="00DA5E3D">
      <w:pPr>
        <w:spacing w:before="120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(dále jen „Zadavatel“)</w:t>
      </w:r>
    </w:p>
    <w:p w14:paraId="00000014" w14:textId="77777777" w:rsidR="00870DEB" w:rsidRDefault="00870DEB">
      <w:pPr>
        <w:spacing w:before="120"/>
        <w:ind w:left="425"/>
        <w:rPr>
          <w:rFonts w:ascii="Arial" w:eastAsia="Arial" w:hAnsi="Arial" w:cs="Arial"/>
        </w:rPr>
      </w:pPr>
    </w:p>
    <w:p w14:paraId="00000015" w14:textId="77777777" w:rsidR="00870DEB" w:rsidRDefault="00870DEB">
      <w:pPr>
        <w:spacing w:before="120"/>
        <w:ind w:left="425"/>
        <w:rPr>
          <w:rFonts w:ascii="Arial" w:eastAsia="Arial" w:hAnsi="Arial" w:cs="Arial"/>
        </w:rPr>
      </w:pPr>
    </w:p>
    <w:p w14:paraId="00000016" w14:textId="77777777" w:rsidR="00870DEB" w:rsidRDefault="00DA5E3D">
      <w:pPr>
        <w:spacing w:before="240" w:after="240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</w:p>
    <w:p w14:paraId="00000017" w14:textId="77777777" w:rsidR="00870DEB" w:rsidRDefault="00DA5E3D">
      <w:pPr>
        <w:tabs>
          <w:tab w:val="left" w:pos="2268"/>
        </w:tabs>
        <w:spacing w:after="120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Zhotovitel: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Stepan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Tykholiz</w:t>
      </w:r>
      <w:proofErr w:type="spellEnd"/>
    </w:p>
    <w:p w14:paraId="00000018" w14:textId="77777777" w:rsidR="00870DEB" w:rsidRDefault="00DA5E3D">
      <w:pPr>
        <w:tabs>
          <w:tab w:val="left" w:pos="2268"/>
        </w:tabs>
        <w:spacing w:after="120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Žlíbek</w:t>
      </w:r>
      <w:proofErr w:type="spellEnd"/>
      <w:r>
        <w:rPr>
          <w:rFonts w:ascii="Arial" w:eastAsia="Arial" w:hAnsi="Arial" w:cs="Arial"/>
        </w:rPr>
        <w:t xml:space="preserve"> 69, Prace</w:t>
      </w:r>
    </w:p>
    <w:p w14:paraId="00000019" w14:textId="77777777" w:rsidR="00870DEB" w:rsidRDefault="00870DEB">
      <w:pPr>
        <w:tabs>
          <w:tab w:val="left" w:pos="2268"/>
        </w:tabs>
        <w:ind w:left="426"/>
        <w:rPr>
          <w:rFonts w:ascii="Arial" w:eastAsia="Arial" w:hAnsi="Arial" w:cs="Arial"/>
        </w:rPr>
      </w:pPr>
    </w:p>
    <w:p w14:paraId="0000001A" w14:textId="77777777" w:rsidR="00870DEB" w:rsidRDefault="00DA5E3D">
      <w:pPr>
        <w:tabs>
          <w:tab w:val="left" w:pos="2268"/>
        </w:tabs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1B" w14:textId="77777777" w:rsidR="00870DEB" w:rsidRDefault="00DA5E3D">
      <w:pPr>
        <w:tabs>
          <w:tab w:val="left" w:pos="2268"/>
        </w:tabs>
        <w:spacing w:after="60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 věcech smluvních oprávněn jednat: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Stepan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Tykholiz</w:t>
      </w:r>
      <w:proofErr w:type="spellEnd"/>
    </w:p>
    <w:p w14:paraId="0000001C" w14:textId="77777777" w:rsidR="00870DEB" w:rsidRDefault="00DA5E3D">
      <w:pPr>
        <w:tabs>
          <w:tab w:val="left" w:pos="2268"/>
        </w:tabs>
        <w:spacing w:after="120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1D" w14:textId="77777777" w:rsidR="00870DEB" w:rsidRDefault="00DA5E3D">
      <w:pPr>
        <w:tabs>
          <w:tab w:val="left" w:pos="2268"/>
        </w:tabs>
        <w:spacing w:after="60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 věcech technických oprávněn jednat: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Stepan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Tykholiz</w:t>
      </w:r>
      <w:proofErr w:type="spellEnd"/>
    </w:p>
    <w:p w14:paraId="0000001E" w14:textId="77777777" w:rsidR="00870DEB" w:rsidRDefault="00DA5E3D">
      <w:pPr>
        <w:tabs>
          <w:tab w:val="left" w:pos="2268"/>
        </w:tabs>
        <w:ind w:left="426"/>
        <w:rPr>
          <w:rFonts w:ascii="Arial" w:eastAsia="Arial" w:hAnsi="Arial" w:cs="Arial"/>
          <w:highlight w:val="red"/>
        </w:rPr>
      </w:pPr>
      <w:r>
        <w:rPr>
          <w:rFonts w:ascii="Arial" w:eastAsia="Arial" w:hAnsi="Arial" w:cs="Arial"/>
        </w:rPr>
        <w:tab/>
        <w:t xml:space="preserve"> </w:t>
      </w:r>
    </w:p>
    <w:p w14:paraId="0000001F" w14:textId="77777777" w:rsidR="00870DEB" w:rsidRDefault="00DA5E3D">
      <w:pPr>
        <w:tabs>
          <w:tab w:val="left" w:pos="2268"/>
        </w:tabs>
        <w:spacing w:after="120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IČ: 28341163</w:t>
      </w:r>
      <w:r>
        <w:rPr>
          <w:rFonts w:ascii="Arial" w:eastAsia="Arial" w:hAnsi="Arial" w:cs="Arial"/>
        </w:rPr>
        <w:tab/>
        <w:t xml:space="preserve"> </w:t>
      </w:r>
    </w:p>
    <w:p w14:paraId="00000020" w14:textId="77777777" w:rsidR="00870DEB" w:rsidRDefault="00DA5E3D">
      <w:pPr>
        <w:tabs>
          <w:tab w:val="left" w:pos="2268"/>
        </w:tabs>
        <w:spacing w:after="120"/>
        <w:ind w:left="425"/>
      </w:pPr>
      <w:r>
        <w:rPr>
          <w:rFonts w:ascii="Arial" w:eastAsia="Arial" w:hAnsi="Arial" w:cs="Arial"/>
        </w:rPr>
        <w:t xml:space="preserve">Bankovní spojení: mBank, č. </w:t>
      </w:r>
      <w:proofErr w:type="spellStart"/>
      <w:r>
        <w:rPr>
          <w:rFonts w:ascii="Arial" w:eastAsia="Arial" w:hAnsi="Arial" w:cs="Arial"/>
        </w:rPr>
        <w:t>ú.</w:t>
      </w:r>
      <w:proofErr w:type="spellEnd"/>
      <w:r>
        <w:rPr>
          <w:rFonts w:ascii="Arial" w:eastAsia="Arial" w:hAnsi="Arial" w:cs="Arial"/>
        </w:rPr>
        <w:t>: 670100-2216046322/6210</w:t>
      </w:r>
      <w:r>
        <w:rPr>
          <w:rFonts w:ascii="Arial" w:eastAsia="Arial" w:hAnsi="Arial" w:cs="Arial"/>
        </w:rPr>
        <w:tab/>
      </w:r>
    </w:p>
    <w:p w14:paraId="00000021" w14:textId="77777777" w:rsidR="00870DEB" w:rsidRDefault="00870DEB"/>
    <w:p w14:paraId="00000022" w14:textId="77777777" w:rsidR="00870DEB" w:rsidRDefault="00870DEB"/>
    <w:p w14:paraId="00000023" w14:textId="77777777" w:rsidR="00870DEB" w:rsidRDefault="00870DEB"/>
    <w:p w14:paraId="00000024" w14:textId="77777777" w:rsidR="00870DEB" w:rsidRDefault="00870DEB"/>
    <w:p w14:paraId="00000025" w14:textId="77777777" w:rsidR="00870DEB" w:rsidRDefault="00DA5E3D">
      <w:pPr>
        <w:pStyle w:val="Nadpis2"/>
        <w:pageBreakBefore/>
        <w:spacing w:before="360" w:after="120"/>
        <w:ind w:left="284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Předmět plnění:</w:t>
      </w:r>
    </w:p>
    <w:p w14:paraId="00000026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Předmětem plnění je veřejná zakázka </w:t>
      </w:r>
      <w:r>
        <w:rPr>
          <w:rFonts w:ascii="Arial" w:eastAsia="Arial" w:hAnsi="Arial" w:cs="Arial"/>
          <w:b/>
        </w:rPr>
        <w:t>„dosadba zeleně v parku TGM Rybnická“</w:t>
      </w:r>
      <w:r>
        <w:rPr>
          <w:rFonts w:ascii="Arial" w:eastAsia="Arial" w:hAnsi="Arial" w:cs="Arial"/>
        </w:rPr>
        <w:t xml:space="preserve"> dle přiložené projektové dokumentace zpracované Ing. Evou Wagnerovou.</w:t>
      </w:r>
    </w:p>
    <w:p w14:paraId="00000027" w14:textId="77777777" w:rsidR="00870DEB" w:rsidRDefault="00870DEB">
      <w:pPr>
        <w:widowControl w:val="0"/>
        <w:ind w:left="426"/>
        <w:rPr>
          <w:rFonts w:ascii="Arial" w:eastAsia="Arial" w:hAnsi="Arial" w:cs="Arial"/>
        </w:rPr>
      </w:pPr>
    </w:p>
    <w:p w14:paraId="00000028" w14:textId="77777777" w:rsidR="00870DEB" w:rsidRDefault="00DA5E3D">
      <w:pPr>
        <w:pStyle w:val="Nadpis2"/>
        <w:spacing w:before="360" w:after="120"/>
        <w:ind w:left="284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Cena díla:</w:t>
      </w:r>
    </w:p>
    <w:p w14:paraId="00000029" w14:textId="77777777" w:rsidR="00870DEB" w:rsidRDefault="00DA5E3D">
      <w:pPr>
        <w:spacing w:after="120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 xml:space="preserve">Cena díla je stanovena dohodou smluvních stran dle nabídky zhotovitele ze dne 2.03.2022 </w:t>
      </w:r>
      <w:r>
        <w:rPr>
          <w:rFonts w:ascii="Arial" w:eastAsia="Arial" w:hAnsi="Arial" w:cs="Arial"/>
        </w:rPr>
        <w:t>která je nedílnou součástí smlouvy o dílo. Tato cena je nejvýše přípustná, zahrnuje náklady potřebné ke kompletnímu provedení díla dle obdržených podkladů a je platná po celou dobu realizace díla.</w:t>
      </w:r>
    </w:p>
    <w:p w14:paraId="0000002A" w14:textId="77777777" w:rsidR="00870DEB" w:rsidRDefault="00870DEB">
      <w:pPr>
        <w:spacing w:after="120"/>
        <w:ind w:left="425"/>
        <w:rPr>
          <w:rFonts w:ascii="Arial" w:eastAsia="Arial" w:hAnsi="Arial" w:cs="Arial"/>
        </w:rPr>
      </w:pPr>
    </w:p>
    <w:p w14:paraId="0000002B" w14:textId="357FD038" w:rsidR="00870DEB" w:rsidRDefault="00DA5E3D">
      <w:pPr>
        <w:spacing w:after="120"/>
        <w:ind w:left="425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Celková cena díla:</w:t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  <w:t>252 </w:t>
      </w:r>
      <w:r w:rsidR="00663D75">
        <w:rPr>
          <w:rFonts w:ascii="Arial" w:eastAsia="Arial" w:hAnsi="Arial" w:cs="Arial"/>
          <w:b/>
          <w:sz w:val="28"/>
          <w:szCs w:val="28"/>
        </w:rPr>
        <w:t>138</w:t>
      </w:r>
      <w:r>
        <w:rPr>
          <w:rFonts w:ascii="Arial" w:eastAsia="Arial" w:hAnsi="Arial" w:cs="Arial"/>
          <w:b/>
          <w:sz w:val="28"/>
          <w:szCs w:val="28"/>
        </w:rPr>
        <w:t>,-Kč</w:t>
      </w:r>
    </w:p>
    <w:p w14:paraId="0000002C" w14:textId="77777777" w:rsidR="00870DEB" w:rsidRDefault="00DA5E3D">
      <w:pPr>
        <w:spacing w:after="120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Zhotovitel není plátce DPH.</w:t>
      </w:r>
    </w:p>
    <w:p w14:paraId="0000002D" w14:textId="77777777" w:rsidR="00870DEB" w:rsidRDefault="00870DEB"/>
    <w:p w14:paraId="0000002E" w14:textId="77777777" w:rsidR="00870DEB" w:rsidRDefault="00DA5E3D">
      <w:pPr>
        <w:spacing w:before="120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Práce prováděné nad rámec této smlouvy budou oceněny jako vícepráce, a to vždy na základě samostatné dohody mezi zadavatelem a zhotovitelem a následným dodatkem ke smlouvě o dílo.</w:t>
      </w:r>
    </w:p>
    <w:p w14:paraId="0000002F" w14:textId="77777777" w:rsidR="00870DEB" w:rsidRDefault="00DA5E3D">
      <w:pPr>
        <w:pStyle w:val="Nadpis2"/>
        <w:spacing w:before="360" w:after="120"/>
        <w:ind w:left="284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Termín plnění:</w:t>
      </w:r>
    </w:p>
    <w:p w14:paraId="00000030" w14:textId="70105921" w:rsidR="00870DEB" w:rsidRDefault="00DA5E3D">
      <w:pPr>
        <w:spacing w:after="120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Zahájení prací: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7D4E9B">
        <w:rPr>
          <w:rFonts w:ascii="Arial" w:eastAsia="Arial" w:hAnsi="Arial" w:cs="Arial"/>
        </w:rPr>
        <w:t>květen</w:t>
      </w:r>
      <w:r>
        <w:rPr>
          <w:rFonts w:ascii="Arial" w:eastAsia="Arial" w:hAnsi="Arial" w:cs="Arial"/>
        </w:rPr>
        <w:t xml:space="preserve"> 2022</w:t>
      </w:r>
    </w:p>
    <w:p w14:paraId="00000031" w14:textId="77777777" w:rsidR="00870DEB" w:rsidRDefault="00DA5E3D">
      <w:pPr>
        <w:spacing w:after="120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Dokončení prací: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prosinec 2022</w:t>
      </w:r>
    </w:p>
    <w:p w14:paraId="00000032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Předání díla: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prosinec 2022</w:t>
      </w:r>
    </w:p>
    <w:p w14:paraId="00000033" w14:textId="77777777" w:rsidR="00870DEB" w:rsidRDefault="00870DEB">
      <w:pPr>
        <w:ind w:left="426"/>
        <w:rPr>
          <w:rFonts w:ascii="Arial" w:eastAsia="Arial" w:hAnsi="Arial" w:cs="Arial"/>
        </w:rPr>
      </w:pPr>
    </w:p>
    <w:p w14:paraId="00000034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Záruka za dílo – odpovědnost za vady: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Stepan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Tykholiz</w:t>
      </w:r>
      <w:proofErr w:type="spellEnd"/>
    </w:p>
    <w:p w14:paraId="00000035" w14:textId="77777777" w:rsidR="00870DEB" w:rsidRDefault="00870DEB">
      <w:pPr>
        <w:ind w:left="0"/>
        <w:rPr>
          <w:rFonts w:ascii="Arial" w:eastAsia="Arial" w:hAnsi="Arial" w:cs="Arial"/>
        </w:rPr>
      </w:pPr>
    </w:p>
    <w:p w14:paraId="00000036" w14:textId="77777777" w:rsidR="00870DEB" w:rsidRDefault="00870DEB">
      <w:pPr>
        <w:ind w:left="426"/>
        <w:rPr>
          <w:rFonts w:ascii="Arial" w:eastAsia="Arial" w:hAnsi="Arial" w:cs="Arial"/>
        </w:rPr>
      </w:pPr>
    </w:p>
    <w:p w14:paraId="00000037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</w:t>
      </w:r>
    </w:p>
    <w:p w14:paraId="00000038" w14:textId="77777777" w:rsidR="00870DEB" w:rsidRDefault="00DA5E3D">
      <w:pPr>
        <w:pStyle w:val="Nadpis2"/>
        <w:spacing w:before="360" w:after="120"/>
        <w:ind w:left="284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Platební a fakturační podmínky:</w:t>
      </w:r>
    </w:p>
    <w:p w14:paraId="00000039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Zhotovitel nepožaduje žádné zálohy na prováděné práce ani na materiál. </w:t>
      </w:r>
    </w:p>
    <w:p w14:paraId="0000003A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 dokončení a předání díla bude vystavena jediná faktura. Jejich přílohou bude soupis provedených prací odsouhlasený zástupcem objednatele. Splatnost faktury je stanovena na 14 dnů od převzetí faktury. </w:t>
      </w:r>
    </w:p>
    <w:p w14:paraId="0000003B" w14:textId="77777777" w:rsidR="00870DEB" w:rsidRDefault="00DA5E3D">
      <w:pPr>
        <w:pStyle w:val="Nadpis2"/>
        <w:spacing w:before="360" w:after="120"/>
        <w:ind w:left="284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Smluvní pokuty:</w:t>
      </w:r>
    </w:p>
    <w:p w14:paraId="0000003C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Bude-li zhotovitel v prodlení s předáním předmětu díla oproti termínu uvedeného ve smlouvě o dílo, je povinen zaplatit objednateli smluvní pokutu ve výši </w:t>
      </w:r>
      <w:proofErr w:type="gramStart"/>
      <w:r>
        <w:rPr>
          <w:rFonts w:ascii="Arial" w:eastAsia="Arial" w:hAnsi="Arial" w:cs="Arial"/>
        </w:rPr>
        <w:t>0,1%</w:t>
      </w:r>
      <w:proofErr w:type="gramEnd"/>
      <w:r>
        <w:rPr>
          <w:rFonts w:ascii="Arial" w:eastAsia="Arial" w:hAnsi="Arial" w:cs="Arial"/>
        </w:rPr>
        <w:t xml:space="preserve"> za každý den prodlení.</w:t>
      </w:r>
    </w:p>
    <w:p w14:paraId="0000003D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Bude-li zhotovitel v prodlení s odstraněním případných vad a nedodělků, je povinen zaplatit objednateli smluvní pokutu ve výši 1000,- Kč za každou vadu a den.</w:t>
      </w:r>
    </w:p>
    <w:p w14:paraId="0000003E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Neuhradí-li objednatel fakturu ve sjednaném termínu splatnosti nebudou zhotovitelem uplatňovány žádné smluvní pokuty.</w:t>
      </w:r>
    </w:p>
    <w:p w14:paraId="0000003F" w14:textId="77777777" w:rsidR="00870DEB" w:rsidRDefault="00DA5E3D">
      <w:pPr>
        <w:pStyle w:val="Nadpis2"/>
        <w:spacing w:before="360" w:after="120"/>
        <w:ind w:left="284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Závazky zhotovitele:</w:t>
      </w:r>
    </w:p>
    <w:p w14:paraId="00000040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Provést kompletní dílo vlastním jménem a na vlastní odpovědnost.</w:t>
      </w:r>
    </w:p>
    <w:p w14:paraId="00000041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Zajistit plynulé provádění díla.</w:t>
      </w:r>
    </w:p>
    <w:p w14:paraId="00000042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Dodržovat bezpečnostní předpisy a předpisy související s druhem prováděných prací.</w:t>
      </w:r>
    </w:p>
    <w:p w14:paraId="00000043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Spolupracovat se zadavatelem při řešení případných nejasností vzniklých při realizaci díla a při předání díla.</w:t>
      </w:r>
    </w:p>
    <w:p w14:paraId="00000044" w14:textId="77777777" w:rsidR="00870DEB" w:rsidRDefault="00870DEB">
      <w:pPr>
        <w:ind w:left="426"/>
        <w:rPr>
          <w:rFonts w:ascii="Arial" w:eastAsia="Arial" w:hAnsi="Arial" w:cs="Arial"/>
        </w:rPr>
      </w:pPr>
    </w:p>
    <w:p w14:paraId="00000045" w14:textId="77777777" w:rsidR="00870DEB" w:rsidRDefault="00870DEB">
      <w:pPr>
        <w:ind w:left="426"/>
        <w:rPr>
          <w:rFonts w:ascii="Arial" w:eastAsia="Arial" w:hAnsi="Arial" w:cs="Arial"/>
        </w:rPr>
      </w:pPr>
    </w:p>
    <w:p w14:paraId="00000046" w14:textId="77777777" w:rsidR="00870DEB" w:rsidRDefault="00DA5E3D">
      <w:pPr>
        <w:pStyle w:val="Nadpis2"/>
        <w:spacing w:before="360" w:after="120"/>
        <w:ind w:left="284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Závazky objednatele:</w:t>
      </w:r>
    </w:p>
    <w:p w14:paraId="00000047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Pravidelně přejímat provedené práce nebo dílčí části. </w:t>
      </w:r>
    </w:p>
    <w:p w14:paraId="00000048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Spolupracovat při řešení případných nejasností vzniklých při realizaci díla.</w:t>
      </w:r>
    </w:p>
    <w:p w14:paraId="00000049" w14:textId="77777777" w:rsidR="00870DEB" w:rsidRDefault="00870DEB">
      <w:pPr>
        <w:ind w:left="426"/>
        <w:rPr>
          <w:rFonts w:ascii="Arial" w:eastAsia="Arial" w:hAnsi="Arial" w:cs="Arial"/>
        </w:rPr>
      </w:pPr>
    </w:p>
    <w:p w14:paraId="0000004A" w14:textId="77777777" w:rsidR="00870DEB" w:rsidRDefault="00DA5E3D">
      <w:pPr>
        <w:pStyle w:val="Nadpis2"/>
        <w:spacing w:before="360" w:after="120"/>
        <w:ind w:left="284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Předání díla:</w:t>
      </w:r>
    </w:p>
    <w:p w14:paraId="0000004B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Odevzdání a převzetí dokončených prací se řídí příslušnými ustanoveními občanského zákoníku, pokud dále není uvedeno jinak.</w:t>
      </w:r>
    </w:p>
    <w:p w14:paraId="0000004C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Zhotovitel nejpozději 5 dnů předem oznámí písemně zadavateli, že práce jsou připraveny k převzetí.  stran.</w:t>
      </w:r>
    </w:p>
    <w:p w14:paraId="0000004D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Dokončeným dílem se rozumí kompletně dokončené funkční dílo schopné uvedení do provozu bez vad a nedodělků bránících bezpečnému a funkčnímu provozu díla.</w:t>
      </w:r>
    </w:p>
    <w:p w14:paraId="0000004E" w14:textId="77777777" w:rsidR="00870DEB" w:rsidRDefault="00DA5E3D">
      <w:pPr>
        <w:pStyle w:val="Nadpis2"/>
        <w:spacing w:before="360" w:after="120"/>
        <w:ind w:left="284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Závěrečná ustanovení:</w:t>
      </w:r>
    </w:p>
    <w:p w14:paraId="0000004F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Není-li stanoveno touto smlouvou jinak, řídí se vztahy mezi smluvními stranami příslušnými ustanoveními občanského zákoníku.</w:t>
      </w:r>
    </w:p>
    <w:p w14:paraId="00000050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Smlouvu lze měnit či doplňovat pouze písemnými dodatky podepsanými oběma smluvními stranami.</w:t>
      </w:r>
    </w:p>
    <w:p w14:paraId="00000051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Smlouva je vyhotovena ve 2 stejnopisech, z nichž 1 originál obdrží objednatel a 1 zhotovitel.</w:t>
      </w:r>
    </w:p>
    <w:p w14:paraId="00000052" w14:textId="77777777" w:rsidR="00870DEB" w:rsidRDefault="00DA5E3D">
      <w:pPr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smlouva má 3 strany.</w:t>
      </w:r>
    </w:p>
    <w:p w14:paraId="00000053" w14:textId="77777777" w:rsidR="00870DEB" w:rsidRDefault="00DA5E3D">
      <w:pPr>
        <w:tabs>
          <w:tab w:val="left" w:pos="5245"/>
        </w:tabs>
        <w:spacing w:before="600" w:line="260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 Brně dne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highlight w:val="white"/>
        </w:rPr>
        <w:t>V Brně dne</w:t>
      </w:r>
      <w:r>
        <w:rPr>
          <w:rFonts w:ascii="Arial" w:eastAsia="Arial" w:hAnsi="Arial" w:cs="Arial"/>
        </w:rPr>
        <w:t xml:space="preserve"> </w:t>
      </w:r>
    </w:p>
    <w:p w14:paraId="00000054" w14:textId="77777777" w:rsidR="00870DEB" w:rsidRDefault="00DA5E3D">
      <w:pPr>
        <w:tabs>
          <w:tab w:val="left" w:pos="5245"/>
        </w:tabs>
        <w:spacing w:before="600" w:line="260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zadavatele:</w:t>
      </w:r>
      <w:r>
        <w:rPr>
          <w:rFonts w:ascii="Arial" w:eastAsia="Arial" w:hAnsi="Arial" w:cs="Arial"/>
        </w:rPr>
        <w:tab/>
        <w:t>Za zhotovitele:</w:t>
      </w:r>
    </w:p>
    <w:p w14:paraId="00000055" w14:textId="77777777" w:rsidR="00870DEB" w:rsidRDefault="00DA5E3D">
      <w:pPr>
        <w:tabs>
          <w:tab w:val="left" w:pos="5245"/>
        </w:tabs>
        <w:spacing w:before="240" w:line="260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511F6EAA" w14:textId="77777777" w:rsidR="00DA5E3D" w:rsidRPr="00D363AB" w:rsidRDefault="00DA5E3D" w:rsidP="00DA5E3D">
      <w:pPr>
        <w:spacing w:line="240" w:lineRule="atLeast"/>
        <w:jc w:val="center"/>
        <w:rPr>
          <w:b/>
          <w:bCs/>
          <w:i/>
          <w:iCs/>
          <w:sz w:val="22"/>
        </w:rPr>
      </w:pPr>
      <w:r w:rsidRPr="00D363AB">
        <w:rPr>
          <w:b/>
          <w:bCs/>
          <w:i/>
          <w:iCs/>
          <w:sz w:val="22"/>
        </w:rPr>
        <w:t xml:space="preserve">Doložka </w:t>
      </w:r>
    </w:p>
    <w:p w14:paraId="3DE54E05" w14:textId="77777777" w:rsidR="00DA5E3D" w:rsidRPr="00D363AB" w:rsidRDefault="00DA5E3D" w:rsidP="00DA5E3D">
      <w:pPr>
        <w:spacing w:line="240" w:lineRule="atLeast"/>
        <w:jc w:val="center"/>
        <w:rPr>
          <w:b/>
          <w:bCs/>
          <w:i/>
          <w:iCs/>
          <w:sz w:val="22"/>
        </w:rPr>
      </w:pPr>
      <w:r w:rsidRPr="00D363AB">
        <w:rPr>
          <w:b/>
          <w:bCs/>
          <w:i/>
          <w:iCs/>
          <w:sz w:val="22"/>
        </w:rPr>
        <w:t>ve smyslu § 41 zákona č. 128/2000 Sb., o obcích (obecní zřízení), v platném znění</w:t>
      </w:r>
    </w:p>
    <w:p w14:paraId="20EEDCA0" w14:textId="6E122E9A" w:rsidR="00DA5E3D" w:rsidRPr="00D363AB" w:rsidRDefault="00DA5E3D" w:rsidP="00DA5E3D">
      <w:pPr>
        <w:spacing w:before="120" w:line="240" w:lineRule="atLeast"/>
        <w:rPr>
          <w:i/>
          <w:iCs/>
          <w:sz w:val="22"/>
        </w:rPr>
      </w:pPr>
      <w:r>
        <w:rPr>
          <w:i/>
          <w:iCs/>
          <w:sz w:val="22"/>
        </w:rPr>
        <w:t>smlouva</w:t>
      </w:r>
      <w:r w:rsidRPr="00D363AB">
        <w:rPr>
          <w:i/>
          <w:iCs/>
          <w:sz w:val="22"/>
        </w:rPr>
        <w:t xml:space="preserve"> o dílo č.</w:t>
      </w:r>
      <w:r w:rsidRPr="00201FD2">
        <w:t xml:space="preserve"> </w:t>
      </w:r>
      <w:r w:rsidRPr="00586522">
        <w:t>SML059/2022/OSV</w:t>
      </w:r>
      <w:r>
        <w:rPr>
          <w:i/>
          <w:iCs/>
          <w:sz w:val="22"/>
        </w:rPr>
        <w:t xml:space="preserve"> </w:t>
      </w:r>
      <w:r w:rsidRPr="00D363AB">
        <w:rPr>
          <w:i/>
          <w:iCs/>
          <w:sz w:val="22"/>
        </w:rPr>
        <w:t>byl</w:t>
      </w:r>
      <w:r>
        <w:rPr>
          <w:i/>
          <w:iCs/>
          <w:sz w:val="22"/>
        </w:rPr>
        <w:t>a</w:t>
      </w:r>
      <w:r w:rsidRPr="00D363AB">
        <w:rPr>
          <w:i/>
          <w:iCs/>
          <w:sz w:val="22"/>
        </w:rPr>
        <w:t xml:space="preserve"> projednána a schválena na zasedání Rady městské části Brno-Nový Lískovec č.  </w:t>
      </w:r>
      <w:r w:rsidR="0013049B">
        <w:rPr>
          <w:i/>
          <w:iCs/>
          <w:sz w:val="22"/>
        </w:rPr>
        <w:t>10</w:t>
      </w:r>
      <w:r>
        <w:rPr>
          <w:i/>
          <w:iCs/>
          <w:sz w:val="22"/>
        </w:rPr>
        <w:t xml:space="preserve"> /2022</w:t>
      </w:r>
    </w:p>
    <w:p w14:paraId="0692B28E" w14:textId="5F7D80C6" w:rsidR="00DA5E3D" w:rsidRPr="00D363AB" w:rsidRDefault="00DA5E3D" w:rsidP="00DA5E3D">
      <w:pPr>
        <w:spacing w:before="120" w:line="240" w:lineRule="atLeast"/>
        <w:rPr>
          <w:sz w:val="22"/>
        </w:rPr>
      </w:pPr>
      <w:r w:rsidRPr="00D363AB">
        <w:rPr>
          <w:i/>
          <w:iCs/>
          <w:sz w:val="22"/>
        </w:rPr>
        <w:t xml:space="preserve"> které se konalo dne  </w:t>
      </w:r>
      <w:r>
        <w:rPr>
          <w:i/>
          <w:iCs/>
          <w:sz w:val="22"/>
        </w:rPr>
        <w:t xml:space="preserve"> </w:t>
      </w:r>
      <w:r w:rsidR="0013049B">
        <w:rPr>
          <w:i/>
          <w:iCs/>
          <w:sz w:val="22"/>
        </w:rPr>
        <w:t>4.5.2022</w:t>
      </w:r>
    </w:p>
    <w:p w14:paraId="00000056" w14:textId="77777777" w:rsidR="00870DEB" w:rsidRDefault="00870DEB"/>
    <w:sectPr w:rsidR="00870DEB" w:rsidSect="00DA5E3D">
      <w:pgSz w:w="11906" w:h="16838"/>
      <w:pgMar w:top="1417" w:right="1133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630FC"/>
    <w:multiLevelType w:val="multilevel"/>
    <w:tmpl w:val="DB40BFE6"/>
    <w:lvl w:ilvl="0">
      <w:start w:val="1"/>
      <w:numFmt w:val="upperRoman"/>
      <w:pStyle w:val="Nadpis2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EB"/>
    <w:rsid w:val="0013049B"/>
    <w:rsid w:val="00586522"/>
    <w:rsid w:val="00663D75"/>
    <w:rsid w:val="007D4E9B"/>
    <w:rsid w:val="00870DEB"/>
    <w:rsid w:val="00DA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AE36"/>
  <w15:docId w15:val="{F44CA14D-3105-408B-910F-E9AB5781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>
      <w:pPr>
        <w:spacing w:line="259" w:lineRule="auto"/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105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02105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2105"/>
    <w:pPr>
      <w:keepNext/>
      <w:keepLines/>
      <w:numPr>
        <w:numId w:val="1"/>
      </w:numPr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D02105"/>
    <w:rPr>
      <w:rFonts w:asciiTheme="majorHAnsi" w:eastAsiaTheme="majorEastAsia" w:hAnsiTheme="majorHAnsi" w:cstheme="majorBid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02105"/>
    <w:rPr>
      <w:rFonts w:asciiTheme="majorHAnsi" w:eastAsiaTheme="majorEastAsia" w:hAnsiTheme="majorHAnsi" w:cstheme="majorBidi"/>
      <w:b/>
      <w:color w:val="000000" w:themeColor="text1"/>
      <w:sz w:val="24"/>
      <w:szCs w:val="26"/>
      <w:lang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DA5E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A5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kosova@nliskovec.brn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0m31r4intzRkGOjiw5Xif4nRnQ==">AMUW2mVhiSvYnmnzsoUvy0IoLQu1KlDc8CbcJPI4zPwTTKHiLlKHwQnWphwfc7bj/7dZzQv+Rvr604lnZeT6NN1RqyPAVlggY/3c3IVoShx7FyF+vhN8l34=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Slaná</dc:creator>
  <cp:lastModifiedBy>Šípek Michal (MČ Brno-Nový Lískovec)</cp:lastModifiedBy>
  <cp:revision>5</cp:revision>
  <dcterms:created xsi:type="dcterms:W3CDTF">2022-03-30T08:30:00Z</dcterms:created>
  <dcterms:modified xsi:type="dcterms:W3CDTF">2022-05-23T09:00:00Z</dcterms:modified>
</cp:coreProperties>
</file>