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r>
        <w:rPr>
          <w:rStyle w:val="CharStyle6"/>
        </w:rPr>
        <w:t>Illllllllllllllllllllllll</w:t>
      </w:r>
      <w:bookmarkEnd w:id="0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rStyle w:val="CharStyle11"/>
        </w:rPr>
        <w:t>2022003202</w:t>
      </w:r>
    </w:p>
    <w:p>
      <w:pPr>
        <w:pStyle w:val="Style1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13"/>
          <w:b/>
          <w:bCs/>
        </w:rPr>
        <w:t>KUPNÍ SMLOUVA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r>
        <w:rPr>
          <w:rStyle w:val="CharStyle15"/>
        </w:rPr>
        <w:t>uzavřená v souladu s ustanovením § 2079 a násl. zákona č. 89/2012 Sb., občanský zákoník,</w:t>
        <w:br/>
        <w:t>mezi níže uvedenými smluvními stranami</w:t>
      </w:r>
      <w:bookmarkEnd w:id="2"/>
    </w:p>
    <w:tbl>
      <w:tblPr>
        <w:tblOverlap w:val="never"/>
        <w:jc w:val="left"/>
        <w:tblLayout w:type="fixed"/>
      </w:tblPr>
      <w:tblGrid>
        <w:gridCol w:w="2621"/>
        <w:gridCol w:w="5054"/>
      </w:tblGrid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Zdravotnická záchranná služba Jihomoravského kraje</w:t>
            </w:r>
          </w:p>
        </w:tc>
      </w:tr>
      <w:tr>
        <w:trPr>
          <w:trHeight w:val="213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Sídlo: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Jednající: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Kontaktní osoba: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IČO: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DIČ: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Zápis v OR: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příspěvková organizace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0"/>
              </w:rPr>
              <w:t>Kamenice 798/1 d, 625 00 Brno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0"/>
              </w:rPr>
              <w:t>MUDr. Hana Albrechtová, ředitelka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0"/>
                <w:spacing w:val="4"/>
                <w:shd w:val="clear" w:color="auto" w:fill="000000"/>
              </w:rPr>
              <w:t>..........</w:t>
            </w:r>
            <w:r>
              <w:rPr>
                <w:rStyle w:val="CharStyle20"/>
                <w:shd w:val="clear" w:color="auto" w:fill="000000"/>
              </w:rPr>
              <w:t>​.</w:t>
            </w:r>
            <w:r>
              <w:rPr>
                <w:rStyle w:val="CharStyle20"/>
                <w:spacing w:val="1"/>
                <w:shd w:val="clear" w:color="auto" w:fill="000000"/>
              </w:rPr>
              <w:t>..........</w:t>
            </w:r>
            <w:r>
              <w:rPr>
                <w:rStyle w:val="CharStyle20"/>
                <w:u w:val="single"/>
                <w:shd w:val="clear" w:color="auto" w:fill="000000"/>
                <w:lang w:val="en-US" w:eastAsia="en-US" w:bidi="en-US"/>
              </w:rPr>
              <w:t>​.....</w:t>
            </w:r>
            <w:r>
              <w:rPr>
                <w:rStyle w:val="CharStyle20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</w:t>
            </w:r>
            <w:r>
              <w:rPr>
                <w:rStyle w:val="CharStyle20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8"/>
                <w:shd w:val="clear" w:color="auto" w:fill="000000"/>
              </w:rPr>
              <w:t>.....</w:t>
            </w:r>
            <w:r>
              <w:rPr>
                <w:rStyle w:val="CharStyle20"/>
                <w:shd w:val="clear" w:color="auto" w:fill="000000"/>
              </w:rPr>
              <w:t>​....</w:t>
            </w:r>
            <w:r>
              <w:rPr>
                <w:rStyle w:val="CharStyle20"/>
                <w:spacing w:val="1"/>
                <w:shd w:val="clear" w:color="auto" w:fill="000000"/>
              </w:rPr>
              <w:t>.....</w:t>
            </w:r>
            <w:r>
              <w:rPr>
                <w:rStyle w:val="CharStyle20"/>
                <w:shd w:val="clear" w:color="auto" w:fill="000000"/>
              </w:rPr>
              <w:t>​.......​</w:t>
            </w:r>
            <w:r>
              <w:rPr>
                <w:rStyle w:val="CharStyle20"/>
                <w:spacing w:val="6"/>
                <w:shd w:val="clear" w:color="auto" w:fill="000000"/>
              </w:rPr>
              <w:t>.....</w:t>
            </w:r>
            <w:r>
              <w:rPr>
                <w:rStyle w:val="CharStyle20"/>
                <w:spacing w:val="7"/>
                <w:shd w:val="clear" w:color="auto" w:fill="000000"/>
              </w:rPr>
              <w:t>.</w:t>
            </w:r>
            <w:r>
              <w:rPr>
                <w:rStyle w:val="CharStyle20"/>
                <w:shd w:val="clear" w:color="auto" w:fill="000000"/>
              </w:rPr>
              <w:t>​......</w:t>
            </w:r>
            <w:r>
              <w:rPr>
                <w:rStyle w:val="CharStyle20"/>
              </w:rPr>
              <w:t xml:space="preserve"> 00346292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0"/>
              </w:rPr>
              <w:t>CZ00346292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0"/>
              </w:rPr>
              <w:t>Krajský soud v Brně sp. zn. Pr 1245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0"/>
              </w:rPr>
              <w:t>MONETA Money Bank, a.s., č. ú. 117203514/0600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 xml:space="preserve">(dále jen </w:t>
            </w:r>
            <w:r>
              <w:rPr>
                <w:rStyle w:val="CharStyle20"/>
                <w:b/>
                <w:bCs/>
                <w:i/>
                <w:iCs/>
              </w:rPr>
              <w:t>„kupující“)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a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602"/>
        <w:gridCol w:w="5141"/>
      </w:tblGrid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ARIGA s.r.o.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Holečkova 2282/76, Praha 5, 15000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Mgr. Petr Mitošínka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shd w:val="clear" w:color="auto" w:fill="000000"/>
              </w:rPr>
              <w:t>........​</w:t>
            </w:r>
            <w:r>
              <w:rPr>
                <w:rStyle w:val="CharStyle20"/>
                <w:spacing w:val="10"/>
                <w:shd w:val="clear" w:color="auto" w:fill="000000"/>
              </w:rPr>
              <w:t>..</w:t>
            </w:r>
            <w:r>
              <w:rPr>
                <w:rStyle w:val="CharStyle20"/>
                <w:spacing w:val="2"/>
                <w:shd w:val="clear" w:color="auto" w:fill="000000"/>
              </w:rPr>
              <w:t>.....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1"/>
                <w:shd w:val="clear" w:color="auto" w:fill="000000"/>
              </w:rPr>
              <w:t>..........</w:t>
            </w:r>
            <w:r>
              <w:rPr>
                <w:rStyle w:val="CharStyle20"/>
                <w:spacing w:val="2"/>
                <w:shd w:val="clear" w:color="auto" w:fill="000000"/>
              </w:rPr>
              <w:t>.....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25130293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CZ25130293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Zápis v OR:</w:t>
            </w:r>
          </w:p>
        </w:tc>
        <w:tc>
          <w:tcPr>
            <w:tcBorders/>
            <w:shd w:val="clear" w:color="auto" w:fill="FCFC49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vedeném Městským soudem v Praze oddíl C vložka 52213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100300/2010, Fio banka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7"/>
        </w:rPr>
        <w:t xml:space="preserve">(dále jen </w:t>
      </w:r>
      <w:r>
        <w:rPr>
          <w:rStyle w:val="CharStyle17"/>
          <w:b/>
          <w:bCs/>
          <w:i/>
          <w:iCs/>
        </w:rPr>
        <w:t>„prodávající )</w:t>
      </w:r>
    </w:p>
    <w:p>
      <w:pPr>
        <w:widowControl w:val="0"/>
        <w:spacing w:after="63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80" w:line="254" w:lineRule="auto"/>
        <w:ind w:left="400" w:right="0" w:hanging="400"/>
        <w:jc w:val="both"/>
      </w:pPr>
      <w:r>
        <w:rPr>
          <w:rStyle w:val="CharStyle3"/>
        </w:rPr>
        <w:t xml:space="preserve">Prodávající je oprávněn na základě svého vlastnického práva nakládat se zbožím v podobě </w:t>
      </w:r>
      <w:r>
        <w:rPr>
          <w:rStyle w:val="CharStyle3"/>
          <w:b/>
          <w:bCs/>
        </w:rPr>
        <w:t xml:space="preserve">čelových svítilen v počtu 200 ks. </w:t>
      </w:r>
      <w:r>
        <w:rPr>
          <w:rStyle w:val="CharStyle3"/>
        </w:rPr>
        <w:t>Podrobná specifikace zboží je uvedena v příloze č. 1, která je nedílnou součástí této kupní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 w:line="293" w:lineRule="auto"/>
        <w:ind w:left="400" w:right="0" w:hanging="400"/>
        <w:jc w:val="both"/>
      </w:pPr>
      <w:r>
        <w:rPr>
          <w:rStyle w:val="CharStyle3"/>
        </w:rPr>
        <w:t>Prodávající prodává zboží podle čl. 1 této smlouvy se všemi jeho součástmi a příslušenstvím kupujícímu, a kupující kupuje toto zboží do vlastnictví Jihomoravského kraje, jako jeho zřizovatele, za kupní cenu podle čl. 6 této smlouvy. Místem plnění závazku prodávajícího je sídlo kupujícího podle záhlaví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 w:line="293" w:lineRule="auto"/>
        <w:ind w:left="400" w:right="0" w:hanging="400"/>
        <w:jc w:val="both"/>
      </w:pPr>
      <w:r>
        <w:rPr>
          <w:rStyle w:val="CharStyle3"/>
        </w:rPr>
        <w:t>Součástí dodávky zboží dle čl. 1 této smlouvy je také dodání veškerých návodů k obsluze, odpovídající technické dokumentace v tištěné a datové podobě, dodání dokladů prokazujících kvalitu a schválení pro užívání v České republice, zejm. dodání příslušných atestů, certifikátů a prohlášení o shodě, to vše v českém jazyce.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/>
        <w:ind w:left="400" w:right="0" w:hanging="400"/>
        <w:jc w:val="both"/>
      </w:pPr>
      <w:r>
        <w:rPr>
          <w:rStyle w:val="CharStyle3"/>
        </w:rPr>
        <w:t xml:space="preserve">Prodávající se zavazuje splnit svůj závazek k dodání zboží podle čl. 1 této smlouvy ve lhůtě nejpozději do </w:t>
      </w:r>
      <w:r>
        <w:rPr>
          <w:rStyle w:val="CharStyle3"/>
          <w:b/>
          <w:bCs/>
        </w:rPr>
        <w:t xml:space="preserve">30 dnů ode dne účinnosti této smlouvy. </w:t>
      </w:r>
      <w:r>
        <w:rPr>
          <w:rStyle w:val="CharStyle3"/>
        </w:rPr>
        <w:t>Závazek prodávajícího k dodání zboží podle čl. 1 této smlouvy se pak považuje za splněný dnem předání a převzetí tohoto zboží, prostého všech vad, formou písemného předávacího protokolu, podepsaného oběma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3"/>
        </w:rPr>
        <w:t>Nebezpečí škody na převáděném zboží a vlastnické právo k tomuto zboží přechází z prodávajícího na kupujícího dnem splnění závazku prodávajícího k dodání tohoto zboží způsobem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80" w:line="295" w:lineRule="auto"/>
        <w:ind w:left="400" w:right="0" w:hanging="400"/>
        <w:jc w:val="both"/>
      </w:pPr>
      <w:r>
        <w:rPr>
          <w:rStyle w:val="CharStyle3"/>
        </w:rPr>
        <w:t>Kupující se zavazuje zaplatit prodávajícímu za předmět koupě a prodeje podle čl. 1 této smlouvy kupní cenu ve výši celkem: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93" w:lineRule="auto"/>
        <w:ind w:left="0" w:right="0" w:firstLine="0"/>
        <w:jc w:val="center"/>
      </w:pPr>
      <w:r>
        <w:rPr>
          <w:rStyle w:val="CharStyle3"/>
          <w:b/>
          <w:bCs/>
        </w:rPr>
        <w:t>288 000,- Kč bez DPH, tj. Celkem 348 480,- Kč včetně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95" w:lineRule="auto"/>
        <w:ind w:left="400" w:right="0" w:firstLine="20"/>
        <w:jc w:val="both"/>
      </w:pPr>
      <w:r>
        <w:rPr>
          <w:rStyle w:val="CharStyle3"/>
        </w:rPr>
        <w:t>Součástí této ceny jsou veškeré náklady prodávajícího na splnění jeho závazku k dodání zboží podle této smlouvy a daň z přidané hodnoty v sazbě podle zákona.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93" w:lineRule="auto"/>
        <w:ind w:left="400" w:right="0" w:hanging="400"/>
        <w:jc w:val="both"/>
      </w:pPr>
      <w:r>
        <w:rPr>
          <w:rStyle w:val="CharStyle3"/>
        </w:rPr>
        <w:t xml:space="preserve">Kupní cena podle čl. 6 této smlouvy je splatná na účet prodávajícího po splnění závazku prodávajícího k dodání zboží podle čl. 1 této smlouvy způsobem podle čl. 4 této smlouvy ve lhůtě do 30 dnů ode dne doručení jejího písemného vyúčtování (daňového dokladu/faktury). Faktura bude doručena rovněž elektronicky na e-mail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................................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</w:t>
      </w:r>
      <w:r>
        <w:rPr>
          <w:rStyle w:val="CharStyle3"/>
          <w:color w:val="4281BE"/>
          <w:lang w:val="en-US" w:eastAsia="en-US" w:bidi="en-US"/>
        </w:rPr>
        <w:t xml:space="preserve">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P22V00001270. </w:t>
      </w:r>
      <w:r>
        <w:rPr>
          <w:rStyle w:val="CharStyle3"/>
        </w:rPr>
        <w:t>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93" w:lineRule="auto"/>
        <w:ind w:left="400" w:right="0" w:hanging="400"/>
        <w:jc w:val="both"/>
      </w:pPr>
      <w:r>
        <w:rPr>
          <w:rStyle w:val="CharStyle3"/>
        </w:rPr>
        <w:t xml:space="preserve">S převodem zboží podle čl. 1 této smlouvy je spojena záruka za jeho jakost v trvání </w:t>
      </w:r>
      <w:r>
        <w:rPr>
          <w:rStyle w:val="CharStyle3"/>
          <w:b/>
          <w:bCs/>
        </w:rPr>
        <w:t xml:space="preserve">60 měsíců. </w:t>
      </w:r>
      <w:r>
        <w:rPr>
          <w:rStyle w:val="CharStyle3"/>
        </w:rPr>
        <w:t>V rámci této záruky se prodávající zavazuje bezplatně odstraňovat vady na zboží podle čl. 1 této smlouvy ve lhůtě do 5 dnů od doručení příslušné reklamace kupujícího. Za odstranění vady v uvedené lhůtě se přitom považuje i zapůjčení náhradního srovnatelného plnění v této lhůtě, a to na dobu nezbytnou k odstranění reklamované vady.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93" w:lineRule="auto"/>
        <w:ind w:left="400" w:right="0" w:hanging="400"/>
        <w:jc w:val="both"/>
      </w:pPr>
      <w:r>
        <w:rPr>
          <w:rStyle w:val="CharStyle3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Nepřikročí-li prodávající k odstranění vady ve lhůtě podle čl. 8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95" w:lineRule="auto"/>
        <w:ind w:left="400" w:right="0" w:hanging="400"/>
        <w:jc w:val="both"/>
      </w:pPr>
      <w:r>
        <w:rPr>
          <w:rStyle w:val="CharStyle3"/>
        </w:rPr>
        <w:t>Pro případ prodlení se splněním jeho závazku k dodání zboží ve lhůtě podle čl. 4 této smlouvy a pro případ jeho prodlení s odstraněním vady ve lhůtě podle čl. 8 této smlouvy se prodávající zavazuje platit kupujícímu smluvní pokutu ve výši 0,1 % z kupní ceny podle čl. 6 této smlouvy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95" w:lineRule="auto"/>
        <w:ind w:left="400" w:right="0" w:hanging="400"/>
        <w:jc w:val="both"/>
      </w:pPr>
      <w:r>
        <w:rPr>
          <w:rStyle w:val="CharStyle3"/>
        </w:rPr>
        <w:t>Pro případ prodlení se splněním jeho závazku k dodání zboží ve lhůtě podle čl. 4 této smlouvy o více, než 2 týdny nebo pro případ výskytu neodstranitelné vady resp. výskytu tří a více vad, a i to postupně, je kupující oprávněn odstoupit od této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prodlení kupujícího se zaplacením kupní ceny nebo její části ve lhůtě podle čl. 7 této smlouvy o víc,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95" w:lineRule="auto"/>
        <w:ind w:left="400" w:right="0" w:hanging="40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ustanovení § 2079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20 této smlouvy. Kupující přitom předem vylučuje přijetí tohoto návrhu s dodatkem nebo odchylkou ve smyslu ustanovení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93" w:lineRule="auto"/>
        <w:ind w:left="0" w:right="0" w:firstLine="0"/>
        <w:jc w:val="both"/>
      </w:pPr>
      <w:r>
        <w:rPr>
          <w:rStyle w:val="CharStyle3"/>
        </w:rPr>
        <w:t>Tuto smlouvu lze změnit nebo zrušit pouze jinou písemnou dohodou obou smluvních stran.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5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0" w:val="left"/>
        </w:tabs>
        <w:bidi w:val="0"/>
        <w:spacing w:before="0" w:line="293" w:lineRule="auto"/>
        <w:ind w:left="0" w:right="0" w:firstLine="0"/>
        <w:jc w:val="left"/>
      </w:pPr>
      <w:r>
        <w:rPr>
          <w:rStyle w:val="CharStyle3"/>
        </w:rPr>
        <w:t>Tato smlouva nabývá účinnosti dnem jejího uveřejnění v registru smluv dle čl. 17.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5" w:val="left"/>
        </w:tabs>
        <w:bidi w:val="0"/>
        <w:spacing w:before="0" w:line="295" w:lineRule="auto"/>
        <w:ind w:left="400" w:right="0" w:hanging="400"/>
        <w:jc w:val="left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after="660" w:line="293" w:lineRule="auto"/>
        <w:ind w:left="400" w:right="0" w:hanging="400"/>
        <w:jc w:val="both"/>
      </w:pPr>
      <w:r>
        <mc:AlternateContent>
          <mc:Choice Requires="wps">
            <w:drawing>
              <wp:anchor distT="0" distB="1009015" distL="114300" distR="1320800" simplePos="0" relativeHeight="125829378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863600</wp:posOffset>
                </wp:positionV>
                <wp:extent cx="737870" cy="17970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 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5.600000000000009pt;margin-top:68.pt;width:58.100000000000001pt;height:14.15pt;z-index:-125829375;mso-wrap-distance-left:9.pt;mso-wrap-distance-right:104.pt;mso-wrap-distance-bottom:79.4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 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460375" distB="0" distL="141605" distR="114300" simplePos="0" relativeHeight="125829380" behindDoc="0" locked="0" layoutInCell="1" allowOverlap="1">
            <wp:simplePos x="0" y="0"/>
            <wp:positionH relativeFrom="page">
              <wp:posOffset>1114425</wp:posOffset>
            </wp:positionH>
            <wp:positionV relativeFrom="paragraph">
              <wp:posOffset>1323975</wp:posOffset>
            </wp:positionV>
            <wp:extent cx="1920240" cy="731520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20240" cy="7315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rStyle w:val="CharStyle3"/>
        </w:rPr>
        <w:t>Ve Praze dne 6.5.2022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00" w:right="0" w:firstLine="0"/>
        <w:jc w:val="both"/>
        <w:rPr>
          <w:sz w:val="19"/>
          <w:szCs w:val="19"/>
        </w:rPr>
      </w:pPr>
      <w:r>
        <w:rPr>
          <w:rStyle w:val="CharStyle3"/>
          <w:b/>
          <w:bCs/>
          <w:spacing w:val="1"/>
          <w:w w:val="70"/>
          <w:sz w:val="19"/>
          <w:szCs w:val="19"/>
          <w:shd w:val="clear" w:color="auto" w:fill="000000"/>
        </w:rPr>
        <w:t>....</w:t>
      </w:r>
      <w:r>
        <w:rPr>
          <w:rStyle w:val="CharStyle3"/>
          <w:b/>
          <w:bCs/>
          <w:spacing w:val="2"/>
          <w:w w:val="70"/>
          <w:sz w:val="19"/>
          <w:szCs w:val="19"/>
          <w:shd w:val="clear" w:color="auto" w:fill="000000"/>
        </w:rPr>
        <w:t>........</w:t>
      </w:r>
      <w:r>
        <w:rPr>
          <w:rStyle w:val="CharStyle3"/>
          <w:b/>
          <w:bCs/>
          <w:w w:val="70"/>
          <w:sz w:val="19"/>
          <w:szCs w:val="19"/>
          <w:shd w:val="clear" w:color="auto" w:fill="000000"/>
        </w:rPr>
        <w:t>​</w:t>
      </w:r>
      <w:r>
        <w:rPr>
          <w:rStyle w:val="CharStyle3"/>
          <w:b/>
          <w:bCs/>
          <w:spacing w:val="2"/>
          <w:w w:val="70"/>
          <w:sz w:val="19"/>
          <w:szCs w:val="19"/>
          <w:shd w:val="clear" w:color="auto" w:fill="000000"/>
        </w:rPr>
        <w:t>........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2300" w:right="0" w:firstLine="0"/>
        <w:jc w:val="both"/>
        <w:rPr>
          <w:sz w:val="19"/>
          <w:szCs w:val="19"/>
        </w:rPr>
      </w:pPr>
      <w:r>
        <w:rPr>
          <w:rStyle w:val="CharStyle3"/>
          <w:b/>
          <w:bCs/>
          <w:spacing w:val="2"/>
          <w:w w:val="70"/>
          <w:sz w:val="19"/>
          <w:szCs w:val="19"/>
          <w:shd w:val="clear" w:color="auto" w:fill="000000"/>
        </w:rPr>
        <w:t>........</w:t>
      </w:r>
      <w:r>
        <w:rPr>
          <w:rStyle w:val="CharStyle3"/>
          <w:b/>
          <w:bCs/>
          <w:spacing w:val="3"/>
          <w:w w:val="70"/>
          <w:sz w:val="19"/>
          <w:szCs w:val="19"/>
          <w:shd w:val="clear" w:color="auto" w:fill="000000"/>
        </w:rPr>
        <w:t>.....</w:t>
      </w:r>
      <w:r>
        <w:rPr>
          <w:rStyle w:val="CharStyle3"/>
          <w:b/>
          <w:bCs/>
          <w:w w:val="70"/>
          <w:sz w:val="19"/>
          <w:szCs w:val="19"/>
          <w:shd w:val="clear" w:color="auto" w:fill="000000"/>
        </w:rPr>
        <w:t>​...........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26" w:lineRule="auto"/>
        <w:ind w:left="2300" w:right="0" w:firstLine="0"/>
        <w:jc w:val="both"/>
        <w:rPr>
          <w:sz w:val="19"/>
          <w:szCs w:val="19"/>
        </w:rPr>
      </w:pPr>
      <w:r>
        <w:rPr>
          <w:rStyle w:val="CharStyle3"/>
          <w:b/>
          <w:bCs/>
          <w:w w:val="70"/>
          <w:sz w:val="19"/>
          <w:szCs w:val="19"/>
          <w:shd w:val="clear" w:color="auto" w:fill="000000"/>
        </w:rPr>
        <w:t>.......​.....​.</w:t>
      </w:r>
      <w:r>
        <w:rPr>
          <w:rStyle w:val="CharStyle3"/>
          <w:b/>
          <w:bCs/>
          <w:spacing w:val="1"/>
          <w:w w:val="70"/>
          <w:sz w:val="19"/>
          <w:szCs w:val="19"/>
          <w:shd w:val="clear" w:color="auto" w:fill="000000"/>
        </w:rPr>
        <w:t>.........</w:t>
      </w:r>
    </w:p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rStyle w:val="CharStyle44"/>
          <w:b/>
          <w:bCs/>
          <w:color w:val="000000"/>
          <w:spacing w:val="4"/>
          <w:shd w:val="clear" w:color="auto" w:fill="000000"/>
        </w:rPr>
        <w:t>...</w:t>
      </w:r>
      <w:r>
        <w:rPr>
          <w:rStyle w:val="CharStyle44"/>
          <w:b/>
          <w:bCs/>
          <w:color w:val="000000"/>
          <w:spacing w:val="5"/>
          <w:shd w:val="clear" w:color="auto" w:fill="000000"/>
        </w:rPr>
        <w:t>..</w:t>
      </w:r>
      <w:r>
        <w:rPr>
          <w:rStyle w:val="CharStyle44"/>
          <w:b/>
          <w:bCs/>
          <w:color w:val="000000"/>
          <w:shd w:val="clear" w:color="auto" w:fill="000000"/>
        </w:rPr>
        <w:t>​</w:t>
      </w:r>
      <w:r>
        <w:rPr>
          <w:rStyle w:val="CharStyle44"/>
          <w:b/>
          <w:bCs/>
          <w:color w:val="000000"/>
          <w:spacing w:val="1"/>
          <w:shd w:val="clear" w:color="auto" w:fill="000000"/>
        </w:rPr>
        <w:t>.....</w:t>
      </w:r>
      <w:r>
        <w:rPr>
          <w:rStyle w:val="CharStyle44"/>
          <w:b/>
          <w:bCs/>
          <w:color w:val="000000"/>
          <w:spacing w:val="2"/>
          <w:shd w:val="clear" w:color="auto" w:fill="000000"/>
        </w:rPr>
        <w:t>............</w:t>
      </w:r>
      <w:r>
        <w:rPr>
          <w:rStyle w:val="CharStyle44"/>
          <w:b/>
          <w:bCs/>
          <w:color w:val="000000"/>
          <w:shd w:val="clear" w:color="auto" w:fill="000000"/>
        </w:rPr>
        <w:t>​...​........</w:t>
      </w:r>
      <w:r>
        <w:rPr>
          <w:rStyle w:val="CharStyle44"/>
          <w:b/>
          <w:bCs/>
          <w:color w:val="000000"/>
          <w:spacing w:val="1"/>
          <w:shd w:val="clear" w:color="auto" w:fill="000000"/>
        </w:rPr>
        <w:t>........................</w:t>
      </w:r>
      <w:r>
        <w:rPr>
          <w:rStyle w:val="CharStyle44"/>
          <w:b/>
          <w:bCs/>
          <w:i/>
          <w:iCs/>
          <w:color w:val="000000"/>
          <w:shd w:val="clear" w:color="auto" w:fill="000000"/>
        </w:rPr>
        <w:t>​</w:t>
      </w:r>
      <w:r>
        <w:rPr>
          <w:rStyle w:val="CharStyle44"/>
          <w:b/>
          <w:bCs/>
          <w:i/>
          <w:iCs/>
          <w:color w:val="000000"/>
          <w:spacing w:val="3"/>
          <w:shd w:val="clear" w:color="auto" w:fill="000000"/>
        </w:rPr>
        <w:t>.</w:t>
      </w:r>
      <w:r>
        <w:rPr>
          <w:rStyle w:val="CharStyle44"/>
          <w:b/>
          <w:bCs/>
          <w:i/>
          <w:iCs/>
          <w:color w:val="000000"/>
          <w:spacing w:val="4"/>
          <w:shd w:val="clear" w:color="auto" w:fill="000000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66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4126230</wp:posOffset>
                </wp:positionH>
                <wp:positionV relativeFrom="paragraph">
                  <wp:posOffset>12700</wp:posOffset>
                </wp:positionV>
                <wp:extent cx="1097280" cy="49974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7280" cy="499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Mgr. Petr Mitošínka jednatel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4.90000000000003pt;margin-top:1.pt;width:86.400000000000006pt;height:39.35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Mgr. Petr Mitošínka jednatel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MUDr. Hana Albrechtová</w:t>
      </w:r>
    </w:p>
    <w:p>
      <w:pPr>
        <w:pStyle w:val="Style5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8"/>
          <w:szCs w:val="18"/>
        </w:rPr>
      </w:pPr>
      <w:r>
        <w:rPr>
          <w:rStyle w:val="CharStyle54"/>
          <w:color w:val="000000"/>
          <w:w w:val="100"/>
          <w:sz w:val="18"/>
          <w:szCs w:val="18"/>
        </w:rPr>
        <w:t xml:space="preserve">ředitelka </w:t>
      </w:r>
      <w:r>
        <w:rPr>
          <w:rStyle w:val="CharStyle54"/>
          <w:b/>
          <w:bCs/>
        </w:rPr>
        <w:t>j</w:t>
      </w:r>
      <w:r>
        <w:rPr>
          <w:rStyle w:val="CharStyle54"/>
          <w:b/>
          <w:bCs/>
          <w:vertAlign w:val="subscript"/>
        </w:rPr>
        <w:t>ravo</w:t>
      </w:r>
      <w:r>
        <w:rPr>
          <w:rStyle w:val="CharStyle54"/>
          <w:b/>
          <w:bCs/>
        </w:rPr>
        <w:t xml:space="preserve">tnická záchranná služba </w:t>
      </w:r>
      <w:r>
        <w:rPr>
          <w:rStyle w:val="CharStyle54"/>
          <w:b/>
          <w:bCs/>
          <w:i/>
          <w:iCs/>
          <w:color w:val="000000"/>
          <w:w w:val="100"/>
          <w:sz w:val="18"/>
          <w:szCs w:val="18"/>
        </w:rPr>
        <w:t>kupující</w:t>
      </w:r>
      <w:r>
        <w:rPr>
          <w:rStyle w:val="CharStyle54"/>
          <w:color w:val="000000"/>
          <w:w w:val="100"/>
          <w:sz w:val="18"/>
          <w:szCs w:val="18"/>
        </w:rPr>
        <w:t xml:space="preserve"> </w:t>
      </w:r>
      <w:r>
        <w:rPr>
          <w:rStyle w:val="CharStyle54"/>
          <w:w w:val="100"/>
          <w:sz w:val="18"/>
          <w:szCs w:val="18"/>
        </w:rPr>
        <w:t>jihomoravského kraje, p.o.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1260" w:right="0" w:firstLine="0"/>
        <w:jc w:val="both"/>
      </w:pPr>
      <w:r>
        <w:rPr>
          <w:rStyle w:val="CharStyle3"/>
          <w:color w:val="62BEE9"/>
        </w:rPr>
        <w:t>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0" w:right="0" w:firstLine="0"/>
        <w:jc w:val="center"/>
      </w:pPr>
      <w:r>
        <w:rPr>
          <w:rStyle w:val="CharStyle3"/>
          <w:color w:val="62BEE9"/>
        </w:rPr>
        <w:t>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560" w:right="1538" w:bottom="1718" w:left="1616" w:header="132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</w:rPr>
        <w:t>Příloha č. 1 Specifikace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rStyle w:val="CharStyle3"/>
        </w:rPr>
        <w:t>Příloha č. 1</w:t>
      </w:r>
    </w:p>
    <w:p>
      <w:pPr>
        <w:pStyle w:val="Style5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r>
        <w:rPr>
          <w:rStyle w:val="CharStyle60"/>
          <w:b/>
          <w:bCs/>
        </w:rPr>
        <w:t>SPECIFIKACE</w:t>
      </w:r>
      <w:bookmarkEnd w:id="4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0" w:right="0" w:firstLine="340"/>
        <w:jc w:val="left"/>
      </w:pPr>
      <w:r>
        <w:rPr>
          <w:rStyle w:val="CharStyle3"/>
        </w:rPr>
        <w:t>Minimální výkon bílého světla 1200 Imn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0" w:right="0" w:firstLine="340"/>
        <w:jc w:val="left"/>
      </w:pPr>
      <w:r>
        <w:rPr>
          <w:rStyle w:val="CharStyle3"/>
        </w:rPr>
        <w:t>Teplota bílého světla 4500 K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0" w:right="0" w:firstLine="340"/>
        <w:jc w:val="left"/>
      </w:pPr>
      <w:r>
        <w:rPr>
          <w:rStyle w:val="CharStyle3"/>
        </w:rPr>
        <w:t>Výkon červeného světla min 5 Imn, červené blikání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0" w:right="0" w:firstLine="340"/>
        <w:jc w:val="left"/>
      </w:pPr>
      <w:r>
        <w:rPr>
          <w:rStyle w:val="CharStyle3"/>
        </w:rPr>
        <w:t>Možnost přímého zapnutí červeného světla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0" w:right="0" w:firstLine="340"/>
        <w:jc w:val="left"/>
      </w:pPr>
      <w:r>
        <w:rPr>
          <w:rStyle w:val="CharStyle3"/>
        </w:rPr>
        <w:t>Možnost ovládání všech režimů čelovky jedním tlačítkem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0" w:right="0" w:firstLine="340"/>
        <w:jc w:val="left"/>
      </w:pPr>
      <w:r>
        <w:rPr>
          <w:rStyle w:val="CharStyle3"/>
        </w:rPr>
        <w:t>Paměť na poslední zvolený režim i u červených režimů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0" w:right="0" w:firstLine="340"/>
        <w:jc w:val="left"/>
      </w:pPr>
      <w:r>
        <w:rPr>
          <w:rStyle w:val="CharStyle3"/>
        </w:rPr>
        <w:t>TIR optika pro plynulý světelný kužel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680" w:right="0" w:hanging="340"/>
        <w:jc w:val="left"/>
      </w:pPr>
      <w:r>
        <w:rPr>
          <w:rStyle w:val="CharStyle3"/>
        </w:rPr>
        <w:t>Napájení 1x liion aku 18650 o kapacitě min. 3500 mAh s vlastním nabíjecím micro-USB vstupem (kvůli možnosti jeho záložního nabíjení micro-USB kabelem při poškození magnetického nabíjení čelovky) nebo 2x liion jednorázové baterie CR123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0" w:right="0" w:firstLine="340"/>
        <w:jc w:val="left"/>
      </w:pPr>
      <w:r>
        <w:rPr>
          <w:rStyle w:val="CharStyle3"/>
        </w:rPr>
        <w:t>Magnetické nabíjení akumulátoru přímo v čelovce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0" w:right="0" w:firstLine="340"/>
        <w:jc w:val="left"/>
      </w:pPr>
      <w:r>
        <w:rPr>
          <w:rStyle w:val="CharStyle3"/>
        </w:rPr>
        <w:t>Vodo a prachotěsnost dle IP68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0" w:right="0" w:firstLine="340"/>
        <w:jc w:val="left"/>
      </w:pPr>
      <w:r>
        <w:rPr>
          <w:rStyle w:val="CharStyle3"/>
        </w:rPr>
        <w:t>Celokovová konstrukce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680" w:right="0" w:hanging="340"/>
        <w:jc w:val="left"/>
      </w:pPr>
      <w:r>
        <w:rPr>
          <w:rStyle w:val="CharStyle3"/>
        </w:rPr>
        <w:t>Možnost rychlého vyjmutí čelovky z hlavového držáku a její použití jako ruční svítilny i s klipem pro připnutí na oděv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0" w:right="0" w:firstLine="340"/>
        <w:jc w:val="left"/>
      </w:pPr>
      <w:r>
        <w:rPr>
          <w:rStyle w:val="CharStyle3"/>
        </w:rPr>
        <w:t>Magnetická koncovka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0" w:right="0" w:firstLine="340"/>
        <w:jc w:val="left"/>
      </w:pPr>
      <w:r>
        <w:rPr>
          <w:rStyle w:val="CharStyle3"/>
        </w:rPr>
        <w:t>Napájení konstantním proudem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0" w:right="0" w:firstLine="340"/>
        <w:jc w:val="left"/>
      </w:pPr>
      <w:r>
        <w:rPr>
          <w:rStyle w:val="CharStyle3"/>
        </w:rPr>
        <w:t>Indikace stavu nabití akumulátoru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0" w:right="0" w:firstLine="340"/>
        <w:jc w:val="left"/>
      </w:pPr>
      <w:r>
        <w:rPr>
          <w:rStyle w:val="CharStyle3"/>
        </w:rPr>
        <w:t>Možnost uzamčení čelovky proti nechtěnému zapnutí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0" w:right="0" w:firstLine="340"/>
        <w:jc w:val="left"/>
      </w:pPr>
      <w:r>
        <w:rPr>
          <w:rStyle w:val="CharStyle3"/>
        </w:rPr>
        <w:t>Inteligentní ochrana proti přehřátí čelovky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0" w:line="257" w:lineRule="auto"/>
        <w:ind w:left="680" w:right="0" w:hanging="340"/>
        <w:jc w:val="left"/>
      </w:pPr>
      <w:r>
        <w:rPr>
          <w:rStyle w:val="CharStyle3"/>
        </w:rPr>
        <w:t>Možnost dokoupení náhradního držáku čelovky z důvodu jejího snadného a rychlého prohození do přilbového držáku bez nutnosti složitého demontování hlavových popruhů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6" w:val="left"/>
        </w:tabs>
        <w:bidi w:val="0"/>
        <w:spacing w:before="0" w:after="220" w:line="257" w:lineRule="auto"/>
        <w:ind w:left="0" w:right="0" w:firstLine="340"/>
        <w:jc w:val="left"/>
      </w:pPr>
      <w:r>
        <w:rPr>
          <w:rStyle w:val="CharStyle3"/>
        </w:rPr>
        <w:t>Záruční doba 5 roků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3"/>
          <w:b/>
          <w:bCs/>
        </w:rPr>
        <w:t xml:space="preserve">Čelová svítilna (označení/typ): </w:t>
      </w:r>
      <w:r>
        <w:rPr>
          <w:rStyle w:val="CharStyle3"/>
        </w:rPr>
        <w:t>Nabíjecí čelovka Fénix HM61R Amber</w:t>
      </w:r>
    </w:p>
    <w:sectPr>
      <w:footnotePr>
        <w:pos w:val="pageBottom"/>
        <w:numFmt w:val="decimal"/>
        <w:numRestart w:val="continuous"/>
      </w:footnotePr>
      <w:pgSz w:w="11900" w:h="16840"/>
      <w:pgMar w:top="1117" w:right="1517" w:bottom="1251" w:left="1637" w:header="689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1044575</wp:posOffset>
              </wp:positionH>
              <wp:positionV relativeFrom="page">
                <wp:posOffset>9929495</wp:posOffset>
              </wp:positionV>
              <wp:extent cx="1176655" cy="11874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7665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14-22 Čelové svítilny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2.25pt;margin-top:781.85000000000002pt;width:92.650000000000006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14-22 Čelové svítilny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Nadpis #1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 (5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3">
    <w:name w:val="Základní text (4)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Nadpis #3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20">
    <w:name w:val="Jiné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4">
    <w:name w:val="Základní text (3)_"/>
    <w:basedOn w:val="DefaultParagraphFont"/>
    <w:link w:val="Style43"/>
    <w:rPr>
      <w:rFonts w:ascii="Arial" w:eastAsia="Arial" w:hAnsi="Arial" w:cs="Arial"/>
      <w:b/>
      <w:bCs/>
      <w:i w:val="0"/>
      <w:iCs w:val="0"/>
      <w:smallCaps w:val="0"/>
      <w:strike w:val="0"/>
      <w:color w:val="646D7A"/>
      <w:sz w:val="13"/>
      <w:szCs w:val="13"/>
      <w:u w:val="none"/>
    </w:rPr>
  </w:style>
  <w:style w:type="character" w:customStyle="1" w:styleId="CharStyle54">
    <w:name w:val="Základní text (2)_"/>
    <w:basedOn w:val="DefaultParagraphFont"/>
    <w:link w:val="Style53"/>
    <w:rPr>
      <w:rFonts w:ascii="Arial" w:eastAsia="Arial" w:hAnsi="Arial" w:cs="Arial"/>
      <w:b/>
      <w:bCs/>
      <w:i w:val="0"/>
      <w:iCs w:val="0"/>
      <w:smallCaps w:val="0"/>
      <w:strike w:val="0"/>
      <w:color w:val="62BEE9"/>
      <w:w w:val="70"/>
      <w:u w:val="none"/>
    </w:rPr>
  </w:style>
  <w:style w:type="character" w:customStyle="1" w:styleId="CharStyle60">
    <w:name w:val="Nadpis #2_"/>
    <w:basedOn w:val="DefaultParagraphFont"/>
    <w:link w:val="Style5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00"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auto"/>
      <w:spacing w:after="8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 (5)"/>
    <w:basedOn w:val="Normal"/>
    <w:link w:val="CharStyle11"/>
    <w:pPr>
      <w:widowControl w:val="0"/>
      <w:shd w:val="clear" w:color="auto" w:fill="auto"/>
      <w:spacing w:after="2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2">
    <w:name w:val="Základní text (4)"/>
    <w:basedOn w:val="Normal"/>
    <w:link w:val="CharStyle13"/>
    <w:pPr>
      <w:widowControl w:val="0"/>
      <w:shd w:val="clear" w:color="auto" w:fill="auto"/>
      <w:spacing w:after="140" w:line="290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Nadpis #3"/>
    <w:basedOn w:val="Normal"/>
    <w:link w:val="CharStyle15"/>
    <w:pPr>
      <w:widowControl w:val="0"/>
      <w:shd w:val="clear" w:color="auto" w:fill="auto"/>
      <w:spacing w:after="420" w:line="290" w:lineRule="auto"/>
      <w:jc w:val="center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Style19">
    <w:name w:val="Jiné"/>
    <w:basedOn w:val="Normal"/>
    <w:link w:val="CharStyle20"/>
    <w:pPr>
      <w:widowControl w:val="0"/>
      <w:shd w:val="clear" w:color="auto" w:fill="auto"/>
      <w:spacing w:after="200"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3">
    <w:name w:val="Základní text (3)"/>
    <w:basedOn w:val="Normal"/>
    <w:link w:val="CharStyle44"/>
    <w:pPr>
      <w:widowControl w:val="0"/>
      <w:shd w:val="clear" w:color="auto" w:fill="auto"/>
      <w:spacing w:after="540"/>
      <w:ind w:left="2300"/>
    </w:pPr>
    <w:rPr>
      <w:rFonts w:ascii="Arial" w:eastAsia="Arial" w:hAnsi="Arial" w:cs="Arial"/>
      <w:b/>
      <w:bCs/>
      <w:i w:val="0"/>
      <w:iCs w:val="0"/>
      <w:smallCaps w:val="0"/>
      <w:strike w:val="0"/>
      <w:color w:val="646D7A"/>
      <w:sz w:val="13"/>
      <w:szCs w:val="13"/>
      <w:u w:val="none"/>
    </w:rPr>
  </w:style>
  <w:style w:type="paragraph" w:customStyle="1" w:styleId="Style53">
    <w:name w:val="Základní text (2)"/>
    <w:basedOn w:val="Normal"/>
    <w:link w:val="CharStyle54"/>
    <w:pPr>
      <w:widowControl w:val="0"/>
      <w:shd w:val="clear" w:color="auto" w:fill="auto"/>
      <w:spacing w:line="230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62BEE9"/>
      <w:w w:val="70"/>
      <w:u w:val="none"/>
    </w:rPr>
  </w:style>
  <w:style w:type="paragraph" w:customStyle="1" w:styleId="Style59">
    <w:name w:val="Nadpis #2"/>
    <w:basedOn w:val="Normal"/>
    <w:link w:val="CharStyle60"/>
    <w:pPr>
      <w:widowControl w:val="0"/>
      <w:shd w:val="clear" w:color="auto" w:fill="auto"/>
      <w:spacing w:after="22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