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1190400032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Okna</w:t>
      </w:r>
    </w:p>
    <w:p>
      <w:pPr>
        <w:pStyle w:val="BodyText"/>
        <w:tabs>
          <w:tab w:pos="2982" w:val="left" w:leader="none"/>
        </w:tabs>
        <w:spacing w:before="1"/>
        <w:ind w:left="102" w:right="2497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obce Okna, Okna 40, 471 62 Okna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00673412</w:t>
      </w:r>
    </w:p>
    <w:p>
      <w:pPr>
        <w:pStyle w:val="BodyText"/>
        <w:tabs>
          <w:tab w:pos="2982" w:val="left" w:leader="none"/>
        </w:tabs>
        <w:ind w:left="102" w:right="3631"/>
      </w:pPr>
      <w:r>
        <w:rPr/>
        <w:t>zastoupená:</w:t>
        <w:tab/>
        <w:t>Evou M ü l l e r o v o u, starostkou</w:t>
      </w:r>
      <w:r>
        <w:rPr>
          <w:spacing w:val="-53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1190400032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8.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III.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3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</w:pPr>
    </w:p>
    <w:tbl>
      <w:tblPr>
        <w:tblW w:w="0" w:type="auto"/>
        <w:jc w:val="left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7"/>
        <w:gridCol w:w="4570"/>
      </w:tblGrid>
      <w:tr>
        <w:trPr>
          <w:trHeight w:val="385" w:hRule="atLeast"/>
        </w:trPr>
        <w:tc>
          <w:tcPr>
            <w:tcW w:w="4217" w:type="dxa"/>
          </w:tcPr>
          <w:p>
            <w:pPr>
              <w:pStyle w:val="TableParagraph"/>
              <w:ind w:left="18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0" w:type="dxa"/>
          </w:tcPr>
          <w:p>
            <w:pPr>
              <w:pStyle w:val="TableParagraph"/>
              <w:ind w:left="1645" w:right="1642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4217" w:type="dxa"/>
          </w:tcPr>
          <w:p>
            <w:pPr>
              <w:pStyle w:val="TableParagraph"/>
              <w:ind w:left="189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0" w:type="dxa"/>
          </w:tcPr>
          <w:p>
            <w:pPr>
              <w:pStyle w:val="TableParagraph"/>
              <w:ind w:right="164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794 628,63</w:t>
            </w:r>
          </w:p>
        </w:tc>
      </w:tr>
      <w:tr>
        <w:trPr>
          <w:trHeight w:val="385" w:hRule="atLeast"/>
        </w:trPr>
        <w:tc>
          <w:tcPr>
            <w:tcW w:w="4217" w:type="dxa"/>
          </w:tcPr>
          <w:p>
            <w:pPr>
              <w:pStyle w:val="TableParagraph"/>
              <w:ind w:left="189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0" w:type="dxa"/>
          </w:tcPr>
          <w:p>
            <w:pPr>
              <w:pStyle w:val="TableParagraph"/>
              <w:ind w:right="16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888 835,22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7" w:after="0"/>
        <w:ind w:left="529" w:right="0" w:hanging="428"/>
        <w:jc w:val="left"/>
        <w:rPr>
          <w:sz w:val="20"/>
        </w:rPr>
      </w:pP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příloha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Smlouvy;</w:t>
      </w:r>
      <w:r>
        <w:rPr>
          <w:spacing w:val="-1"/>
          <w:sz w:val="20"/>
        </w:rPr>
        <w:t> </w:t>
      </w:r>
      <w:r>
        <w:rPr>
          <w:sz w:val="20"/>
        </w:rPr>
        <w:t>nová</w:t>
      </w:r>
      <w:r>
        <w:rPr>
          <w:spacing w:val="-2"/>
          <w:sz w:val="20"/>
        </w:rPr>
        <w:t> </w:t>
      </w:r>
      <w:r>
        <w:rPr>
          <w:sz w:val="20"/>
        </w:rPr>
        <w:t>příloha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1 Smlouvy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přílohou</w:t>
      </w:r>
      <w:r>
        <w:rPr>
          <w:spacing w:val="-2"/>
          <w:sz w:val="20"/>
        </w:rPr>
        <w:t> </w:t>
      </w:r>
      <w:r>
        <w:rPr>
          <w:sz w:val="20"/>
        </w:rPr>
        <w:t>tohoto</w:t>
      </w:r>
      <w:r>
        <w:rPr>
          <w:spacing w:val="-3"/>
          <w:sz w:val="20"/>
        </w:rPr>
        <w:t> </w:t>
      </w:r>
      <w:r>
        <w:rPr>
          <w:sz w:val="20"/>
        </w:rPr>
        <w:t>dodatku.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6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p>
      <w:pPr>
        <w:spacing w:after="0"/>
        <w:sectPr>
          <w:pgSz w:w="12240" w:h="15840"/>
          <w:pgMar w:header="0" w:footer="962" w:top="1060" w:bottom="1160" w:left="1600" w:right="1020"/>
        </w:sectPr>
      </w:pPr>
    </w:p>
    <w:p>
      <w:pPr>
        <w:pStyle w:val="Heading1"/>
        <w:spacing w:line="264" w:lineRule="auto" w:before="73"/>
      </w:pPr>
      <w:r>
        <w:rPr/>
        <w:t>Specifické</w:t>
      </w:r>
      <w:r>
        <w:rPr>
          <w:spacing w:val="24"/>
        </w:rPr>
        <w:t> </w:t>
      </w:r>
      <w:r>
        <w:rPr/>
        <w:t>podmínky</w:t>
      </w:r>
      <w:r>
        <w:rPr>
          <w:spacing w:val="28"/>
        </w:rPr>
        <w:t> </w:t>
      </w:r>
      <w:r>
        <w:rPr/>
        <w:t>provozování</w:t>
      </w:r>
      <w:r>
        <w:rPr>
          <w:spacing w:val="25"/>
        </w:rPr>
        <w:t> </w:t>
      </w:r>
      <w:r>
        <w:rPr/>
        <w:t>pro</w:t>
      </w:r>
      <w:r>
        <w:rPr>
          <w:spacing w:val="29"/>
        </w:rPr>
        <w:t> </w:t>
      </w:r>
      <w:r>
        <w:rPr/>
        <w:t>vlastnický</w:t>
      </w:r>
      <w:r>
        <w:rPr>
          <w:spacing w:val="28"/>
        </w:rPr>
        <w:t> </w:t>
      </w:r>
      <w:r>
        <w:rPr/>
        <w:t>model</w:t>
      </w:r>
      <w:r>
        <w:rPr>
          <w:spacing w:val="26"/>
        </w:rPr>
        <w:t> </w:t>
      </w:r>
      <w:r>
        <w:rPr/>
        <w:t>provozování</w:t>
      </w:r>
      <w:r>
        <w:rPr>
          <w:spacing w:val="24"/>
        </w:rPr>
        <w:t> </w:t>
      </w:r>
      <w:r>
        <w:rPr/>
        <w:t>v</w:t>
      </w:r>
      <w:r>
        <w:rPr>
          <w:spacing w:val="1"/>
        </w:rPr>
        <w:t> </w:t>
      </w:r>
      <w:r>
        <w:rPr/>
        <w:t>souvislosti</w:t>
      </w:r>
      <w:r>
        <w:rPr>
          <w:spacing w:val="26"/>
        </w:rPr>
        <w:t> </w:t>
      </w:r>
      <w:r>
        <w:rPr/>
        <w:t>s</w:t>
      </w:r>
      <w:r>
        <w:rPr>
          <w:spacing w:val="-2"/>
        </w:rPr>
        <w:t> </w:t>
      </w:r>
      <w:r>
        <w:rPr/>
        <w:t>SVS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aplikací</w:t>
      </w:r>
      <w:r>
        <w:rPr>
          <w:spacing w:val="-52"/>
        </w:rPr>
        <w:t> </w:t>
      </w:r>
      <w:r>
        <w:rPr/>
        <w:t>servisního</w:t>
      </w:r>
      <w:r>
        <w:rPr>
          <w:spacing w:val="-1"/>
        </w:rPr>
        <w:t> </w:t>
      </w:r>
      <w:r>
        <w:rPr/>
        <w:t>prvku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64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1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2"/>
          <w:sz w:val="20"/>
        </w:rPr>
        <w:t> </w:t>
      </w:r>
      <w:r>
        <w:rPr>
          <w:sz w:val="20"/>
        </w:rPr>
        <w:t>souhlasu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-10"/>
          <w:sz w:val="20"/>
        </w:rPr>
        <w:t> </w:t>
      </w:r>
      <w:r>
        <w:rPr>
          <w:sz w:val="20"/>
        </w:rPr>
        <w:t>vlastnického</w:t>
      </w:r>
      <w:r>
        <w:rPr>
          <w:spacing w:val="-6"/>
          <w:sz w:val="20"/>
        </w:rPr>
        <w:t> </w:t>
      </w:r>
      <w:r>
        <w:rPr>
          <w:sz w:val="20"/>
        </w:rPr>
        <w:t>modelu,</w:t>
      </w:r>
      <w:r>
        <w:rPr>
          <w:spacing w:val="-9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platit,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subjekt</w:t>
      </w:r>
      <w:r>
        <w:rPr>
          <w:spacing w:val="-10"/>
          <w:sz w:val="20"/>
        </w:rPr>
        <w:t> </w:t>
      </w:r>
      <w:r>
        <w:rPr>
          <w:sz w:val="20"/>
        </w:rPr>
        <w:t>zodpovědný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provozování,</w:t>
      </w:r>
      <w:r>
        <w:rPr>
          <w:spacing w:val="-9"/>
          <w:sz w:val="20"/>
        </w:rPr>
        <w:t> </w:t>
      </w:r>
      <w:r>
        <w:rPr>
          <w:sz w:val="20"/>
        </w:rPr>
        <w:t>Severočeské</w:t>
      </w:r>
      <w:r>
        <w:rPr>
          <w:spacing w:val="-52"/>
          <w:sz w:val="20"/>
        </w:rPr>
        <w:t> </w:t>
      </w:r>
      <w:r>
        <w:rPr>
          <w:sz w:val="20"/>
        </w:rPr>
        <w:t>vodovody a kanalizace, a.s. (dále jen „SČVaK“), je 100% vlastněn veřejným vlastníkem, kterým je</w:t>
      </w:r>
      <w:r>
        <w:rPr>
          <w:spacing w:val="1"/>
          <w:sz w:val="20"/>
        </w:rPr>
        <w:t> </w:t>
      </w:r>
      <w:r>
        <w:rPr>
          <w:sz w:val="20"/>
        </w:rPr>
        <w:t>Severočeská</w:t>
      </w:r>
      <w:r>
        <w:rPr>
          <w:spacing w:val="-12"/>
          <w:sz w:val="20"/>
        </w:rPr>
        <w:t> </w:t>
      </w:r>
      <w:r>
        <w:rPr>
          <w:sz w:val="20"/>
        </w:rPr>
        <w:t>vodárenská</w:t>
      </w:r>
      <w:r>
        <w:rPr>
          <w:spacing w:val="-12"/>
          <w:sz w:val="20"/>
        </w:rPr>
        <w:t> </w:t>
      </w:r>
      <w:r>
        <w:rPr>
          <w:sz w:val="20"/>
        </w:rPr>
        <w:t>společnost,</w:t>
      </w:r>
      <w:r>
        <w:rPr>
          <w:spacing w:val="-12"/>
          <w:sz w:val="20"/>
        </w:rPr>
        <w:t> </w:t>
      </w:r>
      <w:r>
        <w:rPr>
          <w:sz w:val="20"/>
        </w:rPr>
        <w:t>a.s.</w:t>
      </w:r>
      <w:r>
        <w:rPr>
          <w:spacing w:val="-12"/>
          <w:sz w:val="20"/>
        </w:rPr>
        <w:t> </w:t>
      </w:r>
      <w:r>
        <w:rPr>
          <w:sz w:val="20"/>
        </w:rPr>
        <w:t>(dále</w:t>
      </w:r>
      <w:r>
        <w:rPr>
          <w:spacing w:val="-11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„SVS“),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infrastrukturu</w:t>
      </w:r>
      <w:r>
        <w:rPr>
          <w:spacing w:val="-10"/>
          <w:sz w:val="20"/>
        </w:rPr>
        <w:t> </w:t>
      </w:r>
      <w:r>
        <w:rPr>
          <w:sz w:val="20"/>
        </w:rPr>
        <w:t>provozuje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nebo jiného místně platného pověření a přímo drží povolení k provozování. (k modelům provozování</w:t>
      </w:r>
      <w:r>
        <w:rPr>
          <w:spacing w:val="1"/>
          <w:sz w:val="20"/>
        </w:rPr>
        <w:t> </w:t>
      </w:r>
      <w:r>
        <w:rPr>
          <w:sz w:val="20"/>
        </w:rPr>
        <w:t>infrastruktury a podmínkám stanoveným pro vlastnický model viz dokument „Metodika pro žadatele</w:t>
      </w:r>
      <w:r>
        <w:rPr>
          <w:spacing w:val="1"/>
          <w:sz w:val="20"/>
        </w:rPr>
        <w:t> </w:t>
      </w:r>
      <w:r>
        <w:rPr>
          <w:sz w:val="20"/>
        </w:rPr>
        <w:t>rozvádějící podmínky přílohy č. 6 Programového dokumentu OPŽP 2014 – 2020“ dále jen „Metodika“,</w:t>
      </w:r>
      <w:r>
        <w:rPr>
          <w:spacing w:val="1"/>
          <w:sz w:val="20"/>
        </w:rPr>
        <w:t> </w:t>
      </w:r>
      <w:r>
        <w:rPr>
          <w:sz w:val="20"/>
        </w:rPr>
        <w:t>která je součástí PrŽaP). Pro účely stanovení podmínek týkajících se provozování 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vodohospodářskou</w:t>
      </w:r>
      <w:r>
        <w:rPr>
          <w:spacing w:val="1"/>
          <w:sz w:val="20"/>
        </w:rPr>
        <w:t> </w:t>
      </w:r>
      <w:r>
        <w:rPr>
          <w:sz w:val="20"/>
        </w:rPr>
        <w:t>infrastrukturou</w:t>
      </w:r>
      <w:r>
        <w:rPr>
          <w:spacing w:val="1"/>
          <w:sz w:val="20"/>
        </w:rPr>
        <w:t> </w:t>
      </w:r>
      <w:r>
        <w:rPr>
          <w:sz w:val="20"/>
        </w:rPr>
        <w:t>rozumí</w:t>
      </w:r>
      <w:r>
        <w:rPr>
          <w:spacing w:val="1"/>
          <w:sz w:val="20"/>
        </w:rPr>
        <w:t> </w:t>
      </w:r>
      <w:r>
        <w:rPr>
          <w:sz w:val="20"/>
        </w:rPr>
        <w:t>celá</w:t>
      </w:r>
      <w:r>
        <w:rPr>
          <w:spacing w:val="1"/>
          <w:sz w:val="20"/>
        </w:rPr>
        <w:t> </w:t>
      </w:r>
      <w:r>
        <w:rPr>
          <w:sz w:val="20"/>
        </w:rPr>
        <w:t>složka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pořízené</w:t>
      </w:r>
      <w:r>
        <w:rPr>
          <w:spacing w:val="1"/>
          <w:sz w:val="20"/>
        </w:rPr>
        <w:t> </w:t>
      </w:r>
      <w:r>
        <w:rPr>
          <w:sz w:val="20"/>
        </w:rPr>
        <w:t>(rekonstruované)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podporou</w:t>
      </w:r>
      <w:r>
        <w:rPr>
          <w:spacing w:val="1"/>
          <w:sz w:val="20"/>
        </w:rPr>
        <w:t> </w:t>
      </w:r>
      <w:r>
        <w:rPr>
          <w:sz w:val="20"/>
        </w:rPr>
        <w:t>poskytnutou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Rozhodnutí</w:t>
      </w:r>
      <w:r>
        <w:rPr>
          <w:spacing w:val="1"/>
          <w:sz w:val="20"/>
        </w:rPr>
        <w:t> </w:t>
      </w:r>
      <w:r>
        <w:rPr>
          <w:sz w:val="20"/>
        </w:rPr>
        <w:t>(podpořená</w:t>
      </w:r>
      <w:r>
        <w:rPr>
          <w:spacing w:val="1"/>
          <w:sz w:val="20"/>
        </w:rPr>
        <w:t> </w:t>
      </w:r>
      <w:r>
        <w:rPr>
          <w:sz w:val="20"/>
        </w:rPr>
        <w:t>infrastruktura) a veškerá další infrastruktura provozovaná v této složce na území relevantní obce</w:t>
      </w:r>
      <w:r>
        <w:rPr>
          <w:spacing w:val="1"/>
          <w:sz w:val="20"/>
        </w:rPr>
        <w:t> </w:t>
      </w:r>
      <w:r>
        <w:rPr>
          <w:sz w:val="20"/>
        </w:rPr>
        <w:t>(podrobněji viz Metodika) společně s podpořenou infrastrukturou v rámci podpořeného vlastnického</w:t>
      </w:r>
      <w:r>
        <w:rPr>
          <w:spacing w:val="1"/>
          <w:sz w:val="20"/>
        </w:rPr>
        <w:t> </w:t>
      </w:r>
      <w:r>
        <w:rPr>
          <w:sz w:val="20"/>
        </w:rPr>
        <w:t>modelu</w:t>
      </w:r>
      <w:r>
        <w:rPr>
          <w:spacing w:val="-1"/>
          <w:sz w:val="20"/>
        </w:rPr>
        <w:t> </w:t>
      </w:r>
      <w:r>
        <w:rPr>
          <w:sz w:val="20"/>
        </w:rPr>
        <w:t>provozování.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21" w:after="0"/>
        <w:ind w:left="529" w:right="108" w:hanging="428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9"/>
          <w:sz w:val="20"/>
        </w:rPr>
        <w:t> </w:t>
      </w:r>
      <w:r>
        <w:rPr>
          <w:sz w:val="20"/>
        </w:rPr>
        <w:t>kolaudačního</w:t>
      </w:r>
      <w:r>
        <w:rPr>
          <w:spacing w:val="19"/>
          <w:sz w:val="20"/>
        </w:rPr>
        <w:t> </w:t>
      </w:r>
      <w:r>
        <w:rPr>
          <w:sz w:val="20"/>
        </w:rPr>
        <w:t>souhlasu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projektu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zabezpečena</w:t>
      </w:r>
      <w:r>
        <w:rPr>
          <w:spacing w:val="18"/>
          <w:sz w:val="20"/>
        </w:rPr>
        <w:t> </w:t>
      </w:r>
      <w:r>
        <w:rPr>
          <w:sz w:val="20"/>
        </w:rPr>
        <w:t>finanční</w:t>
      </w:r>
      <w:r>
        <w:rPr>
          <w:spacing w:val="19"/>
          <w:sz w:val="20"/>
        </w:rPr>
        <w:t> </w:t>
      </w:r>
      <w:r>
        <w:rPr>
          <w:sz w:val="20"/>
        </w:rPr>
        <w:t>udržitelnost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za podmínek stanovených Fondem.</w:t>
      </w:r>
      <w:r>
        <w:rPr>
          <w:spacing w:val="54"/>
          <w:sz w:val="20"/>
        </w:rPr>
        <w:t> </w:t>
      </w:r>
      <w:r>
        <w:rPr>
          <w:sz w:val="20"/>
        </w:rPr>
        <w:t>Změna výše prostředků na obnovu vodovodů a/nebo</w:t>
      </w:r>
      <w:r>
        <w:rPr>
          <w:spacing w:val="55"/>
          <w:sz w:val="20"/>
        </w:rPr>
        <w:t> </w:t>
      </w:r>
      <w:r>
        <w:rPr>
          <w:sz w:val="20"/>
        </w:rPr>
        <w:t>kanalizací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přípustné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240" w:lineRule="auto" w:before="119" w:after="0"/>
        <w:ind w:left="668" w:right="117" w:hanging="14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stočné,</w:t>
      </w:r>
      <w:r>
        <w:rPr>
          <w:spacing w:val="-1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2"/>
        </w:numPr>
        <w:tabs>
          <w:tab w:pos="813" w:val="left" w:leader="none"/>
        </w:tabs>
        <w:spacing w:line="240" w:lineRule="auto" w:before="121" w:after="0"/>
        <w:ind w:left="668" w:right="113" w:hanging="140"/>
        <w:jc w:val="both"/>
        <w:rPr>
          <w:sz w:val="20"/>
        </w:rPr>
      </w:pPr>
      <w:r>
        <w:rPr>
          <w:sz w:val="20"/>
        </w:rPr>
        <w:t>snížení na úroveň, které prokazatelně vytváří zdroje pro správu, obnovu a případné rozšíření</w:t>
      </w:r>
      <w:r>
        <w:rPr>
          <w:spacing w:val="1"/>
          <w:sz w:val="20"/>
        </w:rPr>
        <w:t> </w:t>
      </w:r>
      <w:r>
        <w:rPr>
          <w:sz w:val="20"/>
        </w:rPr>
        <w:t>vodovodů a kanalizací minimálně ve výši „plných odpisů“. V obou případech je nezbytné, aby Fond</w:t>
      </w:r>
      <w:r>
        <w:rPr>
          <w:spacing w:val="1"/>
          <w:sz w:val="20"/>
        </w:rPr>
        <w:t> </w:t>
      </w:r>
      <w:r>
        <w:rPr>
          <w:sz w:val="20"/>
        </w:rPr>
        <w:t>navrženou</w:t>
      </w:r>
      <w:r>
        <w:rPr>
          <w:spacing w:val="-1"/>
          <w:sz w:val="20"/>
        </w:rPr>
        <w:t> </w:t>
      </w:r>
      <w:r>
        <w:rPr>
          <w:sz w:val="20"/>
        </w:rPr>
        <w:t>odchylku odsouhlasil.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22" w:after="0"/>
        <w:ind w:left="529" w:right="111" w:hanging="428"/>
        <w:jc w:val="both"/>
        <w:rPr>
          <w:sz w:val="20"/>
        </w:rPr>
      </w:pPr>
      <w:r>
        <w:rPr>
          <w:sz w:val="20"/>
        </w:rPr>
        <w:t>Čistý</w:t>
      </w:r>
      <w:r>
        <w:rPr>
          <w:spacing w:val="-5"/>
          <w:sz w:val="20"/>
        </w:rPr>
        <w:t> </w:t>
      </w:r>
      <w:r>
        <w:rPr>
          <w:sz w:val="20"/>
        </w:rPr>
        <w:t>příjem</w:t>
      </w:r>
      <w:r>
        <w:rPr>
          <w:spacing w:val="-5"/>
          <w:sz w:val="20"/>
        </w:rPr>
        <w:t> </w:t>
      </w:r>
      <w:r>
        <w:rPr>
          <w:sz w:val="20"/>
        </w:rPr>
        <w:t>(případně</w:t>
      </w:r>
      <w:r>
        <w:rPr>
          <w:spacing w:val="-5"/>
          <w:sz w:val="20"/>
        </w:rPr>
        <w:t> </w:t>
      </w:r>
      <w:r>
        <w:rPr>
          <w:sz w:val="20"/>
        </w:rPr>
        <w:t>nájemné)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vodohospodářské</w:t>
      </w:r>
      <w:r>
        <w:rPr>
          <w:spacing w:val="-5"/>
          <w:sz w:val="20"/>
        </w:rPr>
        <w:t> </w:t>
      </w:r>
      <w:r>
        <w:rPr>
          <w:sz w:val="20"/>
        </w:rPr>
        <w:t>infrastruktury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použit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principy</w:t>
      </w:r>
      <w:r>
        <w:rPr>
          <w:spacing w:val="1"/>
          <w:sz w:val="20"/>
        </w:rPr>
        <w:t> </w:t>
      </w:r>
      <w:r>
        <w:rPr>
          <w:sz w:val="20"/>
        </w:rPr>
        <w:t>péče</w:t>
      </w:r>
      <w:r>
        <w:rPr>
          <w:spacing w:val="1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nájemného,</w:t>
      </w:r>
      <w:r>
        <w:rPr>
          <w:spacing w:val="1"/>
          <w:sz w:val="20"/>
        </w:rPr>
        <w:t> </w:t>
      </w:r>
      <w:r>
        <w:rPr>
          <w:sz w:val="20"/>
        </w:rPr>
        <w:t>odpovídající</w:t>
      </w:r>
      <w:r>
        <w:rPr>
          <w:spacing w:val="1"/>
          <w:sz w:val="20"/>
        </w:rPr>
        <w:t> </w:t>
      </w:r>
      <w:r>
        <w:rPr>
          <w:sz w:val="20"/>
        </w:rPr>
        <w:t>minimálně</w:t>
      </w:r>
      <w:r>
        <w:rPr>
          <w:spacing w:val="1"/>
          <w:sz w:val="20"/>
        </w:rPr>
        <w:t> </w:t>
      </w:r>
      <w:r>
        <w:rPr>
          <w:sz w:val="20"/>
        </w:rPr>
        <w:t>hodnotám</w:t>
      </w:r>
      <w:r>
        <w:rPr>
          <w:spacing w:val="1"/>
          <w:sz w:val="20"/>
        </w:rPr>
        <w:t> </w:t>
      </w:r>
      <w:r>
        <w:rPr>
          <w:sz w:val="20"/>
        </w:rPr>
        <w:t>požadovaných zdrojů na obnovu vzešlých ze schváleného nástroje Udržitelnost 2014+ (a to jak roční,</w:t>
      </w:r>
      <w:r>
        <w:rPr>
          <w:spacing w:val="1"/>
          <w:sz w:val="20"/>
        </w:rPr>
        <w:t> </w:t>
      </w:r>
      <w:r>
        <w:rPr>
          <w:sz w:val="20"/>
        </w:rPr>
        <w:t>tak kumulativní za období 10 let), bude ukládána a udržována na separátním účtu zřízeném pro tento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SVS,</w:t>
      </w:r>
      <w:r>
        <w:rPr>
          <w:spacing w:val="-7"/>
          <w:sz w:val="20"/>
        </w:rPr>
        <w:t> </w:t>
      </w:r>
      <w:r>
        <w:rPr>
          <w:sz w:val="20"/>
        </w:rPr>
        <w:t>v rámci</w:t>
      </w:r>
      <w:r>
        <w:rPr>
          <w:spacing w:val="-7"/>
          <w:sz w:val="20"/>
        </w:rPr>
        <w:t> </w:t>
      </w:r>
      <w:r>
        <w:rPr>
          <w:sz w:val="20"/>
        </w:rPr>
        <w:t>čehož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případné</w:t>
      </w:r>
      <w:r>
        <w:rPr>
          <w:spacing w:val="-8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možné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7"/>
          <w:sz w:val="20"/>
        </w:rPr>
        <w:t> </w:t>
      </w:r>
      <w:r>
        <w:rPr>
          <w:sz w:val="20"/>
        </w:rPr>
        <w:t>doložit</w:t>
      </w:r>
      <w:r>
        <w:rPr>
          <w:spacing w:val="-5"/>
          <w:sz w:val="20"/>
        </w:rPr>
        <w:t> </w:t>
      </w:r>
      <w:r>
        <w:rPr>
          <w:sz w:val="20"/>
        </w:rPr>
        <w:t>aktuální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53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dodržení</w:t>
      </w:r>
      <w:r>
        <w:rPr>
          <w:spacing w:val="-1"/>
          <w:sz w:val="20"/>
        </w:rPr>
        <w:t> </w:t>
      </w:r>
      <w:r>
        <w:rPr>
          <w:sz w:val="20"/>
        </w:rPr>
        <w:t>tohoto závazku.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19" w:after="0"/>
        <w:ind w:left="529" w:right="111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> </w:t>
      </w:r>
      <w:r>
        <w:rPr>
          <w:sz w:val="20"/>
        </w:rPr>
        <w:t>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 tím,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0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smlouvy,</w:t>
      </w:r>
      <w:r>
        <w:rPr>
          <w:spacing w:val="-52"/>
          <w:sz w:val="20"/>
        </w:rPr>
        <w:t> </w:t>
      </w:r>
      <w:r>
        <w:rPr>
          <w:sz w:val="20"/>
        </w:rPr>
        <w:t>oprávněn</w:t>
      </w:r>
      <w:r>
        <w:rPr>
          <w:spacing w:val="-1"/>
          <w:sz w:val="20"/>
        </w:rPr>
        <w:t> </w:t>
      </w:r>
      <w:r>
        <w:rPr>
          <w:sz w:val="20"/>
        </w:rPr>
        <w:t>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2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20" w:after="0"/>
        <w:ind w:left="529" w:right="110" w:hanging="428"/>
        <w:jc w:val="both"/>
        <w:rPr>
          <w:sz w:val="20"/>
        </w:rPr>
      </w:pPr>
      <w:r>
        <w:rPr>
          <w:w w:val="95"/>
          <w:sz w:val="20"/>
        </w:rPr>
        <w:t>S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ohledem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specifickou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situaci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44"/>
          <w:w w:val="95"/>
          <w:sz w:val="20"/>
        </w:rPr>
        <w:t> </w:t>
      </w:r>
      <w:r>
        <w:rPr>
          <w:w w:val="95"/>
          <w:sz w:val="20"/>
        </w:rPr>
        <w:t>důsledku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probíhající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transformace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provozní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společnosti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SČVaK,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"/>
          <w:w w:val="95"/>
          <w:sz w:val="20"/>
        </w:rPr>
        <w:t> </w:t>
      </w:r>
      <w:r>
        <w:rPr>
          <w:sz w:val="20"/>
        </w:rPr>
        <w:t>v rámci zajištění provozování aplikován servisní prvek, který byl SVS podmínečně schválen ze strany</w:t>
      </w:r>
      <w:r>
        <w:rPr>
          <w:spacing w:val="1"/>
          <w:sz w:val="20"/>
        </w:rPr>
        <w:t> </w:t>
      </w:r>
      <w:r>
        <w:rPr>
          <w:sz w:val="20"/>
        </w:rPr>
        <w:t>MŽP ČR a Fondu, z čehož</w:t>
      </w:r>
      <w:r>
        <w:rPr>
          <w:spacing w:val="1"/>
          <w:sz w:val="20"/>
        </w:rPr>
        <w:t> </w:t>
      </w:r>
      <w:r>
        <w:rPr>
          <w:sz w:val="20"/>
        </w:rPr>
        <w:t>pro řádné zajištění podmínek NPŽP vyplývá povinnost implementace</w:t>
      </w:r>
      <w:r>
        <w:rPr>
          <w:spacing w:val="1"/>
          <w:sz w:val="20"/>
        </w:rPr>
        <w:t> </w:t>
      </w:r>
      <w:r>
        <w:rPr>
          <w:sz w:val="20"/>
        </w:rPr>
        <w:t>následujících</w:t>
      </w:r>
      <w:r>
        <w:rPr>
          <w:spacing w:val="-1"/>
          <w:sz w:val="20"/>
        </w:rPr>
        <w:t> </w:t>
      </w:r>
      <w:r>
        <w:rPr>
          <w:sz w:val="20"/>
        </w:rPr>
        <w:t>požadavků: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10" w:right="116" w:hanging="281"/>
        <w:jc w:val="both"/>
        <w:rPr>
          <w:sz w:val="20"/>
        </w:rPr>
      </w:pPr>
      <w:r>
        <w:rPr>
          <w:sz w:val="20"/>
        </w:rPr>
        <w:t>Ve </w:t>
      </w:r>
      <w:r>
        <w:rPr>
          <w:i/>
          <w:sz w:val="20"/>
        </w:rPr>
        <w:t>Smlouvě o poskytování servisních činností, uzavřené mezi společností Severočeské vodovody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kanalizace, a.s. a Severočeskou servisní a.s.</w:t>
      </w:r>
      <w:r>
        <w:rPr>
          <w:i/>
          <w:spacing w:val="1"/>
          <w:sz w:val="20"/>
        </w:rPr>
        <w:t> </w:t>
      </w:r>
      <w:r>
        <w:rPr>
          <w:sz w:val="20"/>
        </w:rPr>
        <w:t>v přiměřené míře aplikovat a zajistit plnění výkonových</w:t>
      </w:r>
      <w:r>
        <w:rPr>
          <w:spacing w:val="1"/>
          <w:sz w:val="20"/>
        </w:rPr>
        <w:t> </w:t>
      </w:r>
      <w:r>
        <w:rPr>
          <w:sz w:val="20"/>
        </w:rPr>
        <w:t>ukazatelů, monitoringu výkonu poskytovatele servisních služeb a nastavení systému sankcí dle</w:t>
      </w:r>
      <w:r>
        <w:rPr>
          <w:spacing w:val="1"/>
          <w:sz w:val="20"/>
        </w:rPr>
        <w:t> </w:t>
      </w:r>
      <w:r>
        <w:rPr>
          <w:sz w:val="20"/>
        </w:rPr>
        <w:t>požadavků</w:t>
      </w:r>
      <w:r>
        <w:rPr>
          <w:spacing w:val="-1"/>
          <w:sz w:val="20"/>
        </w:rPr>
        <w:t> </w:t>
      </w:r>
      <w:r>
        <w:rPr>
          <w:sz w:val="20"/>
        </w:rPr>
        <w:t>„Metodiky“.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62" w:top="1060" w:bottom="1160" w:left="160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73" w:after="0"/>
        <w:ind w:left="810" w:right="111" w:hanging="28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10"/>
          <w:sz w:val="20"/>
        </w:rPr>
        <w:t> </w:t>
      </w:r>
      <w:r>
        <w:rPr>
          <w:sz w:val="20"/>
        </w:rPr>
        <w:t>dílčí</w:t>
      </w:r>
      <w:r>
        <w:rPr>
          <w:spacing w:val="-12"/>
          <w:sz w:val="20"/>
        </w:rPr>
        <w:t> </w:t>
      </w:r>
      <w:r>
        <w:rPr>
          <w:sz w:val="20"/>
        </w:rPr>
        <w:t>kalkulace</w:t>
      </w:r>
      <w:r>
        <w:rPr>
          <w:spacing w:val="-9"/>
          <w:sz w:val="20"/>
        </w:rPr>
        <w:t> </w:t>
      </w:r>
      <w:r>
        <w:rPr>
          <w:sz w:val="20"/>
        </w:rPr>
        <w:t>servisního</w:t>
      </w:r>
      <w:r>
        <w:rPr>
          <w:spacing w:val="-11"/>
          <w:sz w:val="20"/>
        </w:rPr>
        <w:t> </w:t>
      </w:r>
      <w:r>
        <w:rPr>
          <w:sz w:val="20"/>
        </w:rPr>
        <w:t>poplatku</w:t>
      </w:r>
      <w:r>
        <w:rPr>
          <w:spacing w:val="-11"/>
          <w:sz w:val="20"/>
        </w:rPr>
        <w:t> </w:t>
      </w:r>
      <w:r>
        <w:rPr>
          <w:sz w:val="20"/>
        </w:rPr>
        <w:t>dodržet</w:t>
      </w:r>
      <w:r>
        <w:rPr>
          <w:spacing w:val="-10"/>
          <w:sz w:val="20"/>
        </w:rPr>
        <w:t> </w:t>
      </w:r>
      <w:r>
        <w:rPr>
          <w:sz w:val="20"/>
        </w:rPr>
        <w:t>horní</w:t>
      </w:r>
      <w:r>
        <w:rPr>
          <w:spacing w:val="-11"/>
          <w:sz w:val="20"/>
        </w:rPr>
        <w:t> </w:t>
      </w:r>
      <w:r>
        <w:rPr>
          <w:sz w:val="20"/>
        </w:rPr>
        <w:t>hranici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zisku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příjmu</w:t>
      </w:r>
      <w:r>
        <w:rPr>
          <w:spacing w:val="-12"/>
          <w:sz w:val="20"/>
        </w:rPr>
        <w:t> </w:t>
      </w:r>
      <w:r>
        <w:rPr>
          <w:sz w:val="20"/>
        </w:rPr>
        <w:t>poskytovatele</w:t>
      </w:r>
      <w:r>
        <w:rPr>
          <w:spacing w:val="-52"/>
          <w:sz w:val="20"/>
        </w:rPr>
        <w:t> </w:t>
      </w:r>
      <w:r>
        <w:rPr>
          <w:sz w:val="20"/>
        </w:rPr>
        <w:t>servisních</w:t>
      </w:r>
      <w:r>
        <w:rPr>
          <w:spacing w:val="-1"/>
          <w:sz w:val="20"/>
        </w:rPr>
        <w:t> </w:t>
      </w:r>
      <w:r>
        <w:rPr>
          <w:sz w:val="20"/>
        </w:rPr>
        <w:t>služeb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stanoveného mechanismu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hodnot</w:t>
      </w:r>
      <w:r>
        <w:rPr>
          <w:spacing w:val="-3"/>
          <w:sz w:val="20"/>
        </w:rPr>
        <w:t> </w:t>
      </w:r>
      <w:r>
        <w:rPr>
          <w:sz w:val="20"/>
        </w:rPr>
        <w:t>vyplývajících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předcházejícího</w:t>
      </w:r>
      <w:r>
        <w:rPr>
          <w:spacing w:val="-3"/>
          <w:sz w:val="20"/>
        </w:rPr>
        <w:t> </w:t>
      </w:r>
      <w:r>
        <w:rPr>
          <w:sz w:val="20"/>
        </w:rPr>
        <w:t>období.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10" w:right="113" w:hanging="281"/>
        <w:jc w:val="both"/>
        <w:rPr>
          <w:sz w:val="20"/>
        </w:rPr>
      </w:pPr>
      <w:r>
        <w:rPr>
          <w:sz w:val="20"/>
        </w:rPr>
        <w:t>Při plnění </w:t>
      </w:r>
      <w:r>
        <w:rPr>
          <w:i/>
          <w:sz w:val="20"/>
        </w:rPr>
        <w:t>Smlouvy o poskytování servisních činností</w:t>
      </w:r>
      <w:r>
        <w:rPr>
          <w:i/>
          <w:spacing w:val="1"/>
          <w:sz w:val="20"/>
        </w:rPr>
        <w:t> </w:t>
      </w:r>
      <w:r>
        <w:rPr>
          <w:sz w:val="20"/>
        </w:rPr>
        <w:t>prostřednictvím poddodavatele/ů dodržet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12"/>
          <w:sz w:val="20"/>
        </w:rPr>
        <w:t> </w:t>
      </w:r>
      <w:r>
        <w:rPr>
          <w:sz w:val="20"/>
        </w:rPr>
        <w:t>podmínky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zajišťování</w:t>
      </w:r>
      <w:r>
        <w:rPr>
          <w:spacing w:val="-10"/>
          <w:sz w:val="20"/>
        </w:rPr>
        <w:t> </w:t>
      </w:r>
      <w:r>
        <w:rPr>
          <w:sz w:val="20"/>
        </w:rPr>
        <w:t>pouze</w:t>
      </w:r>
      <w:r>
        <w:rPr>
          <w:spacing w:val="-12"/>
          <w:sz w:val="20"/>
        </w:rPr>
        <w:t> </w:t>
      </w:r>
      <w:r>
        <w:rPr>
          <w:sz w:val="20"/>
        </w:rPr>
        <w:t>přípustných</w:t>
      </w:r>
      <w:r>
        <w:rPr>
          <w:spacing w:val="-8"/>
          <w:sz w:val="20"/>
        </w:rPr>
        <w:t> </w:t>
      </w:r>
      <w:r>
        <w:rPr>
          <w:sz w:val="20"/>
        </w:rPr>
        <w:t>činností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zároveň</w:t>
      </w:r>
      <w:r>
        <w:rPr>
          <w:spacing w:val="-11"/>
          <w:sz w:val="20"/>
        </w:rPr>
        <w:t> </w:t>
      </w:r>
      <w:r>
        <w:rPr>
          <w:sz w:val="20"/>
        </w:rPr>
        <w:t>dodržet,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odpovědnost</w:t>
      </w:r>
      <w:r>
        <w:rPr>
          <w:spacing w:val="-52"/>
          <w:sz w:val="20"/>
        </w:rPr>
        <w:t> </w:t>
      </w:r>
      <w:r>
        <w:rPr>
          <w:sz w:val="20"/>
        </w:rPr>
        <w:t>za plnění hlavních činnosti spojených se zajištěním provozování nese sám poskytovatel servisních</w:t>
      </w:r>
      <w:r>
        <w:rPr>
          <w:spacing w:val="1"/>
          <w:sz w:val="20"/>
        </w:rPr>
        <w:t> </w:t>
      </w:r>
      <w:r>
        <w:rPr>
          <w:sz w:val="20"/>
        </w:rPr>
        <w:t>činností.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65" w:lineRule="exact" w:before="0" w:after="0"/>
        <w:ind w:left="810" w:right="0" w:hanging="281"/>
        <w:jc w:val="both"/>
        <w:rPr>
          <w:sz w:val="20"/>
        </w:rPr>
      </w:pPr>
      <w:r>
        <w:rPr>
          <w:sz w:val="20"/>
        </w:rPr>
        <w:t>Jakoukoliv</w:t>
      </w:r>
      <w:r>
        <w:rPr>
          <w:spacing w:val="-3"/>
          <w:sz w:val="20"/>
        </w:rPr>
        <w:t> </w:t>
      </w:r>
      <w:r>
        <w:rPr>
          <w:sz w:val="20"/>
        </w:rPr>
        <w:t>úpravu</w:t>
      </w:r>
      <w:r>
        <w:rPr>
          <w:spacing w:val="-3"/>
          <w:sz w:val="20"/>
        </w:rPr>
        <w:t> </w:t>
      </w:r>
      <w:r>
        <w:rPr>
          <w:sz w:val="20"/>
        </w:rPr>
        <w:t>textu </w:t>
      </w:r>
      <w:r>
        <w:rPr>
          <w:i/>
          <w:sz w:val="20"/>
        </w:rPr>
        <w:t>Smlouvy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poskytování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servisních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činností</w:t>
      </w:r>
      <w:r>
        <w:rPr>
          <w:i/>
          <w:spacing w:val="-1"/>
          <w:sz w:val="20"/>
        </w:rPr>
        <w:t> </w:t>
      </w:r>
      <w:r>
        <w:rPr>
          <w:sz w:val="20"/>
        </w:rPr>
        <w:t>konzultovat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zástupci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10" w:right="109" w:hanging="281"/>
        <w:jc w:val="both"/>
        <w:rPr>
          <w:sz w:val="20"/>
        </w:rPr>
      </w:pPr>
      <w:r>
        <w:rPr>
          <w:sz w:val="20"/>
        </w:rPr>
        <w:t>Do </w:t>
      </w:r>
      <w:r>
        <w:rPr>
          <w:i/>
          <w:sz w:val="20"/>
        </w:rPr>
        <w:t>Smlouvy o poskytování servisních činností </w:t>
      </w:r>
      <w:r>
        <w:rPr>
          <w:sz w:val="20"/>
        </w:rPr>
        <w:t>nejpozději k termínu zahájení provozování projektu</w:t>
      </w:r>
      <w:r>
        <w:rPr>
          <w:spacing w:val="1"/>
          <w:sz w:val="20"/>
        </w:rPr>
        <w:t> </w:t>
      </w:r>
      <w:r>
        <w:rPr>
          <w:sz w:val="20"/>
        </w:rPr>
        <w:t>implementovat</w:t>
      </w:r>
      <w:r>
        <w:rPr>
          <w:spacing w:val="-9"/>
          <w:sz w:val="20"/>
        </w:rPr>
        <w:t> </w:t>
      </w:r>
      <w:r>
        <w:rPr>
          <w:sz w:val="20"/>
        </w:rPr>
        <w:t>veškerá</w:t>
      </w:r>
      <w:r>
        <w:rPr>
          <w:spacing w:val="-8"/>
          <w:sz w:val="20"/>
        </w:rPr>
        <w:t> </w:t>
      </w:r>
      <w:r>
        <w:rPr>
          <w:sz w:val="20"/>
        </w:rPr>
        <w:t>chybějící</w:t>
      </w:r>
      <w:r>
        <w:rPr>
          <w:spacing w:val="-8"/>
          <w:sz w:val="20"/>
        </w:rPr>
        <w:t> </w:t>
      </w:r>
      <w:r>
        <w:rPr>
          <w:sz w:val="20"/>
        </w:rPr>
        <w:t>ustanovení,</w:t>
      </w:r>
      <w:r>
        <w:rPr>
          <w:spacing w:val="-8"/>
          <w:sz w:val="20"/>
        </w:rPr>
        <w:t> </w:t>
      </w:r>
      <w:r>
        <w:rPr>
          <w:sz w:val="20"/>
        </w:rPr>
        <w:t>jejichž</w:t>
      </w:r>
      <w:r>
        <w:rPr>
          <w:spacing w:val="-7"/>
          <w:sz w:val="20"/>
        </w:rPr>
        <w:t> </w:t>
      </w:r>
      <w:r>
        <w:rPr>
          <w:sz w:val="20"/>
        </w:rPr>
        <w:t>absence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8"/>
          <w:sz w:val="20"/>
        </w:rPr>
        <w:t> </w:t>
      </w:r>
      <w:r>
        <w:rPr>
          <w:sz w:val="20"/>
        </w:rPr>
        <w:t>shledána</w:t>
      </w:r>
      <w:r>
        <w:rPr>
          <w:spacing w:val="-8"/>
          <w:sz w:val="20"/>
        </w:rPr>
        <w:t> </w:t>
      </w: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kontrole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posouzení</w:t>
      </w:r>
      <w:r>
        <w:rPr>
          <w:spacing w:val="-52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strany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jejichž</w:t>
      </w:r>
      <w:r>
        <w:rPr>
          <w:spacing w:val="-2"/>
          <w:sz w:val="20"/>
        </w:rPr>
        <w:t> </w:t>
      </w:r>
      <w:r>
        <w:rPr>
          <w:sz w:val="20"/>
        </w:rPr>
        <w:t>doplnění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SVS</w:t>
      </w:r>
      <w:r>
        <w:rPr>
          <w:spacing w:val="-3"/>
          <w:sz w:val="20"/>
        </w:rPr>
        <w:t> </w:t>
      </w:r>
      <w:r>
        <w:rPr>
          <w:sz w:val="20"/>
        </w:rPr>
        <w:t>zavázala,</w:t>
      </w:r>
      <w:r>
        <w:rPr>
          <w:spacing w:val="-4"/>
          <w:sz w:val="20"/>
        </w:rPr>
        <w:t> </w:t>
      </w:r>
      <w:r>
        <w:rPr>
          <w:sz w:val="20"/>
        </w:rPr>
        <w:t>přičemž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jedná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níže</w:t>
      </w:r>
      <w:r>
        <w:rPr>
          <w:spacing w:val="-5"/>
          <w:sz w:val="20"/>
        </w:rPr>
        <w:t> </w:t>
      </w:r>
      <w:r>
        <w:rPr>
          <w:sz w:val="20"/>
        </w:rPr>
        <w:t>uvedené</w:t>
      </w:r>
      <w:r>
        <w:rPr>
          <w:spacing w:val="-53"/>
          <w:sz w:val="20"/>
        </w:rPr>
        <w:t> </w:t>
      </w:r>
      <w:r>
        <w:rPr>
          <w:sz w:val="20"/>
        </w:rPr>
        <w:t>podrobnosti, které byly ze strany SVS specifikovány v </w:t>
      </w:r>
      <w:r>
        <w:rPr>
          <w:i/>
          <w:sz w:val="20"/>
        </w:rPr>
        <w:t>Zápise z jednání pracovní skupiny 3/2019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23.</w:t>
      </w:r>
      <w:r>
        <w:rPr>
          <w:spacing w:val="-5"/>
          <w:sz w:val="20"/>
        </w:rPr>
        <w:t> </w:t>
      </w:r>
      <w:r>
        <w:rPr>
          <w:sz w:val="20"/>
        </w:rPr>
        <w:t>9.</w:t>
      </w:r>
      <w:r>
        <w:rPr>
          <w:spacing w:val="-6"/>
          <w:sz w:val="20"/>
        </w:rPr>
        <w:t> </w:t>
      </w:r>
      <w:r>
        <w:rPr>
          <w:sz w:val="20"/>
        </w:rPr>
        <w:t>2019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dopise</w:t>
      </w:r>
      <w:r>
        <w:rPr>
          <w:spacing w:val="-5"/>
          <w:sz w:val="20"/>
        </w:rPr>
        <w:t> </w:t>
      </w:r>
      <w:r>
        <w:rPr>
          <w:i/>
          <w:sz w:val="20"/>
        </w:rPr>
        <w:t>Strop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servisní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náklady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rutinní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období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2021-2030</w:t>
      </w:r>
      <w:r>
        <w:rPr>
          <w:i/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27.</w:t>
      </w:r>
      <w:r>
        <w:rPr>
          <w:spacing w:val="-5"/>
          <w:sz w:val="20"/>
        </w:rPr>
        <w:t> </w:t>
      </w:r>
      <w:r>
        <w:rPr>
          <w:sz w:val="20"/>
        </w:rPr>
        <w:t>11.</w:t>
      </w:r>
      <w:r>
        <w:rPr>
          <w:spacing w:val="-6"/>
          <w:sz w:val="20"/>
        </w:rPr>
        <w:t> </w:t>
      </w:r>
      <w:r>
        <w:rPr>
          <w:sz w:val="20"/>
        </w:rPr>
        <w:t>2019.</w:t>
      </w:r>
      <w:r>
        <w:rPr>
          <w:spacing w:val="-52"/>
          <w:sz w:val="20"/>
        </w:rPr>
        <w:t> </w:t>
      </w:r>
      <w:r>
        <w:rPr>
          <w:sz w:val="20"/>
        </w:rPr>
        <w:t>Jedná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 následující: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71" w:lineRule="exact" w:before="0" w:after="0"/>
        <w:ind w:left="1095" w:right="0" w:hanging="286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dodržení</w:t>
      </w:r>
      <w:r>
        <w:rPr>
          <w:spacing w:val="-4"/>
          <w:sz w:val="20"/>
        </w:rPr>
        <w:t> </w:t>
      </w:r>
      <w:r>
        <w:rPr>
          <w:sz w:val="20"/>
        </w:rPr>
        <w:t>evropských</w:t>
      </w:r>
      <w:r>
        <w:rPr>
          <w:spacing w:val="-2"/>
          <w:sz w:val="20"/>
        </w:rPr>
        <w:t> </w:t>
      </w:r>
      <w:r>
        <w:rPr>
          <w:sz w:val="20"/>
        </w:rPr>
        <w:t>environmentálních</w:t>
      </w:r>
      <w:r>
        <w:rPr>
          <w:spacing w:val="-3"/>
          <w:sz w:val="20"/>
        </w:rPr>
        <w:t> </w:t>
      </w:r>
      <w:r>
        <w:rPr>
          <w:sz w:val="20"/>
        </w:rPr>
        <w:t>směrnic.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32" w:lineRule="auto" w:before="2" w:after="0"/>
        <w:ind w:left="1095" w:right="116" w:hanging="286"/>
        <w:jc w:val="both"/>
        <w:rPr>
          <w:sz w:val="20"/>
        </w:rPr>
      </w:pPr>
      <w:r>
        <w:rPr>
          <w:sz w:val="20"/>
        </w:rPr>
        <w:t>Doplnění ustanovení o maximálním podílu externích služeb zajišťovaných poddodavatelem a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omezení.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32" w:lineRule="auto" w:before="7" w:after="0"/>
        <w:ind w:left="1095" w:right="109" w:hanging="286"/>
        <w:jc w:val="both"/>
        <w:rPr>
          <w:sz w:val="20"/>
        </w:rPr>
      </w:pPr>
      <w:r>
        <w:rPr>
          <w:spacing w:val="-1"/>
          <w:sz w:val="20"/>
        </w:rPr>
        <w:t>Doplnění</w:t>
      </w:r>
      <w:r>
        <w:rPr>
          <w:spacing w:val="-12"/>
          <w:sz w:val="20"/>
        </w:rPr>
        <w:t> </w:t>
      </w:r>
      <w:r>
        <w:rPr>
          <w:sz w:val="20"/>
        </w:rPr>
        <w:t>ustanovení</w:t>
      </w:r>
      <w:r>
        <w:rPr>
          <w:spacing w:val="-12"/>
          <w:sz w:val="20"/>
        </w:rPr>
        <w:t> </w:t>
      </w:r>
      <w:r>
        <w:rPr>
          <w:sz w:val="20"/>
        </w:rPr>
        <w:t>implementující</w:t>
      </w:r>
      <w:r>
        <w:rPr>
          <w:spacing w:val="-10"/>
          <w:sz w:val="20"/>
        </w:rPr>
        <w:t> </w:t>
      </w:r>
      <w:r>
        <w:rPr>
          <w:sz w:val="20"/>
        </w:rPr>
        <w:t>mechanismus</w:t>
      </w:r>
      <w:r>
        <w:rPr>
          <w:spacing w:val="-12"/>
          <w:sz w:val="20"/>
        </w:rPr>
        <w:t> </w:t>
      </w:r>
      <w:r>
        <w:rPr>
          <w:sz w:val="20"/>
        </w:rPr>
        <w:t>navyšování</w:t>
      </w:r>
      <w:r>
        <w:rPr>
          <w:spacing w:val="-12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smluvního</w:t>
      </w:r>
      <w:r>
        <w:rPr>
          <w:spacing w:val="-11"/>
          <w:sz w:val="20"/>
        </w:rPr>
        <w:t> </w:t>
      </w:r>
      <w:r>
        <w:rPr>
          <w:sz w:val="20"/>
        </w:rPr>
        <w:t>pokutového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smluvních pokut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vliv</w:t>
      </w:r>
      <w:r>
        <w:rPr>
          <w:spacing w:val="-1"/>
          <w:sz w:val="20"/>
        </w:rPr>
        <w:t> </w:t>
      </w:r>
      <w:r>
        <w:rPr>
          <w:sz w:val="20"/>
        </w:rPr>
        <w:t>inflace.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69" w:lineRule="exact" w:before="0" w:after="0"/>
        <w:ind w:left="1095" w:right="0" w:hanging="286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-4"/>
          <w:sz w:val="20"/>
        </w:rPr>
        <w:t> </w:t>
      </w:r>
      <w:r>
        <w:rPr>
          <w:sz w:val="20"/>
        </w:rPr>
        <w:t>chybějícího</w:t>
      </w:r>
      <w:r>
        <w:rPr>
          <w:spacing w:val="-3"/>
          <w:sz w:val="20"/>
        </w:rPr>
        <w:t> </w:t>
      </w:r>
      <w:r>
        <w:rPr>
          <w:sz w:val="20"/>
        </w:rPr>
        <w:t>Výkonového</w:t>
      </w:r>
      <w:r>
        <w:rPr>
          <w:spacing w:val="-3"/>
          <w:sz w:val="20"/>
        </w:rPr>
        <w:t> </w:t>
      </w:r>
      <w:r>
        <w:rPr>
          <w:sz w:val="20"/>
        </w:rPr>
        <w:t>ukazatele</w:t>
      </w:r>
      <w:r>
        <w:rPr>
          <w:spacing w:val="-4"/>
          <w:sz w:val="20"/>
        </w:rPr>
        <w:t> </w:t>
      </w:r>
      <w:r>
        <w:rPr>
          <w:sz w:val="20"/>
        </w:rPr>
        <w:t>„Porucha</w:t>
      </w:r>
      <w:r>
        <w:rPr>
          <w:spacing w:val="-4"/>
          <w:sz w:val="20"/>
        </w:rPr>
        <w:t> </w:t>
      </w:r>
      <w:r>
        <w:rPr>
          <w:sz w:val="20"/>
        </w:rPr>
        <w:t>čerpadel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stokové</w:t>
      </w:r>
      <w:r>
        <w:rPr>
          <w:spacing w:val="-4"/>
          <w:sz w:val="20"/>
        </w:rPr>
        <w:t> </w:t>
      </w:r>
      <w:r>
        <w:rPr>
          <w:sz w:val="20"/>
        </w:rPr>
        <w:t>síti“.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35" w:lineRule="auto" w:before="0" w:after="0"/>
        <w:ind w:left="1095" w:right="108" w:hanging="286"/>
        <w:jc w:val="both"/>
        <w:rPr>
          <w:sz w:val="20"/>
        </w:rPr>
      </w:pPr>
      <w:r>
        <w:rPr>
          <w:sz w:val="20"/>
        </w:rPr>
        <w:t>Doplnění ustanovení vyplývajících z dopisu </w:t>
      </w:r>
      <w:r>
        <w:rPr>
          <w:i/>
          <w:sz w:val="20"/>
        </w:rPr>
        <w:t>Strop na servisní náklady pro rutinní období 2021-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2030 </w:t>
      </w:r>
      <w:r>
        <w:rPr>
          <w:sz w:val="20"/>
        </w:rPr>
        <w:t>o způsobu nastavení stropů pro zisk a příjem provozovatele a mechanismu nastavení</w:t>
      </w:r>
      <w:r>
        <w:rPr>
          <w:spacing w:val="1"/>
          <w:sz w:val="20"/>
        </w:rPr>
        <w:t> </w:t>
      </w:r>
      <w:r>
        <w:rPr>
          <w:sz w:val="20"/>
        </w:rPr>
        <w:t>výchozích</w:t>
      </w:r>
      <w:r>
        <w:rPr>
          <w:spacing w:val="-1"/>
          <w:sz w:val="20"/>
        </w:rPr>
        <w:t> </w:t>
      </w:r>
      <w:r>
        <w:rPr>
          <w:sz w:val="20"/>
        </w:rPr>
        <w:t>hodnot.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931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10" w:hanging="28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o"/>
      <w:lvlJc w:val="left"/>
      <w:pPr>
        <w:ind w:left="1095" w:hanging="286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6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6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3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8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26" w:hanging="286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8" w:hanging="2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5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1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4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4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37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3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8" w:hanging="2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64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2022-05-12T06:01:40Z</dcterms:created>
  <dcterms:modified xsi:type="dcterms:W3CDTF">2022-05-12T06:01:40Z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