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7B00" w:rsidRPr="0034434E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34E" w:rsidRPr="0034434E" w:rsidRDefault="0034434E" w:rsidP="0034434E">
      <w:pPr>
        <w:spacing w:after="0"/>
        <w:rPr>
          <w:vanish/>
        </w:rPr>
      </w:pPr>
    </w:p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7B00" w:rsidRPr="0034434E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4705" w:righ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Smlouva o smlouvě budoucí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o připojení lokality na napěťové hladině NN</w:t>
      </w:r>
    </w:p>
    <w:p w:rsidR="00F37B00" w:rsidRDefault="00F37B00">
      <w:pPr>
        <w:widowControl w:val="0"/>
        <w:autoSpaceDE w:val="0"/>
        <w:autoSpaceDN w:val="0"/>
        <w:adjustRightInd w:val="0"/>
        <w:spacing w:after="0" w:line="240" w:lineRule="auto"/>
        <w:ind w:left="4705" w:right="28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236"/>
      </w:tblGrid>
      <w:tr w:rsidR="00F37B00" w:rsidRPr="0034434E">
        <w:trPr>
          <w:trHeight w:hRule="exact" w:val="113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34434E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170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E">
              <w:rPr>
                <w:noProof/>
              </w:rPr>
              <w:pict>
                <v:roundrect id="_x0000_s1026" style="position:absolute;left:0;text-align:left;margin-left:1.4pt;margin-top:1.45pt;width:308.95pt;height:53.85pt;z-index:1;mso-wrap-distance-left:0;mso-wrap-distance-top:0;mso-wrap-distance-right:0;mso-wrap-distance-bottom:9.99947mm;mso-position-horizontal-relative:page;mso-position-vertical-relative:page" arcsize="10923f" strokecolor="#bebebe" strokeweight=".99994mm">
                  <v:fill opacity="0"/>
                  <w10:wrap anchorx="page" anchory="page"/>
                </v:roundrect>
              </w:pict>
            </w:r>
            <w:r w:rsidR="009C67A1" w:rsidRPr="0034434E"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 w:rsidR="009C67A1" w:rsidRPr="0034434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8832109434</w:t>
            </w:r>
          </w:p>
          <w:p w:rsidR="00F37B00" w:rsidRPr="0034434E" w:rsidRDefault="009C67A1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56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E">
              <w:rPr>
                <w:rFonts w:ascii="Arial" w:hAnsi="Arial" w:cs="Arial"/>
                <w:b/>
                <w:bCs/>
                <w:sz w:val="20"/>
                <w:szCs w:val="20"/>
              </w:rPr>
              <w:t>Číslo SPP</w:t>
            </w:r>
            <w:r w:rsidRPr="0034434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S-150979</w:t>
            </w:r>
          </w:p>
          <w:p w:rsidR="00F37B00" w:rsidRPr="0034434E" w:rsidRDefault="009C67A1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56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E">
              <w:rPr>
                <w:rFonts w:ascii="Arial" w:hAnsi="Arial" w:cs="Arial"/>
                <w:b/>
                <w:bCs/>
                <w:sz w:val="20"/>
                <w:szCs w:val="20"/>
              </w:rPr>
              <w:t>Číslo Žádosti</w:t>
            </w:r>
            <w:r w:rsidRPr="0034434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25169538</w:t>
            </w:r>
          </w:p>
        </w:tc>
      </w:tr>
    </w:tbl>
    <w:p w:rsidR="00F37B00" w:rsidRDefault="00F37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Provozovatel distribuční soustavy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(na straně jedné): PREdistribuce, a.s.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Svornosti 3199/19a, Praha 5. PSČ 150 00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v OR Městského soudu v Praze, spisová značka B 10158 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doručování: Praha 10, Na Hroudě 1492/4, PSČ 100 05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Josefem Krejčím, vedoucím oddělení Projektová příprava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273 76 516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DIČ: CZ 273 76 516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ČSOB, a.s.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17494043/0300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pověřené k jednání ve věcech plnění smlouvy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osoba pověřená přípravou):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Milena Benešová, oddělení Projektová příprava, tel: 267052623, email: milena.benesova@predistribuce.cz 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623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datové schránky: vgsfsr3 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b/>
          <w:bCs/>
          <w:sz w:val="20"/>
          <w:szCs w:val="20"/>
        </w:rPr>
        <w:t>"PREdi"</w:t>
      </w:r>
    </w:p>
    <w:p w:rsidR="00F37B00" w:rsidRDefault="00F37B00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Arial" w:hAnsi="Arial" w:cs="Arial"/>
          <w:sz w:val="20"/>
          <w:szCs w:val="20"/>
        </w:rPr>
      </w:pPr>
    </w:p>
    <w:p w:rsidR="00F37B00" w:rsidRDefault="00F37B00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Arial" w:hAnsi="Arial" w:cs="Arial"/>
          <w:sz w:val="20"/>
          <w:szCs w:val="20"/>
        </w:rPr>
      </w:pP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Žadatel (na straně druhé): 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Základní škola a Mateřská škola Antonína Čermáka, Praha 6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Antonína Čermáka 1022/6</w:t>
      </w:r>
      <w:r>
        <w:rPr>
          <w:rFonts w:ascii="Arial" w:hAnsi="Arial" w:cs="Arial"/>
          <w:sz w:val="20"/>
          <w:szCs w:val="20"/>
        </w:rPr>
        <w:br/>
        <w:t>160 00  Praha 6 - Bubeneč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zapsaný v Příspěvková organizace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Mgr. Petr Karvánek, ředitel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481 33 850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DIČ: 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banka, a.s.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č.ú.: </w:t>
      </w: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b/>
          <w:bCs/>
          <w:sz w:val="20"/>
          <w:szCs w:val="20"/>
        </w:rPr>
        <w:t>"Žadatel"</w:t>
      </w:r>
    </w:p>
    <w:p w:rsidR="00F37B00" w:rsidRDefault="00F37B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7B00" w:rsidRDefault="009C67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 tuto</w:t>
      </w:r>
    </w:p>
    <w:p w:rsidR="00F37B00" w:rsidRDefault="009C67A1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SMLOUVU O SMLOUVĚ BUDOUCÍ O PŘIPOJENÍ LOKALITY</w:t>
      </w:r>
      <w:r>
        <w:rPr>
          <w:rFonts w:ascii="Arial" w:hAnsi="Arial" w:cs="Arial"/>
          <w:sz w:val="20"/>
          <w:szCs w:val="20"/>
        </w:rPr>
        <w:t xml:space="preserve"> (dále jen „Smlouva“)</w:t>
      </w:r>
    </w:p>
    <w:p w:rsidR="00F37B00" w:rsidRDefault="009C67A1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zák. č. 458/2000 Sb., energetický zákon (dále jen „Zákon“), a jeho prováděcích právních předpisů (dále jen „příslušné prováděcí předpisy“), jak následuje:</w:t>
      </w:r>
    </w:p>
    <w:p w:rsidR="00F37B00" w:rsidRDefault="009C67A1">
      <w:pPr>
        <w:tabs>
          <w:tab w:val="left" w:pos="340"/>
        </w:tabs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Předmět smlouvy</w:t>
      </w:r>
    </w:p>
    <w:p w:rsidR="00F37B00" w:rsidRDefault="009C67A1">
      <w:pPr>
        <w:tabs>
          <w:tab w:val="left" w:pos="283"/>
        </w:tabs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za níže dohodnutých podmínek:</w:t>
      </w:r>
    </w:p>
    <w:p w:rsidR="00F37B00" w:rsidRDefault="009C67A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závazek Žadatele a PREdi uzavřít v budoucnu smlouvu o připojení jednotlivých odběrných míst Žadatele v rámci lokality specifikované v čl. 3. této Smlouvy k distribuční soustavě PREdi. Lokalitou se rozumí odběrné elektrické zařízení Žadatele, v rámci kterého dojde k následnému připojení jednoho či více odběrných míst Žadatele uvedených v čl. 3. této Smlouvy,</w:t>
      </w:r>
    </w:p>
    <w:p w:rsidR="00F37B00" w:rsidRDefault="009C67A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závazek PREdi provést v kvalitě a způsobem stanoveným v této Smlouvě potřebná opatření v distribuční soustavě PREdi, která umožní připojení lokality,</w:t>
      </w:r>
    </w:p>
    <w:p w:rsidR="00F37B00" w:rsidRDefault="009C67A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závazek Žadatele uhradit zálohu na podíl na oprávněných nákladech v souladu s čl. 6. Smlouvy.</w:t>
      </w:r>
    </w:p>
    <w:p w:rsidR="00F37B00" w:rsidRDefault="00F37B00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F37B00" w:rsidRDefault="009C67A1">
      <w:pPr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Podmínky připojení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Podmínky a způsob provedení potřebných opatření v distribuční soustavě PREdi v souvislosti s plněním této Smlouvy se řídí Zákonem, příslušnými prováděcími předpisy a Pravidly provozování distribuční soustavy schválenými Energetickým regulačním úřadem (dále jen "PPDS").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PREdi a Žadatel se zavazují uzavřít spolu po splnění této Smlouvy Smlouvu o připojení, jejímž předmětem bude připojení jednotlivých odběrných míst v rámci lokality Žadatele k distribuční soustavě PREdi v kvalitě a způsobem podle </w:t>
      </w:r>
      <w:r>
        <w:rPr>
          <w:rFonts w:ascii="Arial" w:hAnsi="Arial" w:cs="Arial"/>
          <w:sz w:val="20"/>
          <w:szCs w:val="20"/>
        </w:rPr>
        <w:lastRenderedPageBreak/>
        <w:t>Zákona, příslušných prováděcích předpisů a PPDS a zároveň závazek Žadatele uhradit PREdi podíl na nákladech spojených s připojením jednotlivých odběrných míst k distribuční soustavě a se zajištěním požadovaného rezervovaného příkonu dle této Smlouvy. Smlouvy o připojení budou uzavírány po zprovoznění energetického díla uvedeného v čl. 3. této Smlouvy ve lhůtě 30 dní od doručení výzvy kterékoli ze smluvních stran.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7B00" w:rsidRPr="0034434E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34E" w:rsidRPr="0034434E" w:rsidRDefault="0034434E" w:rsidP="0034434E">
      <w:pPr>
        <w:spacing w:after="0"/>
        <w:rPr>
          <w:vanish/>
        </w:rPr>
      </w:pPr>
    </w:p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7B00" w:rsidRPr="0034434E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Způsob připojení dle této Smlouvy bude proveden jako standardní a umožní zajistit pro Žadatele v místě připojení dle této Smlouvy standardní kvalitu dodávky elektřiny stanovenou příslušným prováděcím předpisem. 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Místo a způsob připojení zařízení Žadatele jsou blíže specifikovány v článku 3. a Příloze č. 1 této Smlouvy. </w:t>
      </w:r>
    </w:p>
    <w:p w:rsidR="00F37B00" w:rsidRDefault="009C67A1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Specifikace místa a způsobu připojení zařízení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Místo připojení lokality Žadatele k distribuční soustavě PREdi je následující:</w:t>
      </w:r>
    </w:p>
    <w:p w:rsidR="00F37B00" w:rsidRDefault="009C67A1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připojení: Janákova 2358/9, Praha 6 - Dejvice, 160 00  </w:t>
      </w:r>
    </w:p>
    <w:p w:rsidR="00F37B00" w:rsidRDefault="009C67A1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Napěťová úroveň: NN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984"/>
        <w:gridCol w:w="1984"/>
        <w:gridCol w:w="1984"/>
      </w:tblGrid>
      <w:tr w:rsidR="00F37B00" w:rsidRPr="0034434E"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F37B00" w:rsidRPr="0034434E" w:rsidRDefault="009C67A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Rezervovaný příkon ve výši jmenovité hodnoty hlavního jističe před elektroměrem:</w:t>
            </w:r>
          </w:p>
        </w:tc>
      </w:tr>
      <w:tr w:rsidR="00F37B00" w:rsidRPr="0034434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E">
              <w:rPr>
                <w:rFonts w:ascii="Arial" w:hAnsi="Arial" w:cs="Arial"/>
                <w:b/>
                <w:bCs/>
                <w:sz w:val="20"/>
                <w:szCs w:val="20"/>
              </w:rPr>
              <w:t>Počet pož. jističů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E">
              <w:rPr>
                <w:rFonts w:ascii="Arial" w:hAnsi="Arial" w:cs="Arial"/>
                <w:b/>
                <w:bCs/>
                <w:sz w:val="20"/>
                <w:szCs w:val="20"/>
              </w:rPr>
              <w:t>Počet fází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E">
              <w:rPr>
                <w:rFonts w:ascii="Arial" w:hAnsi="Arial" w:cs="Arial"/>
                <w:b/>
                <w:bCs/>
                <w:sz w:val="20"/>
                <w:szCs w:val="20"/>
              </w:rPr>
              <w:t>Velikost jističe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E">
              <w:rPr>
                <w:rFonts w:ascii="Arial" w:hAnsi="Arial" w:cs="Arial"/>
                <w:b/>
                <w:bCs/>
                <w:sz w:val="20"/>
                <w:szCs w:val="20"/>
              </w:rPr>
              <w:t>Typ odběru</w:t>
            </w:r>
          </w:p>
        </w:tc>
      </w:tr>
      <w:tr w:rsidR="00F37B00" w:rsidRPr="0034434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37B00" w:rsidRPr="0034434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F37B00" w:rsidRDefault="009C67A1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Hranice vlastnictví:</w:t>
      </w:r>
    </w:p>
    <w:p w:rsidR="00F37B00" w:rsidRDefault="009C67A1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Zařízení Žadatele začíná na horních svorkách pojistek v přípojkové kabelové skříni </w:t>
      </w:r>
    </w:p>
    <w:p w:rsidR="00F37B00" w:rsidRDefault="009C67A1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Distribuční soustava PREdi končí na dolních svorkách pojistek v přípojkové kabelové skříni </w:t>
      </w:r>
    </w:p>
    <w:p w:rsidR="00F37B00" w:rsidRDefault="009C67A1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rozhraní jsou zároveň předávacími místy pro dodávku elektřiny.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PREdi se zavazuje provést ve své distribuční soustavě za účelem připojení zařízení Žadatele v místě připojení dle této Smlouvy opatření, která spočívají v projektové přípravě a ve vybudování: Z volné pozice v rozvaděči NN v TS 3834 bude napojen nový kabel NN AYKY-OT 3x240+120 mm2, který se položí jako přílož  stávající  trasy do nové SD 622-OT na hraně pozemku MŠ. Stavbu je nutno koordinovat s obnovou sítě PREdi Fragnerova obnova kNN (dále jen "energetické dílo"). Schéma způsobu připojení je specifikováno v Příloze č. 1. této Smlouvy.</w:t>
      </w:r>
    </w:p>
    <w:p w:rsidR="00F37B00" w:rsidRDefault="009C67A1">
      <w:pPr>
        <w:autoSpaceDE w:val="0"/>
        <w:autoSpaceDN w:val="0"/>
        <w:adjustRightInd w:val="0"/>
        <w:spacing w:after="0" w:line="259" w:lineRule="atLeast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PREdi se zavazuje zejména: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>zajistit na základě žádosti Žadatele a pravomocného územního rozhodnutí popř. územního souhlasu nebo společného povolení poskytnutého Žadatelem v souladu s čl. 4 odst. 1 této Smlouvy vypracování projektové dokumentace místa připojení, a to ve stupni prováděcí dokumentace. Dále PREdi zajistí pro realizaci místa připojení dle této Smlouvy uzavření smluv o zřízení věcného břemene (dále jen „</w:t>
      </w:r>
      <w:r>
        <w:rPr>
          <w:rFonts w:ascii="Arial" w:hAnsi="Arial" w:cs="Arial"/>
          <w:b/>
          <w:bCs/>
          <w:sz w:val="20"/>
          <w:szCs w:val="20"/>
        </w:rPr>
        <w:t>Konečná smlouva</w:t>
      </w:r>
      <w:r>
        <w:rPr>
          <w:rFonts w:ascii="Arial" w:hAnsi="Arial" w:cs="Arial"/>
          <w:sz w:val="20"/>
          <w:szCs w:val="20"/>
        </w:rPr>
        <w:t>“), anebo budoucích smluv o zřízení věcného břemene (dále jen „</w:t>
      </w:r>
      <w:r>
        <w:rPr>
          <w:rFonts w:ascii="Arial" w:hAnsi="Arial" w:cs="Arial"/>
          <w:b/>
          <w:bCs/>
          <w:sz w:val="20"/>
          <w:szCs w:val="20"/>
        </w:rPr>
        <w:t>Smlouva o smlouvě budoucí</w:t>
      </w:r>
      <w:r>
        <w:rPr>
          <w:rFonts w:ascii="Arial" w:hAnsi="Arial" w:cs="Arial"/>
          <w:sz w:val="20"/>
          <w:szCs w:val="20"/>
        </w:rPr>
        <w:t xml:space="preserve">“) na umístění energetického díla. Závazky PREdi, uvedené v tomto bodě, budou splněny </w:t>
      </w:r>
      <w:r>
        <w:rPr>
          <w:rFonts w:ascii="Arial" w:hAnsi="Arial" w:cs="Arial"/>
          <w:b/>
          <w:bCs/>
          <w:sz w:val="20"/>
          <w:szCs w:val="20"/>
        </w:rPr>
        <w:t>do 12 měsíců od převzetí pravomocného Rozhodnutí o povolení stavby dle odst 4.1</w:t>
      </w:r>
      <w:r>
        <w:rPr>
          <w:rFonts w:ascii="Arial" w:hAnsi="Arial" w:cs="Arial"/>
          <w:sz w:val="20"/>
          <w:szCs w:val="20"/>
        </w:rPr>
        <w:t>. Za porušení této Smlouvy nepovažují smluvní strany situaci, kdy z důvodů nezávislých na vůli PREdi a bez jejího zavinění nebude s vlastníky nemovitostí dotčených stavbou energetického díla uzavřena Konečná smlouva nebo Smlouva o smlouvě budoucí nebo vydán jiný právní titul, který by opravňoval PREdi ke vstupu na nemovitost za účelem realizace místa připojení. V takovém případě se lhůta prodlužuje do dne uzavření v tomto odstavci uvedených smluv nebo vydání jiného právního titulu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>vyzvat písemně Žadatele do 10 dnů od termínu dle odst. 3.2.1 k převzetí schválené projektové dokumentace k zajištění stavební připravenosti.</w:t>
      </w:r>
    </w:p>
    <w:p w:rsidR="00F37B00" w:rsidRDefault="009C67A1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Stavební připraveností pro pokládku kabelového vedení se rozumí předání volné trasy na stavebním pozemku Žadatele (polohopisné a výškopisné zaměření, osazení obrubníků) včetně dosypání terénu na nulovou úroveň a založení chrániček pro kabely pod budoucí komunikace a vjezdy, zajištění dopravní obslužnosti při výstavbě, dále výstavba pilířků pro osazení rozvodných skříní nebo příprava pro jejich osazení do obvodové zdi budovy, vše v souladu s projektovou dokumentací.</w:t>
      </w:r>
    </w:p>
    <w:p w:rsidR="00F37B00" w:rsidRDefault="00F37B00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sz w:val="20"/>
          <w:szCs w:val="20"/>
        </w:rPr>
      </w:pPr>
    </w:p>
    <w:p w:rsidR="00F37B00" w:rsidRDefault="00F37B00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sz w:val="20"/>
          <w:szCs w:val="20"/>
        </w:rPr>
      </w:pP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ab/>
        <w:t xml:space="preserve">zajistit realizaci a zprovoznění energetického díla v termínu </w:t>
      </w:r>
      <w:r>
        <w:rPr>
          <w:rFonts w:ascii="Arial" w:hAnsi="Arial" w:cs="Arial"/>
          <w:b/>
          <w:bCs/>
          <w:sz w:val="20"/>
          <w:szCs w:val="20"/>
        </w:rPr>
        <w:t xml:space="preserve">do 12 měsíců </w:t>
      </w:r>
      <w:r>
        <w:rPr>
          <w:rFonts w:ascii="Arial" w:hAnsi="Arial" w:cs="Arial"/>
          <w:sz w:val="20"/>
          <w:szCs w:val="20"/>
        </w:rPr>
        <w:t xml:space="preserve">ode dne předání a převzetí staveniště po dokončení stavební připravenosti Žadatele dle odst. 3.2.2. Termín realizace a zprovoznění může být prodloužen o dobu nepříznivých klimatických podmínek, které neumožnily provádění prací v souladu s technologickými předpisy. </w:t>
      </w:r>
    </w:p>
    <w:p w:rsidR="00F37B00" w:rsidRDefault="009C67A1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  <w:t>Povinnosti Žadatele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se zavazuje zejména: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Předat PREdi ověřenou kopii pravomocného územního rozhodnutí, popř. územního souhlasu nebo společného povolení nebo stavebního povolení v souladu se zákonem č. 183/2006 Sb., stavebním zákonem (dále jen „Rozhodnutí o povolení stavby“) včetně situace potvrzené stavebním úřadem na realizaci svého záměru zahrnujícího i energetické dílo v termínu do 6 měsíců od podpisu této Smlouvy. Pokud se Žadatel dostane do prodlení s předložením Rozhodnutí </w:t>
      </w:r>
      <w:r>
        <w:rPr>
          <w:rFonts w:ascii="Arial" w:hAnsi="Arial" w:cs="Arial"/>
          <w:sz w:val="20"/>
          <w:szCs w:val="20"/>
        </w:rPr>
        <w:lastRenderedPageBreak/>
        <w:t>o povolení stavby, prodlouží se o dobu prodlení automaticky termín uvedený v odst. 3.2.1. Žadatel se rovněž zavazuje uzavřít s PREdi dohodu o převodu práv a povinností vztahujících se k energetickému dílu z Rozhodnutí o povolení stavby, a to nejpozději do termínu uvedeného v odstavci 3.2.1 této Smlouvy.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7B00" w:rsidRPr="0034434E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34E" w:rsidRPr="0034434E" w:rsidRDefault="0034434E" w:rsidP="0034434E">
      <w:pPr>
        <w:spacing w:after="0"/>
        <w:rPr>
          <w:vanish/>
        </w:rPr>
      </w:pPr>
    </w:p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7B00" w:rsidRPr="0034434E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B00" w:rsidRDefault="009C67A1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Uzavřít s PREdi Konečnou smlouvu na umístění energetického díla v dotčené nemovité věci ve vlastnictví Žadatele do termínu uvedeného v odst. 3.2.1. Pokud není splnění této povinnosti objektivně možné, uzavřít s PREdi v tomto termínu Smlouvu o smlouvě budoucí.</w:t>
      </w:r>
    </w:p>
    <w:p w:rsidR="00F37B00" w:rsidRDefault="009C67A1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Rozsah věcného břemene pro účely Konečné smlouvy bude vyznačen v příslušném geometrickém plánu, který bude její nedílnou součástí a bude vyhotoven na náklady PREdi. Pokud po zápisu věcného břemene do katastru nemovitostí na základě Konečné smlouvy dojde z důvodů na straně Žadatele ke změně umístění energetického díla, Žadatel se zavazuje uzavřít s PREdi novou Konečnou smlouvu dle skutečného umístění energetického díla. Smluvní strany si poskytnou vzájemnou součinnost.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Poskytnout PREdi na vyžádání potřebná vyjádření z dokumentace pro územní řízení za účelem vypracování prováděcí projektové dokumentace energetického díla.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Převzít prováděcí projektovou dokumentaci od PREdi, zajistit stavební připravenost v souladu se schválenou prováděcí projektovou dokumentací na energetické dílo a předat připravené staveniště PREdi nejpozději do 1 roku od předání projektové dokumentace. Stavební připravenost je definována v odst. 3.2.2.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Písemně oznámit 3 měsíce předem na e-mail adresu zdena.kudzbelova@pre.cz předpokládaný termín dokončení stavební připravenosti.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Pokud byla uzavřena Smlouva o smlouvě budoucí v souladu s odst. 4.2. této Smlouvy, uzavřít na základě výzvy PREdi Konečnou smlouvu, a to po dokončení energetického díla a jeho geodetickém a geometrickém zaměření. Podklady pro uzavření smlouvy Žadatel předá na výzvu PREdi.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Pokud Žadatel zajišťuje vydání kolaudačního souhlasu nebo kolaudačního rozhodnutí na celý soubor staveb, jejichž součástí je energetické dílo, zajistí, aby PREdi byla v kolaudačním souhlasu nebo kolaudačním rozhodnutí uvedena jako stavebník energetického díla a tedy i vlastník zařízení uvedeného v odst. 5.1, a to takto: PREdistribuce, a.s., se sídlem Praha 5, Svornosti 3199/19a, PSČ150 00.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Pokud je Žadatel povinnou osobou ke zveřejnění Smlouvy v registru smluv dle zákona č. 340/2015 Sb., Žadatel se zavazuje, že neprodleně po uzavření Smlouvy provede zaslání této Smlouvy správci registru smluv k uveřejnění prostřednictvím registru smluv. Žadatel se dále zavazuje, že při vyplňování formuláře metadat této Smlouvy uvede také adresu datové schránky PREdi a číslo této smlouvy PREdi.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V případě, že Žadatel nesplní povinnost uveřejnění Smlouvy prostřednictvím registru smluv ani do 15 dnů ode dne uzavření této Smlouvy, pak je PREdi oprávněna Smlouvu zaslat správci registru smluv sama. </w:t>
      </w:r>
    </w:p>
    <w:p w:rsidR="00F37B00" w:rsidRDefault="009C67A1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  <w:t>Vlastnická a další práva</w:t>
      </w:r>
    </w:p>
    <w:p w:rsidR="00F37B00" w:rsidRDefault="009C67A1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PREdi je investorem a bude vlastnit kabelové vedení a dělící skříň. </w:t>
      </w:r>
    </w:p>
    <w:p w:rsidR="00F37B00" w:rsidRDefault="009C67A1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Žadatel je investorem a bude vlastnit pilíř dělící skříně.</w:t>
      </w:r>
    </w:p>
    <w:p w:rsidR="00F37B00" w:rsidRDefault="009C67A1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Vybudováním energetického díla vznikne PREdi podle Zákona ve veřejném zájmu právo vstupovat oprávněnými osobami bez časového omezení na/do nemovitosti Žadatele či třetích osob v souvislosti se zřizováním, obnovou a provozováním v nich umístěného zařízení distribuční soustavy a Žadatel nebude oprávněn toto právo omezit způsobem, který poškozuje veřejný zájem. Způsob zajištění přístupu a podmínky provozování a údržby zařízení distribuční soustavy PREdi umístěné na/v nemovitosti Žadatele či třetích osob jsou specifikovány v Zákoně.</w:t>
      </w:r>
    </w:p>
    <w:p w:rsidR="00F37B00" w:rsidRDefault="009C67A1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  <w:t>Podíl Žadatele na nákladech PREdi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Žadatel je povinen uhradit PREdi podíl na oprávněných nákladech spojených s připojením zařízení do distribuční soustavy a se zajištěním požadovaného rezervovaného příkonu ve výši stanovené v souladu s příslušným ustanovením vyhlášky ERÚ č. 16/2016 Sb., o podmínkách připojení k elektrizační soustavě v platném znění. Výše podílu Žadatele se vypočte jako součin  rezervovaného příkonu a částky za jednotku příkonu uvedené v příloze předmětné vyhlášky.</w:t>
      </w:r>
    </w:p>
    <w:p w:rsidR="00F37B00" w:rsidRDefault="009C67A1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Podíl Žadatele:</w:t>
      </w:r>
    </w:p>
    <w:p w:rsidR="00F37B00" w:rsidRDefault="009C67A1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275A x 500,- Kč/A = 137.500,- Kč</w:t>
      </w:r>
    </w:p>
    <w:p w:rsidR="00F37B00" w:rsidRDefault="009C67A1">
      <w:pPr>
        <w:autoSpaceDE w:val="0"/>
        <w:autoSpaceDN w:val="0"/>
        <w:adjustRightInd w:val="0"/>
        <w:spacing w:after="200" w:line="276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Výše celkového podílu za příkon bude upravena o stávající odběr MS 8110482957 – 3x80A, pokud dojde k ukončení (demontáž elektroměru), nejdéle však do 48 ti měsíců od data ukončení odběru. Úprava </w:t>
      </w:r>
      <w:r w:rsidR="009B4EB9">
        <w:rPr>
          <w:rFonts w:ascii="Arial" w:hAnsi="Arial" w:cs="Arial"/>
          <w:sz w:val="20"/>
          <w:szCs w:val="20"/>
        </w:rPr>
        <w:t>celkového podílu za příkon bude</w:t>
      </w:r>
      <w:r>
        <w:rPr>
          <w:rFonts w:ascii="Arial" w:hAnsi="Arial" w:cs="Arial"/>
          <w:sz w:val="20"/>
          <w:szCs w:val="20"/>
        </w:rPr>
        <w:t xml:space="preserve"> zohledněna při vystavení SOP k příslušné SoSB a žádosti.</w:t>
      </w:r>
    </w:p>
    <w:p w:rsidR="00F37B00" w:rsidRDefault="00F37B00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Žadatel je povinen na základě této Smlouvy uhradit PREdi v souladu s ustanovením příslušné vyhlášky ERÚ zálohu na podíl na oprávněných nákladech ve výši 50% z hodnoty podílu, tj. </w:t>
      </w:r>
      <w:r>
        <w:rPr>
          <w:rFonts w:ascii="Arial" w:hAnsi="Arial" w:cs="Arial"/>
          <w:b/>
          <w:bCs/>
          <w:sz w:val="20"/>
          <w:szCs w:val="20"/>
        </w:rPr>
        <w:t>68.750 Kč</w:t>
      </w:r>
      <w:r>
        <w:rPr>
          <w:rFonts w:ascii="Arial" w:hAnsi="Arial" w:cs="Arial"/>
          <w:sz w:val="20"/>
          <w:szCs w:val="20"/>
        </w:rPr>
        <w:t xml:space="preserve">. Záloha bude uhrazena do 30 dnů ode dne uzavření této Smlouvy. </w:t>
      </w:r>
      <w:r>
        <w:rPr>
          <w:rFonts w:ascii="Arial" w:hAnsi="Arial" w:cs="Arial"/>
          <w:b/>
          <w:bCs/>
          <w:sz w:val="20"/>
          <w:szCs w:val="20"/>
        </w:rPr>
        <w:t xml:space="preserve">Všechny platby budou Žadatelem uhrazeny na účet č. 17494043/0300, v.s. 8832109434. </w:t>
      </w:r>
      <w:r>
        <w:rPr>
          <w:rFonts w:ascii="Arial" w:hAnsi="Arial" w:cs="Arial"/>
          <w:sz w:val="20"/>
          <w:szCs w:val="20"/>
        </w:rPr>
        <w:t xml:space="preserve">Zbývající část podílu ve výši </w:t>
      </w:r>
      <w:r>
        <w:rPr>
          <w:rFonts w:ascii="Arial" w:hAnsi="Arial" w:cs="Arial"/>
          <w:b/>
          <w:bCs/>
          <w:sz w:val="20"/>
          <w:szCs w:val="20"/>
        </w:rPr>
        <w:t xml:space="preserve">68.750 Kč </w:t>
      </w:r>
      <w:r>
        <w:rPr>
          <w:rFonts w:ascii="Arial" w:hAnsi="Arial" w:cs="Arial"/>
          <w:sz w:val="20"/>
          <w:szCs w:val="20"/>
        </w:rPr>
        <w:t>bude Žadatelem uhrazena k termínu uzavření Smlouvy o připojení dle odst. 2.2 této Smlouvy.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7B00" w:rsidRPr="0034434E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34E" w:rsidRPr="0034434E" w:rsidRDefault="0034434E" w:rsidP="0034434E">
      <w:pPr>
        <w:spacing w:after="0"/>
        <w:rPr>
          <w:vanish/>
        </w:rPr>
      </w:pPr>
    </w:p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7B00" w:rsidRPr="0034434E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Výše podílu Žadatele dle této Smlouvy může být změněna v souladu s ustanovením čl. 6.1 této Smlouvy v případě, že dojde v průběhu realizace připojení ke změně rezervovaného příkonu. O změně rezervovaného příkonu a výše podílu Žadatele uzavřou smluvní strany Dodatek k této Smlouvě.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Neuhrazení zálohy na podíl na oprávněných nákladech Žadatelem v termínu uvedeném v odst. 6.2 a ani v dodatečné přiměřené lhůtě poskytnuté mu PREdi je důvodem odstoupení od smlouvy dle odst. 7.2 Smlouvy.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Smluvní strany se dohodly, že dojde-li z důvodů na straně Žadatele ke změně způsobu připojení zařízení Žadatele a/nebo ke změně umístění energetického díla dle odst. 3.1 a 3.2, zavazuje se Žadatel uzavřít s PREdi dodatek k této Smlouvě a uhradit PREdi vícenáklady, které tím PREdi vzniknou v souvislosti s přípravou a realizací energetického díla.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Smluvní strany se dohodly, že je PREdi oprávněna jednostranně započíst náklady, které v souvislosti s realizací Smlouvy do okamžiku odstoupení vynaložila, proti uhrazené záloze dle odst. 6.2. </w:t>
      </w:r>
    </w:p>
    <w:p w:rsidR="00F37B00" w:rsidRDefault="009C67A1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Další ujednání</w:t>
      </w:r>
    </w:p>
    <w:p w:rsidR="00F37B00" w:rsidRDefault="009C67A1">
      <w:pPr>
        <w:keepLines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 případě, že nedojde k uzavření Konečné smlouvy dle čl. 4.2 a 4.3 a Žadatel provede převod nemovité věci Žadatele dotčené Smlouvou o budoucí smlouvě, pak se Žadatel zavazuje ve smlouvě o převodu převést závazek zřízení věcného břemene na nového vlastníka. Před provedením převodu, případně před rozdělením objektu na bytové či nebytové jednotky, je Žadatel povinen PREdi na takovou změnu upozornit a vyzvat ji k uzavření Konečné smlouvy, a to bez zbytečného odkladu tak, aby bylo uzavření smlouvy a podání návrhu na vklad technicky možné. Za nedodržení některé z výše uvedených povinností uhradí Žadatel smluvní pokutu ve výši znaleckého ocenění věcného břemene. Zaplacením smluvní pokuty není dotčeno právo PREdi na náhradu případně vzniklé škody.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Kterákoliv ze smluvních stran může od Smlouvy odstoupit, jestliže dojde k prodlení s plněním smluvních povinností druhé smluvní strany. V písemném odstoupení od Smlouvy musí odstupující smluvní strana uvést konkrétní důvod odstoupení od smlouvy. Účinky odstoupení nastávají dnem doručení písemného oznámení o odstoupení od smlouvy druhé smluvní straně. V pochybnostech se má za to, že odstoupení od smlouvy bylo doručeno třetím dnem po odeslání.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Pokud dojde k odstoupení od této Smlouvy, má smluvní strana, která odstoupení od Smlouvy nezavinila, právo požadovat po druhé smluvní straně úhradu již prokazatelně vynaložených nákladů a to i způsobem uvedeným v odst. 6.6, případně náhradu škody dle platných právních předpisů.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Dojde-li dohodou smluvních stran ke zrušení Smlouvy, má smluvní strana, která již vynaložila náklady na splnění svého závazku, nárok na jejich úhradu nebo vrácení.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Každá smluvní strana odpovídá za škodu způsobenou druhé smluvní straně porušením povinnosti vyplývající z této Smlouvy.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Povinnosti k náhradě se škůdce zprostí, prokáže-li, že mu ve splnění povinnosti ze Smlouvy dočasně nebo trvale zabránila mimořádná překážka vzniklá nezávisle na jeho vůli, jako například válka, teroristické akce, blokáda, sabotáž, požár velkého rozsahu, živelná pohroma, rozhodnutí státních orgánů s dopadem na plnění dle této Smlouvy či stavy nouze dle Zákona. Překážka vzniklá ze škůdcových osobních poměrů nebo vzniklá v době, kdy byl škůdce s plněním smluvené povinnosti v prodlení, ho však povinnosti k náhradě nezprostí.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Strana dotčená výše uvedenou překážkou je povinna o těchto okolnostech druhou stranu neprodleně písemně informovat. Na požádání předloží smluvní strana druhé smluvní straně důvěryhodný důkaz o takové skutečnosti.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Pokud se smluvní strany nedohodnou jinak, pokračují po vzniku výše uvedené překážky v plnění svých závazků podle Smlouvy, dokud je to rozumné a v dané době technicky možné.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Žadatel na sebe bere nebezpečí změny okolností ve smyslu § 1765 zákona č. 89/2012 Sb., občanského zákoníku.</w:t>
      </w:r>
    </w:p>
    <w:p w:rsidR="00F37B00" w:rsidRDefault="00F37B00">
      <w:pPr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F37B00" w:rsidRDefault="009C67A1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  <w:t>Závěrečná ustanovení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Tato smlouva nabývá platnosti a účinnosti dnem jejího podpisu oběma smluvními stranami a je uzavřena do doby jejího splnění. Pro případ, že tato Smlouva není uzavírána za přítomnosti obou smluvních stran, platí, že Smlouva není </w:t>
      </w:r>
      <w:r>
        <w:rPr>
          <w:rFonts w:ascii="Arial" w:hAnsi="Arial" w:cs="Arial"/>
          <w:sz w:val="20"/>
          <w:szCs w:val="20"/>
        </w:rPr>
        <w:lastRenderedPageBreak/>
        <w:t>uzavřena, pokud ji Žadatel či PREdi podepíší s jakoukoliv změnou či odchylkou, byť nepodstatnou, nebo dodatkem, ledaže druhá smluvní strana takovou změnu či odchylku nebo dodatek následně písemně schválí.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Pokud tato Smlouva podléhá registraci dle zákona č. 340/2015 Sb., pak nabývá platnosti okamžikem jejího podpisu poslední Smluvní stranou a účinnosti dnem jejího uveřejnění v registru smluv.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Vztahuje-li se na druhou smluvní stranu ochrana osobních údajů dle zvláštních právních předpisů, pak pro účely plnění této smlouvy je společnost PREdistribuce, a.s., správcem osobních údajů druhé smluvní strany a osobní údaje takto získané zpracovává za účelem uzavření a plnění této smlouvy a pro účely oprávněných zájmů správce. Poskytnutí kontaktních osobních údajů druhé smluvní strany je pro uzavření této smlouvy nezbytné a tyto osobní údaje budou zpracovávány za účelem plnění zákonných povinností distributora elektřiny daných především zákonem č. 458/2000 Sb., energetický zákon, ve znění pozdějších předpisů a vyhláškou č. 16/2016 Sb., o podmínkách 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7B00" w:rsidRPr="0034434E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34E" w:rsidRPr="0034434E" w:rsidRDefault="0034434E" w:rsidP="0034434E">
      <w:pPr>
        <w:spacing w:after="0"/>
        <w:rPr>
          <w:vanish/>
        </w:rPr>
      </w:pPr>
    </w:p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37B00" w:rsidRPr="0034434E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připojení k elektrizační soustavě, ve znění pozdějších předpisů. Veškeré podrobnosti o zpracování osobních údajů, včetně specifik zpracování osobních údajů členů statutárních orgánů, zaměstnanců příp. dalších osob zastupujících druhou smluvní stranu a práv, které subjekty údajů v souvislosti se zpracováním svých osobních údajů mají, jsou uvedeny v dokumentech: „Zásady ochrany osobních údajů“ a „Zpracování osobních údajů kontaktních osob obchodního partnera“, se kterými byla druhá smluvní strana před podpisem této smlouvy seznámena a které jsou dostupné na webových stránkách správce.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Pro účely této Smlouvy jsou používány odborné pojmy a terminologie v souladu se Zákonem a jeho prováděcími a souvisejícími předpisy.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Tuto Smlouvu lze měnit pouze písemnými dodatky, číslovanými vzestupně a podepsanými oběma smluvními stranami.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Tato Smlouva je vyhotovena ve dvou (2) stejnopisech, z nichž každý má platnost originálu. Žadatel obdrží jeden (1) stejnopis, PREdi obdrží jeden (1) stejnopis.</w:t>
      </w:r>
    </w:p>
    <w:p w:rsidR="00F37B00" w:rsidRDefault="009C67A1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Smluvní strany potvrzují, že si Smlouvu před podpisem přečetly, její ustanovení jsou jim jasná a vyjadřují jejich svobodnou vůli.</w:t>
      </w:r>
    </w:p>
    <w:p w:rsidR="00F37B00" w:rsidRDefault="009C67A1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Nedílnou součástí této Smlouvy jsou její přílohy specifikující obsah Smlouvy:</w:t>
      </w:r>
    </w:p>
    <w:p w:rsidR="00F37B00" w:rsidRDefault="009C67A1">
      <w:pPr>
        <w:keepNext/>
        <w:widowControl w:val="0"/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č. 1: Schéma způsobu připojení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66"/>
        <w:gridCol w:w="5103"/>
      </w:tblGrid>
      <w:tr w:rsidR="00F37B00" w:rsidRPr="0034434E">
        <w:trPr>
          <w:trHeight w:val="22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 xml:space="preserve">V Praze dne </w:t>
            </w:r>
            <w:r w:rsidR="008B2789" w:rsidRPr="0034434E">
              <w:rPr>
                <w:rFonts w:ascii="Arial" w:hAnsi="Arial" w:cs="Arial"/>
                <w:sz w:val="20"/>
                <w:szCs w:val="20"/>
              </w:rPr>
              <w:t>31.3.2022</w:t>
            </w:r>
          </w:p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PREdi</w:t>
            </w:r>
          </w:p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Ing. Josef Krejčí</w:t>
            </w:r>
          </w:p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vedoucí oddělení Projektová příprava</w:t>
            </w:r>
          </w:p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V Praze dne</w:t>
            </w:r>
            <w:r w:rsidR="0034434E" w:rsidRPr="0034434E">
              <w:rPr>
                <w:rFonts w:ascii="Arial" w:hAnsi="Arial" w:cs="Arial"/>
                <w:sz w:val="20"/>
                <w:szCs w:val="20"/>
              </w:rPr>
              <w:t xml:space="preserve"> 18.</w:t>
            </w:r>
            <w:bookmarkStart w:id="0" w:name="_GoBack"/>
            <w:bookmarkEnd w:id="0"/>
            <w:r w:rsidR="0034434E" w:rsidRPr="0034434E">
              <w:rPr>
                <w:rFonts w:ascii="Arial" w:hAnsi="Arial" w:cs="Arial"/>
                <w:sz w:val="20"/>
                <w:szCs w:val="20"/>
              </w:rPr>
              <w:t>3.2022</w:t>
            </w:r>
          </w:p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Žadatel</w:t>
            </w:r>
          </w:p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Mgr. Petr Karvánek</w:t>
            </w:r>
          </w:p>
          <w:p w:rsidR="00F37B00" w:rsidRPr="0034434E" w:rsidRDefault="009C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434E">
              <w:rPr>
                <w:rFonts w:ascii="Arial" w:hAnsi="Arial" w:cs="Arial"/>
                <w:sz w:val="20"/>
                <w:szCs w:val="20"/>
              </w:rPr>
              <w:t>ředitel</w:t>
            </w:r>
          </w:p>
          <w:p w:rsidR="00F37B00" w:rsidRPr="0034434E" w:rsidRDefault="00F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B00" w:rsidRDefault="00F37B00"/>
    <w:sectPr w:rsidR="00F37B00">
      <w:pgSz w:w="11905" w:h="16837"/>
      <w:pgMar w:top="566" w:right="566" w:bottom="1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283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7A1"/>
    <w:rsid w:val="0034434E"/>
    <w:rsid w:val="00413CEE"/>
    <w:rsid w:val="008B2789"/>
    <w:rsid w:val="009B4EB9"/>
    <w:rsid w:val="009C67A1"/>
    <w:rsid w:val="00F3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B9804A"/>
  <w14:defaultImageDpi w14:val="0"/>
  <w15:docId w15:val="{11FEFDCE-6A3B-4DC7-A225-F48C6947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2732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Milena</dc:creator>
  <cp:keywords/>
  <dc:description/>
  <cp:lastModifiedBy>Benešová Milena</cp:lastModifiedBy>
  <cp:revision>5</cp:revision>
  <dcterms:created xsi:type="dcterms:W3CDTF">2022-05-16T10:44:00Z</dcterms:created>
  <dcterms:modified xsi:type="dcterms:W3CDTF">2022-05-16T11:07:00Z</dcterms:modified>
</cp:coreProperties>
</file>