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ÚJV Řež a.s.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Hlavní 130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250 68 Husinec-Řež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CZ46356088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46356088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1137201/0100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24. 4. 2017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16E1035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86200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ze dne  28.3.2017: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analýzu vzorků z návaru TNR včetně vyhotovení závěrečného protokolu - 16 ks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235 500,00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235 500,00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235 500,00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Ladislav ZEROLA, telefon: 266172458,email: Ladislav.Zerola@cvrez.cz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17NO00760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