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117" w:rsidRPr="00877F82" w:rsidRDefault="001D6117" w:rsidP="006F4B2F">
      <w:pPr>
        <w:pStyle w:val="Zkladntext"/>
        <w:ind w:left="4254" w:firstLine="709"/>
        <w:rPr>
          <w:rFonts w:ascii="Arial" w:hAnsi="Arial" w:cs="Arial"/>
          <w:sz w:val="20"/>
        </w:rPr>
      </w:pPr>
      <w:r w:rsidRPr="00877F82">
        <w:rPr>
          <w:rFonts w:ascii="Arial" w:hAnsi="Arial" w:cs="Arial"/>
          <w:sz w:val="20"/>
        </w:rPr>
        <w:t xml:space="preserve">Číslo smlouvy objednatele: </w:t>
      </w:r>
      <w:r w:rsidR="006F4B2F">
        <w:rPr>
          <w:rFonts w:ascii="Arial" w:hAnsi="Arial" w:cs="Arial"/>
          <w:sz w:val="20"/>
        </w:rPr>
        <w:t>D/1225/2022/KŘ</w:t>
      </w:r>
    </w:p>
    <w:p w:rsidR="001D6117" w:rsidRDefault="001D6117" w:rsidP="006F4B2F">
      <w:pPr>
        <w:pStyle w:val="Zkladntext"/>
        <w:ind w:left="4254" w:firstLine="709"/>
        <w:rPr>
          <w:rFonts w:ascii="Arial" w:hAnsi="Arial" w:cs="Arial"/>
          <w:sz w:val="20"/>
          <w:szCs w:val="22"/>
        </w:rPr>
      </w:pPr>
      <w:r w:rsidRPr="00877F82">
        <w:rPr>
          <w:rFonts w:ascii="Arial" w:hAnsi="Arial" w:cs="Arial"/>
          <w:sz w:val="20"/>
          <w:szCs w:val="22"/>
        </w:rPr>
        <w:t xml:space="preserve">Číslo smlouvy </w:t>
      </w:r>
      <w:r w:rsidR="00044D88" w:rsidRPr="00877F82">
        <w:rPr>
          <w:rFonts w:ascii="Arial" w:hAnsi="Arial" w:cs="Arial"/>
          <w:sz w:val="20"/>
          <w:szCs w:val="22"/>
        </w:rPr>
        <w:t>poskytovatele</w:t>
      </w:r>
      <w:r w:rsidRPr="00877F82">
        <w:rPr>
          <w:rFonts w:ascii="Arial" w:hAnsi="Arial" w:cs="Arial"/>
          <w:sz w:val="20"/>
          <w:szCs w:val="22"/>
        </w:rPr>
        <w:t>:</w:t>
      </w:r>
    </w:p>
    <w:p w:rsidR="00877F82" w:rsidRPr="00877F82" w:rsidRDefault="00877F82" w:rsidP="007F5BCC">
      <w:pPr>
        <w:pStyle w:val="Zkladntext"/>
        <w:ind w:left="4963" w:firstLine="709"/>
        <w:rPr>
          <w:rFonts w:ascii="Arial" w:hAnsi="Arial" w:cs="Arial"/>
          <w:sz w:val="20"/>
          <w:szCs w:val="22"/>
        </w:rPr>
      </w:pP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877F82" w:rsidRPr="00877F82" w:rsidTr="009D431A">
        <w:trPr>
          <w:cantSplit/>
          <w:trHeight w:val="1988"/>
        </w:trPr>
        <w:tc>
          <w:tcPr>
            <w:tcW w:w="9923" w:type="dxa"/>
            <w:tcBorders>
              <w:top w:val="single" w:sz="4" w:space="0" w:color="auto"/>
              <w:left w:val="single" w:sz="4" w:space="0" w:color="auto"/>
              <w:bottom w:val="single" w:sz="4" w:space="0" w:color="auto"/>
              <w:right w:val="single" w:sz="4" w:space="0" w:color="auto"/>
            </w:tcBorders>
          </w:tcPr>
          <w:p w:rsidR="001D6117" w:rsidRPr="00877F82" w:rsidRDefault="001D6117" w:rsidP="009D431A">
            <w:pPr>
              <w:pStyle w:val="Nadpis2"/>
              <w:jc w:val="center"/>
              <w:rPr>
                <w:rFonts w:ascii="Arial" w:hAnsi="Arial" w:cs="Arial"/>
                <w:b/>
                <w:bCs/>
                <w:sz w:val="22"/>
                <w:szCs w:val="22"/>
              </w:rPr>
            </w:pPr>
          </w:p>
          <w:p w:rsidR="001D6117" w:rsidRPr="00877F82" w:rsidRDefault="001D6117" w:rsidP="009D431A">
            <w:pPr>
              <w:jc w:val="center"/>
              <w:rPr>
                <w:rFonts w:ascii="Arial" w:hAnsi="Arial" w:cs="Arial"/>
                <w:b/>
                <w:bCs/>
              </w:rPr>
            </w:pPr>
            <w:r w:rsidRPr="00877F82">
              <w:rPr>
                <w:rFonts w:ascii="Arial" w:eastAsia="Times New Roman" w:hAnsi="Arial" w:cs="Arial"/>
                <w:b/>
                <w:bCs/>
                <w:sz w:val="44"/>
                <w:szCs w:val="20"/>
                <w:lang w:eastAsia="cs-CZ"/>
              </w:rPr>
              <w:t>RÁMCOVÁ SMLOUVA O POSKYTOVÁNÍ SLUŽEB</w:t>
            </w:r>
          </w:p>
          <w:p w:rsidR="001D6117" w:rsidRPr="00877F82" w:rsidRDefault="001D6117" w:rsidP="001D6117">
            <w:pPr>
              <w:jc w:val="center"/>
              <w:rPr>
                <w:rFonts w:ascii="Arial" w:hAnsi="Arial" w:cs="Arial"/>
                <w:b/>
                <w:bCs/>
                <w:sz w:val="20"/>
              </w:rPr>
            </w:pPr>
            <w:r w:rsidRPr="00877F82">
              <w:rPr>
                <w:rFonts w:ascii="Arial" w:hAnsi="Arial" w:cs="Arial"/>
                <w:b/>
                <w:bCs/>
              </w:rPr>
              <w:t xml:space="preserve"> </w:t>
            </w:r>
            <w:r w:rsidRPr="00877F82">
              <w:rPr>
                <w:rFonts w:ascii="Arial" w:hAnsi="Arial" w:cs="Arial"/>
              </w:rPr>
              <w:t>uzavřená dle § 2586 a n. zákona č. 89/2012 Sb., občanský zákoník, ve znění pozdějších předpisů</w:t>
            </w:r>
          </w:p>
        </w:tc>
      </w:tr>
    </w:tbl>
    <w:p w:rsidR="001D6117" w:rsidRDefault="001D6117" w:rsidP="001D6117">
      <w:pPr>
        <w:pStyle w:val="Nadpis4"/>
        <w:spacing w:line="276" w:lineRule="auto"/>
        <w:jc w:val="center"/>
        <w:rPr>
          <w:rFonts w:ascii="Arial" w:hAnsi="Arial" w:cs="Arial"/>
          <w:sz w:val="28"/>
        </w:rPr>
      </w:pPr>
    </w:p>
    <w:p w:rsidR="00877F82" w:rsidRDefault="00877F82" w:rsidP="00877F82">
      <w:pPr>
        <w:rPr>
          <w:lang w:eastAsia="cs-CZ"/>
        </w:rPr>
      </w:pPr>
    </w:p>
    <w:p w:rsidR="00877F82" w:rsidRPr="00877F82" w:rsidRDefault="00877F82" w:rsidP="00877F82">
      <w:pPr>
        <w:rPr>
          <w:lang w:eastAsia="cs-CZ"/>
        </w:rPr>
      </w:pPr>
    </w:p>
    <w:p w:rsidR="001D6117" w:rsidRPr="00877F82" w:rsidRDefault="001D6117" w:rsidP="001D611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SMLUVNÍ STRANY</w:t>
      </w:r>
    </w:p>
    <w:p w:rsidR="001D6117" w:rsidRPr="00877F82" w:rsidRDefault="001D6117" w:rsidP="001D6117">
      <w:pPr>
        <w:jc w:val="center"/>
        <w:rPr>
          <w:rFonts w:ascii="Arial" w:hAnsi="Arial" w:cs="Arial"/>
          <w:lang w:eastAsia="cs-CZ"/>
        </w:rPr>
      </w:pPr>
    </w:p>
    <w:tbl>
      <w:tblPr>
        <w:tblW w:w="9923" w:type="dxa"/>
        <w:tblInd w:w="-142" w:type="dxa"/>
        <w:tblLook w:val="04A0" w:firstRow="1" w:lastRow="0" w:firstColumn="1" w:lastColumn="0" w:noHBand="0" w:noVBand="1"/>
      </w:tblPr>
      <w:tblGrid>
        <w:gridCol w:w="3958"/>
        <w:gridCol w:w="441"/>
        <w:gridCol w:w="5524"/>
      </w:tblGrid>
      <w:tr w:rsidR="00877F82" w:rsidRPr="00877F82" w:rsidTr="009D431A">
        <w:trPr>
          <w:trHeight w:val="380"/>
        </w:trPr>
        <w:tc>
          <w:tcPr>
            <w:tcW w:w="3958" w:type="dxa"/>
            <w:shd w:val="clear" w:color="auto" w:fill="auto"/>
          </w:tcPr>
          <w:p w:rsidR="001D6117" w:rsidRPr="00877F82" w:rsidRDefault="001D6117" w:rsidP="009D431A">
            <w:pPr>
              <w:spacing w:after="0" w:line="276" w:lineRule="auto"/>
              <w:rPr>
                <w:rFonts w:ascii="Arial" w:hAnsi="Arial" w:cs="Arial"/>
                <w:b/>
              </w:rPr>
            </w:pPr>
            <w:r w:rsidRPr="00877F82">
              <w:rPr>
                <w:rFonts w:ascii="Arial" w:hAnsi="Arial" w:cs="Arial"/>
                <w:b/>
              </w:rPr>
              <w:t>Objednatel</w:t>
            </w:r>
          </w:p>
        </w:tc>
        <w:tc>
          <w:tcPr>
            <w:tcW w:w="441" w:type="dxa"/>
            <w:shd w:val="clear" w:color="auto" w:fill="auto"/>
          </w:tcPr>
          <w:p w:rsidR="001D6117" w:rsidRPr="00877F82" w:rsidRDefault="001D6117" w:rsidP="009D431A">
            <w:pPr>
              <w:spacing w:after="0" w:line="276" w:lineRule="auto"/>
              <w:rPr>
                <w:rFonts w:ascii="Arial" w:hAnsi="Arial" w:cs="Arial"/>
              </w:rPr>
            </w:pPr>
          </w:p>
        </w:tc>
        <w:tc>
          <w:tcPr>
            <w:tcW w:w="5524" w:type="dxa"/>
            <w:shd w:val="clear" w:color="auto" w:fill="auto"/>
          </w:tcPr>
          <w:p w:rsidR="001D6117" w:rsidRPr="00877F82" w:rsidRDefault="001D6117" w:rsidP="009D431A">
            <w:pPr>
              <w:spacing w:after="0" w:line="276" w:lineRule="auto"/>
              <w:rPr>
                <w:rFonts w:ascii="Arial" w:hAnsi="Arial" w:cs="Arial"/>
                <w:b/>
              </w:rPr>
            </w:pPr>
            <w:r w:rsidRPr="00877F82">
              <w:rPr>
                <w:rFonts w:ascii="Arial" w:hAnsi="Arial" w:cs="Arial"/>
                <w:b/>
              </w:rPr>
              <w:t>Zlínský kraj</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Sídlo</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Zlín, tř. T. Bati 21, 761 90</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Osoby oprávněné jednat </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ve věcech smluvních</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Ing. Petr </w:t>
            </w:r>
            <w:proofErr w:type="spellStart"/>
            <w:r w:rsidRPr="00877F82">
              <w:rPr>
                <w:rFonts w:ascii="Arial" w:hAnsi="Arial" w:cs="Arial"/>
                <w:sz w:val="20"/>
                <w:szCs w:val="20"/>
              </w:rPr>
              <w:t>Kedra</w:t>
            </w:r>
            <w:proofErr w:type="spellEnd"/>
            <w:r w:rsidRPr="00877F82">
              <w:rPr>
                <w:rFonts w:ascii="Arial" w:hAnsi="Arial" w:cs="Arial"/>
                <w:sz w:val="20"/>
                <w:szCs w:val="20"/>
              </w:rPr>
              <w:t xml:space="preserve"> – vedoucí Odboru </w:t>
            </w:r>
            <w:r w:rsidR="009F0ED0" w:rsidRPr="00877F82">
              <w:rPr>
                <w:rFonts w:ascii="Arial" w:hAnsi="Arial" w:cs="Arial"/>
                <w:sz w:val="20"/>
                <w:szCs w:val="20"/>
              </w:rPr>
              <w:t>K</w:t>
            </w:r>
            <w:r w:rsidRPr="00877F82">
              <w:rPr>
                <w:rFonts w:ascii="Arial" w:hAnsi="Arial" w:cs="Arial"/>
                <w:sz w:val="20"/>
                <w:szCs w:val="20"/>
              </w:rPr>
              <w:t>ancelář ředitele</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ve věcech technických</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Ing. Jiří Lučan  – vedoucí Oddělení správy budov </w:t>
            </w:r>
          </w:p>
          <w:p w:rsidR="007D6BCD"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Bc. Jitka Chobotová - Koordinace přípravy a realizace </w:t>
            </w:r>
          </w:p>
          <w:p w:rsidR="001D6117" w:rsidRPr="00877F82" w:rsidRDefault="007D6BCD" w:rsidP="009D431A">
            <w:pPr>
              <w:spacing w:after="0" w:line="276" w:lineRule="auto"/>
              <w:rPr>
                <w:rFonts w:ascii="Arial" w:hAnsi="Arial" w:cs="Arial"/>
                <w:sz w:val="20"/>
                <w:szCs w:val="20"/>
              </w:rPr>
            </w:pPr>
            <w:r w:rsidRPr="00877F82">
              <w:rPr>
                <w:rFonts w:ascii="Arial" w:hAnsi="Arial" w:cs="Arial"/>
                <w:sz w:val="20"/>
                <w:szCs w:val="20"/>
              </w:rPr>
              <w:t>I</w:t>
            </w:r>
            <w:r w:rsidR="001D6117" w:rsidRPr="00877F82">
              <w:rPr>
                <w:rFonts w:ascii="Arial" w:hAnsi="Arial" w:cs="Arial"/>
                <w:sz w:val="20"/>
                <w:szCs w:val="20"/>
              </w:rPr>
              <w:t>nvestic</w:t>
            </w:r>
          </w:p>
          <w:p w:rsidR="007D6BCD" w:rsidRPr="00877F82" w:rsidRDefault="007D6BCD" w:rsidP="009D431A">
            <w:pPr>
              <w:spacing w:after="0" w:line="276" w:lineRule="auto"/>
              <w:rPr>
                <w:rFonts w:ascii="Arial" w:hAnsi="Arial" w:cs="Arial"/>
                <w:sz w:val="20"/>
                <w:szCs w:val="20"/>
              </w:rPr>
            </w:pPr>
            <w:r w:rsidRPr="00877F82">
              <w:rPr>
                <w:rFonts w:ascii="Arial" w:hAnsi="Arial" w:cs="Arial"/>
                <w:sz w:val="20"/>
                <w:szCs w:val="20"/>
              </w:rPr>
              <w:t>František Mikulička - správce 21. budovy</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IČO</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70891320</w:t>
            </w: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DIČ</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CZ70891320</w:t>
            </w: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Bankovní ústav</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577DB8" w:rsidP="00577DB8">
            <w:pPr>
              <w:spacing w:after="0" w:line="276" w:lineRule="auto"/>
              <w:rPr>
                <w:rFonts w:ascii="Arial" w:hAnsi="Arial" w:cs="Arial"/>
                <w:sz w:val="20"/>
                <w:szCs w:val="20"/>
              </w:rPr>
            </w:pPr>
            <w:r>
              <w:rPr>
                <w:rFonts w:ascii="Arial" w:hAnsi="Arial" w:cs="Arial"/>
                <w:sz w:val="20"/>
                <w:szCs w:val="20"/>
              </w:rPr>
              <w:t>Česká spořitelna, a.s.</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Číslo účtu</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577DB8" w:rsidP="009D431A">
            <w:pPr>
              <w:spacing w:after="0" w:line="276" w:lineRule="auto"/>
              <w:rPr>
                <w:rFonts w:ascii="Arial" w:hAnsi="Arial" w:cs="Arial"/>
                <w:sz w:val="20"/>
                <w:szCs w:val="20"/>
              </w:rPr>
            </w:pPr>
            <w:r w:rsidRPr="00577DB8">
              <w:rPr>
                <w:rFonts w:ascii="Arial" w:hAnsi="Arial" w:cs="Arial"/>
                <w:sz w:val="20"/>
                <w:szCs w:val="20"/>
              </w:rPr>
              <w:t>2786182/0800</w:t>
            </w: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Telefon</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E-mail</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rPr>
          <w:trHeight w:val="80"/>
        </w:trPr>
        <w:tc>
          <w:tcPr>
            <w:tcW w:w="3958" w:type="dxa"/>
            <w:shd w:val="clear" w:color="auto" w:fill="auto"/>
          </w:tcPr>
          <w:p w:rsidR="001D6117" w:rsidRPr="00877F82" w:rsidRDefault="001D6117" w:rsidP="009D431A">
            <w:pPr>
              <w:spacing w:after="0" w:line="240" w:lineRule="auto"/>
              <w:rPr>
                <w:rFonts w:ascii="Arial" w:hAnsi="Arial" w:cs="Arial"/>
                <w:sz w:val="20"/>
                <w:szCs w:val="20"/>
              </w:rPr>
            </w:pPr>
            <w:r w:rsidRPr="00877F82">
              <w:rPr>
                <w:rFonts w:ascii="Arial" w:hAnsi="Arial" w:cs="Arial"/>
                <w:sz w:val="20"/>
                <w:szCs w:val="20"/>
              </w:rPr>
              <w:t>ID DS</w:t>
            </w:r>
          </w:p>
        </w:tc>
        <w:tc>
          <w:tcPr>
            <w:tcW w:w="441" w:type="dxa"/>
            <w:shd w:val="clear" w:color="auto" w:fill="auto"/>
          </w:tcPr>
          <w:p w:rsidR="001D6117" w:rsidRPr="00877F82" w:rsidRDefault="001D6117" w:rsidP="009D431A">
            <w:pPr>
              <w:spacing w:after="0" w:line="240"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pStyle w:val="Zkladntext"/>
              <w:jc w:val="both"/>
              <w:rPr>
                <w:rFonts w:ascii="Arial" w:hAnsi="Arial" w:cs="Arial"/>
                <w:sz w:val="20"/>
              </w:rPr>
            </w:pPr>
            <w:proofErr w:type="spellStart"/>
            <w:r w:rsidRPr="00877F82">
              <w:rPr>
                <w:rFonts w:ascii="Arial" w:hAnsi="Arial" w:cs="Arial"/>
                <w:sz w:val="20"/>
              </w:rPr>
              <w:t>scsbwku</w:t>
            </w:r>
            <w:proofErr w:type="spellEnd"/>
          </w:p>
        </w:tc>
      </w:tr>
    </w:tbl>
    <w:p w:rsidR="001D6117" w:rsidRPr="00877F82" w:rsidRDefault="001D6117" w:rsidP="001D6117">
      <w:pPr>
        <w:rPr>
          <w:rFonts w:ascii="Arial" w:hAnsi="Arial" w:cs="Arial"/>
        </w:rPr>
      </w:pPr>
    </w:p>
    <w:tbl>
      <w:tblPr>
        <w:tblW w:w="9923" w:type="dxa"/>
        <w:tblInd w:w="-142" w:type="dxa"/>
        <w:tblLook w:val="04A0" w:firstRow="1" w:lastRow="0" w:firstColumn="1" w:lastColumn="0" w:noHBand="0" w:noVBand="1"/>
      </w:tblPr>
      <w:tblGrid>
        <w:gridCol w:w="3760"/>
        <w:gridCol w:w="416"/>
        <w:gridCol w:w="5747"/>
      </w:tblGrid>
      <w:tr w:rsidR="00877F82" w:rsidRPr="00877F82" w:rsidTr="009D431A">
        <w:tc>
          <w:tcPr>
            <w:tcW w:w="3760" w:type="dxa"/>
            <w:shd w:val="clear" w:color="auto" w:fill="auto"/>
          </w:tcPr>
          <w:p w:rsidR="001D6117" w:rsidRPr="00877F82" w:rsidRDefault="007D6BCD" w:rsidP="009D431A">
            <w:pPr>
              <w:spacing w:after="0" w:line="276" w:lineRule="auto"/>
              <w:rPr>
                <w:rFonts w:ascii="Arial" w:hAnsi="Arial" w:cs="Arial"/>
                <w:b/>
              </w:rPr>
            </w:pPr>
            <w:r w:rsidRPr="00877F82">
              <w:rPr>
                <w:rFonts w:ascii="Arial" w:hAnsi="Arial" w:cs="Arial"/>
                <w:b/>
              </w:rPr>
              <w:t>Poskytovatel</w:t>
            </w:r>
          </w:p>
        </w:tc>
        <w:tc>
          <w:tcPr>
            <w:tcW w:w="416" w:type="dxa"/>
            <w:shd w:val="clear" w:color="auto" w:fill="auto"/>
          </w:tcPr>
          <w:p w:rsidR="001D6117" w:rsidRPr="00877F82" w:rsidRDefault="001D6117" w:rsidP="009D431A">
            <w:pPr>
              <w:spacing w:after="0" w:line="276" w:lineRule="auto"/>
              <w:rPr>
                <w:rFonts w:ascii="Arial" w:hAnsi="Arial" w:cs="Arial"/>
              </w:rPr>
            </w:pPr>
            <w:r w:rsidRPr="00877F82">
              <w:rPr>
                <w:rFonts w:ascii="Arial" w:hAnsi="Arial" w:cs="Arial"/>
              </w:rPr>
              <w:t>:</w:t>
            </w:r>
          </w:p>
        </w:tc>
        <w:tc>
          <w:tcPr>
            <w:tcW w:w="5747" w:type="dxa"/>
            <w:shd w:val="clear" w:color="auto" w:fill="auto"/>
          </w:tcPr>
          <w:p w:rsidR="001D6117" w:rsidRPr="00877F82" w:rsidRDefault="004B2C82" w:rsidP="009D431A">
            <w:pPr>
              <w:spacing w:after="0" w:line="276" w:lineRule="auto"/>
              <w:rPr>
                <w:rFonts w:ascii="Arial" w:hAnsi="Arial" w:cs="Arial"/>
                <w:b/>
              </w:rPr>
            </w:pPr>
            <w:r w:rsidRPr="00877F82">
              <w:rPr>
                <w:rFonts w:ascii="Arial" w:hAnsi="Arial" w:cs="Arial"/>
                <w:b/>
              </w:rPr>
              <w:t>Ing. Petr Všetečka</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Sídlo</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722F89" w:rsidP="009D431A">
            <w:pPr>
              <w:spacing w:after="0" w:line="276" w:lineRule="auto"/>
              <w:rPr>
                <w:rFonts w:ascii="Arial" w:hAnsi="Arial" w:cs="Arial"/>
                <w:sz w:val="20"/>
                <w:szCs w:val="20"/>
              </w:rPr>
            </w:pPr>
            <w:r>
              <w:rPr>
                <w:rFonts w:ascii="Arial" w:hAnsi="Arial" w:cs="Arial"/>
                <w:sz w:val="20"/>
                <w:szCs w:val="20"/>
              </w:rPr>
              <w:t>Vackova</w:t>
            </w:r>
            <w:r w:rsidR="00870622">
              <w:rPr>
                <w:rFonts w:ascii="Arial" w:hAnsi="Arial" w:cs="Arial"/>
                <w:sz w:val="20"/>
                <w:szCs w:val="20"/>
              </w:rPr>
              <w:t xml:space="preserve"> 837/13,</w:t>
            </w:r>
            <w:r w:rsidR="00801AF4">
              <w:rPr>
                <w:rFonts w:ascii="Arial" w:hAnsi="Arial" w:cs="Arial"/>
                <w:sz w:val="20"/>
                <w:szCs w:val="20"/>
              </w:rPr>
              <w:t xml:space="preserve"> Královo Pole,</w:t>
            </w:r>
            <w:r>
              <w:rPr>
                <w:rFonts w:ascii="Arial" w:hAnsi="Arial" w:cs="Arial"/>
                <w:sz w:val="20"/>
                <w:szCs w:val="20"/>
              </w:rPr>
              <w:t xml:space="preserve"> 612 </w:t>
            </w:r>
            <w:r w:rsidR="00CD7A69">
              <w:rPr>
                <w:rFonts w:ascii="Arial" w:hAnsi="Arial" w:cs="Arial"/>
                <w:sz w:val="20"/>
                <w:szCs w:val="20"/>
              </w:rPr>
              <w:t>00</w:t>
            </w:r>
            <w:r>
              <w:rPr>
                <w:rFonts w:ascii="Arial" w:hAnsi="Arial" w:cs="Arial"/>
                <w:sz w:val="20"/>
                <w:szCs w:val="20"/>
              </w:rPr>
              <w:t xml:space="preserve"> Brno 12</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IČO</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4B2C82" w:rsidP="009D431A">
            <w:pPr>
              <w:spacing w:after="0" w:line="276" w:lineRule="auto"/>
              <w:rPr>
                <w:rFonts w:ascii="Arial" w:hAnsi="Arial" w:cs="Arial"/>
                <w:sz w:val="20"/>
                <w:szCs w:val="20"/>
              </w:rPr>
            </w:pPr>
            <w:r w:rsidRPr="00877F82">
              <w:rPr>
                <w:rFonts w:ascii="Arial" w:hAnsi="Arial" w:cs="Arial"/>
                <w:sz w:val="20"/>
                <w:szCs w:val="20"/>
              </w:rPr>
              <w:t>49933027</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DIČ</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Bankovní ústav</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1C5067" w:rsidP="009D431A">
            <w:pPr>
              <w:spacing w:after="0" w:line="276" w:lineRule="auto"/>
              <w:rPr>
                <w:rFonts w:ascii="Arial" w:hAnsi="Arial" w:cs="Arial"/>
                <w:sz w:val="20"/>
                <w:szCs w:val="20"/>
              </w:rPr>
            </w:pPr>
            <w:r>
              <w:rPr>
                <w:rFonts w:ascii="Arial" w:hAnsi="Arial" w:cs="Arial"/>
                <w:sz w:val="20"/>
                <w:szCs w:val="20"/>
              </w:rPr>
              <w:t>XXXX</w:t>
            </w:r>
            <w:bookmarkStart w:id="0" w:name="_GoBack"/>
            <w:bookmarkEnd w:id="0"/>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Číslo účtu</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19127B"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Telefon</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19127B"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E-mail</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ID DS</w:t>
            </w:r>
          </w:p>
        </w:tc>
        <w:tc>
          <w:tcPr>
            <w:tcW w:w="416" w:type="dxa"/>
            <w:shd w:val="clear" w:color="auto" w:fill="auto"/>
          </w:tcPr>
          <w:p w:rsidR="00455480"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p w:rsidR="001D6117" w:rsidRPr="00877F82" w:rsidRDefault="001D6117" w:rsidP="009D431A">
            <w:pPr>
              <w:spacing w:after="0" w:line="276" w:lineRule="auto"/>
              <w:rPr>
                <w:rFonts w:ascii="Arial" w:hAnsi="Arial" w:cs="Arial"/>
                <w:sz w:val="20"/>
                <w:szCs w:val="20"/>
              </w:rPr>
            </w:pPr>
          </w:p>
          <w:p w:rsidR="001D6117" w:rsidRPr="00877F82" w:rsidRDefault="001D6117" w:rsidP="009D431A">
            <w:pPr>
              <w:spacing w:after="0" w:line="276" w:lineRule="auto"/>
              <w:rPr>
                <w:rFonts w:ascii="Arial" w:hAnsi="Arial" w:cs="Arial"/>
                <w:sz w:val="20"/>
                <w:szCs w:val="20"/>
              </w:rPr>
            </w:pPr>
          </w:p>
          <w:p w:rsidR="00F746DC" w:rsidRDefault="00F746DC" w:rsidP="009D431A">
            <w:pPr>
              <w:spacing w:after="0" w:line="276" w:lineRule="auto"/>
              <w:rPr>
                <w:rFonts w:ascii="Arial" w:hAnsi="Arial" w:cs="Arial"/>
                <w:sz w:val="20"/>
                <w:szCs w:val="20"/>
              </w:rPr>
            </w:pPr>
          </w:p>
          <w:p w:rsidR="00877F82" w:rsidRDefault="00877F82" w:rsidP="009D431A">
            <w:pPr>
              <w:spacing w:after="0" w:line="276" w:lineRule="auto"/>
              <w:rPr>
                <w:rFonts w:ascii="Arial" w:hAnsi="Arial" w:cs="Arial"/>
                <w:sz w:val="20"/>
                <w:szCs w:val="20"/>
              </w:rPr>
            </w:pPr>
          </w:p>
          <w:p w:rsidR="00877F82" w:rsidRDefault="00877F82" w:rsidP="009D431A">
            <w:pPr>
              <w:spacing w:after="0" w:line="276" w:lineRule="auto"/>
              <w:rPr>
                <w:rFonts w:ascii="Arial" w:hAnsi="Arial" w:cs="Arial"/>
                <w:sz w:val="20"/>
                <w:szCs w:val="20"/>
              </w:rPr>
            </w:pPr>
          </w:p>
          <w:p w:rsidR="00877F82" w:rsidRDefault="00877F82" w:rsidP="009D431A">
            <w:pPr>
              <w:spacing w:after="0" w:line="276" w:lineRule="auto"/>
              <w:rPr>
                <w:rFonts w:ascii="Arial" w:hAnsi="Arial" w:cs="Arial"/>
                <w:sz w:val="20"/>
                <w:szCs w:val="20"/>
              </w:rPr>
            </w:pPr>
          </w:p>
          <w:p w:rsidR="00877F82" w:rsidRPr="00877F82" w:rsidRDefault="00877F82" w:rsidP="009D431A">
            <w:pPr>
              <w:spacing w:after="0" w:line="276" w:lineRule="auto"/>
              <w:rPr>
                <w:rFonts w:ascii="Arial" w:hAnsi="Arial" w:cs="Arial"/>
                <w:sz w:val="20"/>
                <w:szCs w:val="20"/>
              </w:rPr>
            </w:pPr>
          </w:p>
        </w:tc>
        <w:tc>
          <w:tcPr>
            <w:tcW w:w="5747" w:type="dxa"/>
            <w:shd w:val="clear" w:color="auto" w:fill="auto"/>
          </w:tcPr>
          <w:p w:rsidR="001D6117" w:rsidRPr="00877F82" w:rsidRDefault="004B2C82" w:rsidP="009D431A">
            <w:pPr>
              <w:spacing w:after="0" w:line="276" w:lineRule="auto"/>
              <w:rPr>
                <w:rFonts w:ascii="Arial" w:hAnsi="Arial" w:cs="Arial"/>
                <w:sz w:val="20"/>
                <w:szCs w:val="20"/>
              </w:rPr>
            </w:pPr>
            <w:proofErr w:type="spellStart"/>
            <w:r w:rsidRPr="00877F82">
              <w:rPr>
                <w:rFonts w:ascii="Arial" w:hAnsi="Arial" w:cs="Arial"/>
                <w:sz w:val="20"/>
                <w:szCs w:val="20"/>
              </w:rPr>
              <w:lastRenderedPageBreak/>
              <w:t>nnnaktd</w:t>
            </w:r>
            <w:proofErr w:type="spellEnd"/>
          </w:p>
        </w:tc>
      </w:tr>
    </w:tbl>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PŘEDMĚT SMLOUVY</w:t>
      </w:r>
    </w:p>
    <w:p w:rsidR="00FC1757"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Touto smlouvou se poskytovatel zavazuje, že bude objednateli poskytovat služby</w:t>
      </w:r>
      <w:r w:rsidR="001D6117" w:rsidRPr="00877F82">
        <w:rPr>
          <w:rFonts w:ascii="Arial" w:hAnsi="Arial" w:cs="Arial"/>
        </w:rPr>
        <w:t xml:space="preserve"> </w:t>
      </w:r>
      <w:r w:rsidR="00FC1757" w:rsidRPr="00877F82">
        <w:rPr>
          <w:rFonts w:ascii="Arial" w:hAnsi="Arial" w:cs="Arial"/>
        </w:rPr>
        <w:t xml:space="preserve">spočívající v „odborné </w:t>
      </w:r>
      <w:r w:rsidRPr="00877F82">
        <w:rPr>
          <w:rFonts w:ascii="Arial" w:hAnsi="Arial" w:cs="Arial"/>
        </w:rPr>
        <w:t xml:space="preserve">pomoci </w:t>
      </w:r>
      <w:r w:rsidR="00F85075" w:rsidRPr="00877F82">
        <w:rPr>
          <w:rFonts w:ascii="Arial" w:hAnsi="Arial" w:cs="Arial"/>
        </w:rPr>
        <w:t xml:space="preserve">a spolupráci </w:t>
      </w:r>
      <w:r w:rsidRPr="00877F82">
        <w:rPr>
          <w:rFonts w:ascii="Arial" w:hAnsi="Arial" w:cs="Arial"/>
        </w:rPr>
        <w:t xml:space="preserve">při </w:t>
      </w:r>
      <w:r w:rsidR="00F85075" w:rsidRPr="00877F82">
        <w:rPr>
          <w:rFonts w:ascii="Arial" w:hAnsi="Arial" w:cs="Arial"/>
        </w:rPr>
        <w:t>návrhu a přípravě akcí na majetku Zlínského kraje – budově 21 ve Zlíně“</w:t>
      </w:r>
      <w:r w:rsidRPr="00877F82">
        <w:rPr>
          <w:rFonts w:ascii="Arial" w:hAnsi="Arial" w:cs="Arial"/>
        </w:rPr>
        <w:t>, a objednatel se</w:t>
      </w:r>
      <w:r w:rsidR="001D6117" w:rsidRPr="00877F82">
        <w:rPr>
          <w:rFonts w:ascii="Arial" w:hAnsi="Arial" w:cs="Arial"/>
        </w:rPr>
        <w:t xml:space="preserve"> </w:t>
      </w:r>
      <w:r w:rsidRPr="00877F82">
        <w:rPr>
          <w:rFonts w:ascii="Arial" w:hAnsi="Arial" w:cs="Arial"/>
        </w:rPr>
        <w:t>zavazuje, že poskytovateli zaplatí odměnu dle podmí</w:t>
      </w:r>
      <w:r w:rsidR="00FC1757" w:rsidRPr="00877F82">
        <w:rPr>
          <w:rFonts w:ascii="Arial" w:hAnsi="Arial" w:cs="Arial"/>
        </w:rPr>
        <w:t>nek stanovených v této smlouvě.</w:t>
      </w:r>
    </w:p>
    <w:p w:rsidR="00FC1757"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Rozsah odborné pomoci dle odst. </w:t>
      </w:r>
      <w:proofErr w:type="gramStart"/>
      <w:r w:rsidRPr="00877F82">
        <w:rPr>
          <w:rFonts w:ascii="Arial" w:hAnsi="Arial" w:cs="Arial"/>
        </w:rPr>
        <w:t>2.1. smlouvy</w:t>
      </w:r>
      <w:proofErr w:type="gramEnd"/>
      <w:r w:rsidRPr="00877F82">
        <w:rPr>
          <w:rFonts w:ascii="Arial" w:hAnsi="Arial" w:cs="Arial"/>
        </w:rPr>
        <w:t xml:space="preserve"> zahrnuje zejména tyto činnosti:</w:t>
      </w:r>
    </w:p>
    <w:p w:rsidR="00F85075" w:rsidRPr="00877F82" w:rsidRDefault="00FC1757" w:rsidP="00FC1757">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F85075" w:rsidRPr="00877F82">
        <w:rPr>
          <w:rFonts w:ascii="Arial" w:hAnsi="Arial" w:cs="Arial"/>
        </w:rPr>
        <w:t>Posouzení, příp. úpravy již zpracovaných návrhů plánovaných akcí, v rozsahu dle požadavků objednatele,</w:t>
      </w:r>
    </w:p>
    <w:p w:rsidR="00202BCD" w:rsidRPr="00877F82" w:rsidRDefault="00277161" w:rsidP="00FC1757">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F85075" w:rsidRPr="00877F82">
        <w:rPr>
          <w:rFonts w:ascii="Arial" w:hAnsi="Arial" w:cs="Arial"/>
        </w:rPr>
        <w:t>Zpracování zjednodušených předprojektových studií, vč. návrhů řešení</w:t>
      </w:r>
      <w:r w:rsidR="00202BCD" w:rsidRPr="00877F82">
        <w:rPr>
          <w:rFonts w:ascii="Arial" w:hAnsi="Arial" w:cs="Arial"/>
        </w:rPr>
        <w:t>,</w:t>
      </w:r>
    </w:p>
    <w:p w:rsidR="00F85075" w:rsidRPr="00877F82" w:rsidRDefault="00277161" w:rsidP="009D431A">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202BCD" w:rsidRPr="00877F82">
        <w:rPr>
          <w:rFonts w:ascii="Arial" w:hAnsi="Arial" w:cs="Arial"/>
        </w:rPr>
        <w:t>Sou</w:t>
      </w:r>
      <w:r w:rsidR="00202BCD" w:rsidRPr="00877F82">
        <w:rPr>
          <w:rFonts w:ascii="Arial" w:eastAsia="Arial" w:hAnsi="Arial" w:cs="Arial"/>
        </w:rPr>
        <w:t>č</w:t>
      </w:r>
      <w:r w:rsidR="00202BCD" w:rsidRPr="00877F82">
        <w:rPr>
          <w:rFonts w:ascii="Arial" w:hAnsi="Arial" w:cs="Arial" w:hint="eastAsia"/>
        </w:rPr>
        <w:t>á</w:t>
      </w:r>
      <w:r w:rsidR="00202BCD" w:rsidRPr="00877F82">
        <w:rPr>
          <w:rFonts w:ascii="Arial" w:hAnsi="Arial" w:cs="Arial"/>
        </w:rPr>
        <w:t>stí p</w:t>
      </w:r>
      <w:r w:rsidR="00202BCD" w:rsidRPr="00877F82">
        <w:rPr>
          <w:rFonts w:ascii="Arial" w:eastAsia="Arial" w:hAnsi="Arial" w:cs="Arial"/>
        </w:rPr>
        <w:t>ř</w:t>
      </w:r>
      <w:r w:rsidR="00202BCD" w:rsidRPr="00877F82">
        <w:rPr>
          <w:rFonts w:ascii="Arial" w:hAnsi="Arial" w:cs="Arial"/>
        </w:rPr>
        <w:t>edm</w:t>
      </w:r>
      <w:r w:rsidR="00202BCD" w:rsidRPr="00877F82">
        <w:rPr>
          <w:rFonts w:ascii="Arial" w:eastAsia="Arial" w:hAnsi="Arial" w:cs="Arial"/>
        </w:rPr>
        <w:t>ě</w:t>
      </w:r>
      <w:r w:rsidR="00202BCD" w:rsidRPr="00877F82">
        <w:rPr>
          <w:rFonts w:ascii="Arial" w:hAnsi="Arial" w:cs="Arial"/>
        </w:rPr>
        <w:t>tu pln</w:t>
      </w:r>
      <w:r w:rsidR="00202BCD" w:rsidRPr="00877F82">
        <w:rPr>
          <w:rFonts w:ascii="Arial" w:eastAsia="Arial" w:hAnsi="Arial" w:cs="Arial"/>
        </w:rPr>
        <w:t>ě</w:t>
      </w:r>
      <w:r w:rsidR="00202BCD" w:rsidRPr="00877F82">
        <w:rPr>
          <w:rFonts w:ascii="Arial" w:hAnsi="Arial" w:cs="Arial"/>
        </w:rPr>
        <w:t>ní ze strany poskytovatele bude i tisk a doručení</w:t>
      </w:r>
      <w:r w:rsidRPr="00877F82">
        <w:rPr>
          <w:rFonts w:ascii="Arial" w:hAnsi="Arial" w:cs="Arial"/>
        </w:rPr>
        <w:t xml:space="preserve"> dokumentů do sídla objednatele,</w:t>
      </w:r>
    </w:p>
    <w:p w:rsidR="00277161" w:rsidRPr="00877F82" w:rsidRDefault="00277161" w:rsidP="00277161">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Zpracování všech potřebných průzkumů, zkoušek, diagnostiky a měření potřebných pro zpracování podkladů dle požadavku objednatele,</w:t>
      </w:r>
    </w:p>
    <w:p w:rsidR="00277161" w:rsidRPr="00877F82" w:rsidRDefault="00202BCD" w:rsidP="00277161">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277161" w:rsidRPr="00877F82">
        <w:rPr>
          <w:rFonts w:ascii="Arial" w:hAnsi="Arial" w:cs="Arial"/>
        </w:rPr>
        <w:t>Účast při jednáních ve věci plánovaných investičních akcí a oprav, vč. jednání se zástupci orgánů dotčených v budoucích správních řízeních, vedených k těmto akcím,</w:t>
      </w:r>
    </w:p>
    <w:p w:rsidR="00277161" w:rsidRPr="00877F82" w:rsidRDefault="00277161" w:rsidP="009D431A">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202BCD" w:rsidRPr="00877F82">
        <w:rPr>
          <w:rFonts w:ascii="Arial" w:hAnsi="Arial" w:cs="Arial"/>
        </w:rPr>
        <w:t>Prezentace zpracovaných návrhů dle potřeb objednatele</w:t>
      </w:r>
      <w:r w:rsidRPr="00877F82">
        <w:rPr>
          <w:rFonts w:ascii="Arial" w:hAnsi="Arial" w:cs="Arial"/>
        </w:rPr>
        <w:t>,</w:t>
      </w:r>
    </w:p>
    <w:p w:rsidR="00202BCD" w:rsidRPr="00877F82" w:rsidRDefault="00277161" w:rsidP="009D431A">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Spolupráce se smluvními partnery objednatele</w:t>
      </w:r>
      <w:r w:rsidR="0056724F" w:rsidRPr="00877F82">
        <w:rPr>
          <w:rFonts w:ascii="Arial" w:hAnsi="Arial" w:cs="Arial"/>
        </w:rPr>
        <w:t>, na pokračování projektové přípravy vybraných a schválených akcí</w:t>
      </w:r>
      <w:r w:rsidR="00202BCD" w:rsidRPr="00877F82">
        <w:rPr>
          <w:rFonts w:ascii="Arial" w:hAnsi="Arial" w:cs="Arial"/>
        </w:rPr>
        <w:t>.</w:t>
      </w:r>
    </w:p>
    <w:p w:rsidR="00E42368" w:rsidRPr="00877F82" w:rsidRDefault="00E42368" w:rsidP="003550EA">
      <w:pPr>
        <w:rPr>
          <w:rFonts w:ascii="Arial" w:hAnsi="Arial" w:cs="Arial"/>
          <w:sz w:val="20"/>
          <w:szCs w:val="20"/>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PODMÍNKY POSKYTOVÁNÍ SLUŽEB</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se zavazuje, že odbornou pomoc bude poskytovat řádně a v</w:t>
      </w:r>
      <w:r w:rsidR="00FC1757" w:rsidRPr="00877F82">
        <w:rPr>
          <w:rFonts w:ascii="Arial" w:hAnsi="Arial" w:cs="Arial"/>
        </w:rPr>
        <w:t>č</w:t>
      </w:r>
      <w:r w:rsidRPr="00877F82">
        <w:rPr>
          <w:rFonts w:ascii="Arial" w:hAnsi="Arial" w:cs="Arial"/>
        </w:rPr>
        <w:t>as, dle nejvyšších</w:t>
      </w:r>
      <w:r w:rsidR="00FC1757" w:rsidRPr="00877F82">
        <w:rPr>
          <w:rFonts w:ascii="Arial" w:hAnsi="Arial" w:cs="Arial"/>
        </w:rPr>
        <w:t xml:space="preserve"> </w:t>
      </w:r>
      <w:r w:rsidRPr="00877F82">
        <w:rPr>
          <w:rFonts w:ascii="Arial" w:hAnsi="Arial" w:cs="Arial"/>
        </w:rPr>
        <w:t>standardů profesní efektivity a kvality, v souladu s touto smlouvou a pokyny objednatele</w:t>
      </w:r>
      <w:r w:rsidR="00FC1757" w:rsidRPr="00877F82">
        <w:rPr>
          <w:rFonts w:ascii="Arial" w:hAnsi="Arial" w:cs="Arial"/>
        </w:rPr>
        <w:t xml:space="preserve">,  </w:t>
      </w:r>
      <w:r w:rsidRPr="00877F82">
        <w:rPr>
          <w:rFonts w:ascii="Arial" w:hAnsi="Arial" w:cs="Arial"/>
        </w:rPr>
        <w:t>uvedených v této smlouvě a objednávkách.</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Objednatel se zavazuje předat poskytovateli veškeré informace potřebné k řádnému a</w:t>
      </w:r>
      <w:r w:rsidR="00FC1757" w:rsidRPr="00877F82">
        <w:rPr>
          <w:rFonts w:ascii="Arial" w:hAnsi="Arial" w:cs="Arial"/>
        </w:rPr>
        <w:t xml:space="preserve"> </w:t>
      </w:r>
      <w:r w:rsidRPr="00877F82">
        <w:rPr>
          <w:rFonts w:ascii="Arial" w:hAnsi="Arial" w:cs="Arial"/>
        </w:rPr>
        <w:t>včasnému poskytování služeb. Objednatel bude poskytovatele informovat o všech</w:t>
      </w:r>
      <w:r w:rsidR="00FC1757" w:rsidRPr="00877F82">
        <w:rPr>
          <w:rFonts w:ascii="Arial" w:hAnsi="Arial" w:cs="Arial"/>
        </w:rPr>
        <w:t xml:space="preserve"> </w:t>
      </w:r>
      <w:r w:rsidRPr="00877F82">
        <w:rPr>
          <w:rFonts w:ascii="Arial" w:hAnsi="Arial" w:cs="Arial"/>
        </w:rPr>
        <w:t>změnách, které mu byly známy a mohou ovlivnit výsledek prací</w:t>
      </w:r>
      <w:r w:rsidR="00910722" w:rsidRPr="00877F82">
        <w:rPr>
          <w:rFonts w:ascii="Arial" w:hAnsi="Arial" w:cs="Arial"/>
        </w:rPr>
        <w:t xml:space="preserve"> </w:t>
      </w:r>
      <w:r w:rsidR="00044D88" w:rsidRPr="00877F82">
        <w:rPr>
          <w:rFonts w:ascii="Arial" w:hAnsi="Arial" w:cs="Arial"/>
        </w:rPr>
        <w:t>poskytovatele</w:t>
      </w:r>
      <w:r w:rsidRPr="00877F82">
        <w:rPr>
          <w:rFonts w:ascii="Arial" w:hAnsi="Arial" w:cs="Arial"/>
        </w:rPr>
        <w:t>.</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je povinen upozornit objednatele na nevhodnou povahu věci, kterou</w:t>
      </w:r>
      <w:r w:rsidR="00FC1757" w:rsidRPr="00877F82">
        <w:rPr>
          <w:rFonts w:ascii="Arial" w:hAnsi="Arial" w:cs="Arial"/>
        </w:rPr>
        <w:t xml:space="preserve"> </w:t>
      </w:r>
      <w:r w:rsidRPr="00877F82">
        <w:rPr>
          <w:rFonts w:ascii="Arial" w:hAnsi="Arial" w:cs="Arial"/>
        </w:rPr>
        <w:t>objednatel k poskytnutí služeb předal, nebo příkazu, který mu objednatel dal. Překáží-li</w:t>
      </w:r>
      <w:r w:rsidR="00FC1757" w:rsidRPr="00877F82">
        <w:rPr>
          <w:rFonts w:ascii="Arial" w:hAnsi="Arial" w:cs="Arial"/>
        </w:rPr>
        <w:t xml:space="preserve"> </w:t>
      </w:r>
      <w:r w:rsidRPr="00877F82">
        <w:rPr>
          <w:rFonts w:ascii="Arial" w:hAnsi="Arial" w:cs="Arial"/>
        </w:rPr>
        <w:t>nevhodná věc nebo příkaz v řádném poskytnutí služeb, poskytovatel je v</w:t>
      </w:r>
      <w:r w:rsidR="00FC1757" w:rsidRPr="00877F82">
        <w:rPr>
          <w:rFonts w:ascii="Arial" w:hAnsi="Arial" w:cs="Arial"/>
        </w:rPr>
        <w:t> </w:t>
      </w:r>
      <w:r w:rsidRPr="00877F82">
        <w:rPr>
          <w:rFonts w:ascii="Arial" w:hAnsi="Arial" w:cs="Arial"/>
        </w:rPr>
        <w:t>nezbytném</w:t>
      </w:r>
      <w:r w:rsidR="00FC1757" w:rsidRPr="00877F82">
        <w:rPr>
          <w:rFonts w:ascii="Arial" w:hAnsi="Arial" w:cs="Arial"/>
        </w:rPr>
        <w:t xml:space="preserve"> </w:t>
      </w:r>
      <w:r w:rsidRPr="00877F82">
        <w:rPr>
          <w:rFonts w:ascii="Arial" w:hAnsi="Arial" w:cs="Arial"/>
        </w:rPr>
        <w:t>rozsahu přeruší, a to až do výměny věci nebo změny příkazu; trvá-li objednatel</w:t>
      </w:r>
      <w:r w:rsidR="00FC1757" w:rsidRPr="00877F82">
        <w:rPr>
          <w:rFonts w:ascii="Arial" w:hAnsi="Arial" w:cs="Arial"/>
        </w:rPr>
        <w:t xml:space="preserve"> </w:t>
      </w:r>
      <w:r w:rsidR="00044D88" w:rsidRPr="00877F82">
        <w:rPr>
          <w:rFonts w:ascii="Arial" w:hAnsi="Arial" w:cs="Arial"/>
        </w:rPr>
        <w:t xml:space="preserve">na </w:t>
      </w:r>
      <w:r w:rsidRPr="00877F82">
        <w:rPr>
          <w:rFonts w:ascii="Arial" w:hAnsi="Arial" w:cs="Arial"/>
        </w:rPr>
        <w:t>poskytnutí služeb s použitím takto nevhodné předané věci nebo daného příkazu, je</w:t>
      </w:r>
      <w:r w:rsidR="00FC1757" w:rsidRPr="00877F82">
        <w:rPr>
          <w:rFonts w:ascii="Arial" w:hAnsi="Arial" w:cs="Arial"/>
        </w:rPr>
        <w:t xml:space="preserve"> </w:t>
      </w:r>
      <w:r w:rsidRPr="00877F82">
        <w:rPr>
          <w:rFonts w:ascii="Arial" w:hAnsi="Arial" w:cs="Arial"/>
        </w:rPr>
        <w:t xml:space="preserve">poskytovatel povinen postupovat dle pokynů objednatele.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Poskytování služeb bude realizováno na základě jednotlivých</w:t>
      </w:r>
      <w:r w:rsidR="00EC0681" w:rsidRPr="00877F82">
        <w:rPr>
          <w:rFonts w:ascii="Arial" w:hAnsi="Arial" w:cs="Arial"/>
        </w:rPr>
        <w:t>,</w:t>
      </w:r>
      <w:r w:rsidRPr="00877F82">
        <w:rPr>
          <w:rFonts w:ascii="Arial" w:hAnsi="Arial" w:cs="Arial"/>
        </w:rPr>
        <w:t xml:space="preserve"> </w:t>
      </w:r>
      <w:r w:rsidR="00EC0681" w:rsidRPr="00877F82">
        <w:rPr>
          <w:rFonts w:ascii="Arial" w:hAnsi="Arial" w:cs="Arial"/>
        </w:rPr>
        <w:t xml:space="preserve">předem projednaných, </w:t>
      </w:r>
      <w:r w:rsidRPr="00877F82">
        <w:rPr>
          <w:rFonts w:ascii="Arial" w:hAnsi="Arial" w:cs="Arial"/>
        </w:rPr>
        <w:t>objednávek. Objednatel</w:t>
      </w:r>
      <w:r w:rsidR="00FC1757" w:rsidRPr="00877F82">
        <w:rPr>
          <w:rFonts w:ascii="Arial" w:hAnsi="Arial" w:cs="Arial"/>
        </w:rPr>
        <w:t xml:space="preserve"> </w:t>
      </w:r>
      <w:r w:rsidRPr="00877F82">
        <w:rPr>
          <w:rFonts w:ascii="Arial" w:hAnsi="Arial" w:cs="Arial"/>
        </w:rPr>
        <w:t>se zavazuje vystavit a zaslat poskytovateli na každou požadovanou činnost objednávku, a</w:t>
      </w:r>
      <w:r w:rsidR="00FC1757" w:rsidRPr="00877F82">
        <w:rPr>
          <w:rFonts w:ascii="Arial" w:hAnsi="Arial" w:cs="Arial"/>
        </w:rPr>
        <w:t xml:space="preserve"> </w:t>
      </w:r>
      <w:r w:rsidRPr="00877F82">
        <w:rPr>
          <w:rFonts w:ascii="Arial" w:hAnsi="Arial" w:cs="Arial"/>
        </w:rPr>
        <w:t>to prostřednictvím e-mailu. Poskytovatel bere na vědomí, že součástí jedné objednávky</w:t>
      </w:r>
      <w:r w:rsidR="00FC1757" w:rsidRPr="00877F82">
        <w:rPr>
          <w:rFonts w:ascii="Arial" w:hAnsi="Arial" w:cs="Arial"/>
        </w:rPr>
        <w:t xml:space="preserve"> </w:t>
      </w:r>
      <w:r w:rsidRPr="00877F82">
        <w:rPr>
          <w:rFonts w:ascii="Arial" w:hAnsi="Arial" w:cs="Arial"/>
        </w:rPr>
        <w:t>může být i více požadavků objednatele.</w:t>
      </w:r>
    </w:p>
    <w:p w:rsidR="00202BCD"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se zavazuje každou objednávku prostřednictvím e-mailu</w:t>
      </w:r>
      <w:r w:rsidR="00910722" w:rsidRPr="00877F82">
        <w:rPr>
          <w:rFonts w:ascii="Arial" w:hAnsi="Arial" w:cs="Arial"/>
        </w:rPr>
        <w:t xml:space="preserve"> potvrdit nebo odmítnout</w:t>
      </w:r>
      <w:r w:rsidRPr="00877F82">
        <w:rPr>
          <w:rFonts w:ascii="Arial" w:hAnsi="Arial" w:cs="Arial"/>
        </w:rPr>
        <w:t>, a to</w:t>
      </w:r>
      <w:r w:rsidR="00FC1757" w:rsidRPr="00877F82">
        <w:rPr>
          <w:rFonts w:ascii="Arial" w:hAnsi="Arial" w:cs="Arial"/>
        </w:rPr>
        <w:t xml:space="preserve"> </w:t>
      </w:r>
      <w:r w:rsidRPr="00877F82">
        <w:rPr>
          <w:rFonts w:ascii="Arial" w:hAnsi="Arial" w:cs="Arial"/>
        </w:rPr>
        <w:t>neprodleně od jejího doručení</w:t>
      </w:r>
      <w:r w:rsidR="00202BCD" w:rsidRPr="00877F82">
        <w:rPr>
          <w:rFonts w:ascii="Arial" w:hAnsi="Arial" w:cs="Arial"/>
        </w:rPr>
        <w:t xml:space="preserve">, max. do </w:t>
      </w:r>
      <w:r w:rsidR="004B2C82" w:rsidRPr="00877F82">
        <w:rPr>
          <w:rFonts w:ascii="Arial" w:hAnsi="Arial" w:cs="Arial"/>
        </w:rPr>
        <w:t xml:space="preserve">5 </w:t>
      </w:r>
      <w:r w:rsidR="00202BCD" w:rsidRPr="00877F82">
        <w:rPr>
          <w:rFonts w:ascii="Arial" w:hAnsi="Arial" w:cs="Arial"/>
        </w:rPr>
        <w:t>pracovních dnů</w:t>
      </w:r>
      <w:r w:rsidR="00910722" w:rsidRPr="00877F82">
        <w:rPr>
          <w:rFonts w:ascii="Arial" w:hAnsi="Arial" w:cs="Arial"/>
        </w:rPr>
        <w:t xml:space="preserve">. </w:t>
      </w:r>
      <w:r w:rsidR="00202BCD" w:rsidRPr="00877F82">
        <w:rPr>
          <w:rFonts w:ascii="Arial" w:hAnsi="Arial" w:cs="Arial"/>
        </w:rPr>
        <w:t>Pokud se v této lhůtě nevyjádří, má se za to, že objednávku akceptuje.</w:t>
      </w:r>
    </w:p>
    <w:p w:rsidR="003550EA" w:rsidRPr="00877F82" w:rsidRDefault="00910722"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 přijetí objednávky</w:t>
      </w:r>
      <w:r w:rsidR="003550EA" w:rsidRPr="00877F82">
        <w:rPr>
          <w:rFonts w:ascii="Arial" w:hAnsi="Arial" w:cs="Arial"/>
        </w:rPr>
        <w:t xml:space="preserve"> se </w:t>
      </w:r>
      <w:r w:rsidR="00202BCD" w:rsidRPr="00877F82">
        <w:rPr>
          <w:rFonts w:ascii="Arial" w:hAnsi="Arial" w:cs="Arial"/>
        </w:rPr>
        <w:t>p</w:t>
      </w:r>
      <w:r w:rsidRPr="00877F82">
        <w:rPr>
          <w:rFonts w:ascii="Arial" w:hAnsi="Arial" w:cs="Arial"/>
        </w:rPr>
        <w:t xml:space="preserve">oskytovatel </w:t>
      </w:r>
      <w:r w:rsidR="003550EA" w:rsidRPr="00877F82">
        <w:rPr>
          <w:rFonts w:ascii="Arial" w:hAnsi="Arial" w:cs="Arial"/>
        </w:rPr>
        <w:t xml:space="preserve">zavazuje </w:t>
      </w:r>
      <w:r w:rsidR="00202BCD" w:rsidRPr="00877F82">
        <w:rPr>
          <w:rFonts w:ascii="Arial" w:hAnsi="Arial" w:cs="Arial"/>
        </w:rPr>
        <w:t xml:space="preserve">ihned </w:t>
      </w:r>
      <w:r w:rsidR="003550EA" w:rsidRPr="00877F82">
        <w:rPr>
          <w:rFonts w:ascii="Arial" w:hAnsi="Arial" w:cs="Arial"/>
        </w:rPr>
        <w:t xml:space="preserve">zahájit </w:t>
      </w:r>
      <w:r w:rsidRPr="00877F82">
        <w:rPr>
          <w:rFonts w:ascii="Arial" w:hAnsi="Arial" w:cs="Arial"/>
        </w:rPr>
        <w:t>provedení</w:t>
      </w:r>
      <w:r w:rsidR="003550EA" w:rsidRPr="00877F82">
        <w:rPr>
          <w:rFonts w:ascii="Arial" w:hAnsi="Arial" w:cs="Arial"/>
        </w:rPr>
        <w:t xml:space="preserve"> služeb v požadované lhůtě.</w:t>
      </w:r>
    </w:p>
    <w:p w:rsidR="00E42368" w:rsidRPr="00877F82" w:rsidRDefault="00E42368" w:rsidP="00E42368">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TERMÍN A MÍSTO PLNĚNÍ</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Termín zahájení poskytování služeb: nejpozději do 5 dnů ode dne potvrzení</w:t>
      </w:r>
      <w:r w:rsidR="00FC1757" w:rsidRPr="00877F82">
        <w:rPr>
          <w:rFonts w:ascii="Arial" w:hAnsi="Arial" w:cs="Arial"/>
        </w:rPr>
        <w:t xml:space="preserve"> </w:t>
      </w:r>
      <w:r w:rsidRPr="00877F82">
        <w:rPr>
          <w:rFonts w:ascii="Arial" w:hAnsi="Arial" w:cs="Arial"/>
        </w:rPr>
        <w:t>objednávky poskytovatelem, není-li v</w:t>
      </w:r>
      <w:r w:rsidR="00FC1757" w:rsidRPr="00877F82">
        <w:rPr>
          <w:rFonts w:ascii="Arial" w:hAnsi="Arial" w:cs="Arial"/>
        </w:rPr>
        <w:t xml:space="preserve"> </w:t>
      </w:r>
      <w:r w:rsidRPr="00877F82">
        <w:rPr>
          <w:rFonts w:ascii="Arial" w:hAnsi="Arial" w:cs="Arial"/>
        </w:rPr>
        <w:t>dané objednávce stanoveno jinak</w:t>
      </w:r>
      <w:r w:rsidR="00117159" w:rsidRPr="00877F82">
        <w:rPr>
          <w:rFonts w:ascii="Arial" w:hAnsi="Arial" w:cs="Arial"/>
        </w:rPr>
        <w:t>.</w:t>
      </w:r>
    </w:p>
    <w:p w:rsidR="00910722"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Tato smlouva se uzavírá na dobu určitou, a to </w:t>
      </w:r>
      <w:r w:rsidR="00910722" w:rsidRPr="00877F82">
        <w:rPr>
          <w:rFonts w:ascii="Arial" w:hAnsi="Arial" w:cs="Arial"/>
        </w:rPr>
        <w:t xml:space="preserve">od </w:t>
      </w:r>
      <w:proofErr w:type="gramStart"/>
      <w:r w:rsidR="00577DB8">
        <w:rPr>
          <w:rFonts w:ascii="Arial" w:hAnsi="Arial" w:cs="Arial"/>
        </w:rPr>
        <w:t>1</w:t>
      </w:r>
      <w:r w:rsidR="00247AD0">
        <w:rPr>
          <w:rFonts w:ascii="Arial" w:hAnsi="Arial" w:cs="Arial"/>
        </w:rPr>
        <w:t>6</w:t>
      </w:r>
      <w:r w:rsidR="008F2318">
        <w:rPr>
          <w:rFonts w:ascii="Arial" w:hAnsi="Arial" w:cs="Arial"/>
        </w:rPr>
        <w:t>.</w:t>
      </w:r>
      <w:r w:rsidR="00910722" w:rsidRPr="00877F82">
        <w:rPr>
          <w:rFonts w:ascii="Arial" w:hAnsi="Arial" w:cs="Arial"/>
        </w:rPr>
        <w:t>0</w:t>
      </w:r>
      <w:r w:rsidR="00577DB8">
        <w:rPr>
          <w:rFonts w:ascii="Arial" w:hAnsi="Arial" w:cs="Arial"/>
        </w:rPr>
        <w:t>5</w:t>
      </w:r>
      <w:r w:rsidR="00910722" w:rsidRPr="00877F82">
        <w:rPr>
          <w:rFonts w:ascii="Arial" w:hAnsi="Arial" w:cs="Arial"/>
        </w:rPr>
        <w:t>.2022</w:t>
      </w:r>
      <w:proofErr w:type="gramEnd"/>
      <w:r w:rsidR="00910722" w:rsidRPr="00877F82">
        <w:rPr>
          <w:rFonts w:ascii="Arial" w:hAnsi="Arial" w:cs="Arial"/>
        </w:rPr>
        <w:t xml:space="preserve"> </w:t>
      </w:r>
      <w:r w:rsidRPr="00877F82">
        <w:rPr>
          <w:rFonts w:ascii="Arial" w:hAnsi="Arial" w:cs="Arial"/>
        </w:rPr>
        <w:t xml:space="preserve">do </w:t>
      </w:r>
      <w:r w:rsidR="00910722" w:rsidRPr="00877F82">
        <w:rPr>
          <w:rFonts w:ascii="Arial" w:hAnsi="Arial" w:cs="Arial"/>
        </w:rPr>
        <w:t>31.12.202</w:t>
      </w:r>
      <w:r w:rsidR="00C20D8E">
        <w:rPr>
          <w:rFonts w:ascii="Arial" w:hAnsi="Arial" w:cs="Arial"/>
        </w:rPr>
        <w:t>2</w:t>
      </w:r>
      <w:r w:rsidR="00B505CD" w:rsidRPr="00877F82">
        <w:rPr>
          <w:rFonts w:ascii="Arial" w:hAnsi="Arial" w:cs="Arial"/>
        </w:rPr>
        <w:t>.</w:t>
      </w:r>
    </w:p>
    <w:p w:rsidR="00B505CD" w:rsidRPr="00877F82" w:rsidRDefault="00B505CD" w:rsidP="00B505CD">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lastRenderedPageBreak/>
        <w:t xml:space="preserve">Platnost smlouvy do </w:t>
      </w:r>
      <w:proofErr w:type="gramStart"/>
      <w:r w:rsidRPr="00877F82">
        <w:rPr>
          <w:rFonts w:ascii="Arial" w:hAnsi="Arial" w:cs="Arial"/>
        </w:rPr>
        <w:t>31.12.202</w:t>
      </w:r>
      <w:r w:rsidR="00C20D8E">
        <w:rPr>
          <w:rFonts w:ascii="Arial" w:hAnsi="Arial" w:cs="Arial"/>
        </w:rPr>
        <w:t>2</w:t>
      </w:r>
      <w:proofErr w:type="gramEnd"/>
      <w:r w:rsidRPr="00877F82">
        <w:rPr>
          <w:rFonts w:ascii="Arial" w:hAnsi="Arial" w:cs="Arial"/>
        </w:rPr>
        <w:t xml:space="preserve"> může být na základě dohody obou stran a podmínek uvedených v této smlouvě, prodloužena v případě nevyčerpání maximálního finančního limitu smlouvy nebo vzniku nepředvídatelných a zároveň neodvratitelných okolností vzniklých nezávisle na vůli </w:t>
      </w:r>
      <w:r w:rsidR="004C33F0" w:rsidRPr="00877F82">
        <w:rPr>
          <w:rFonts w:ascii="Arial" w:hAnsi="Arial" w:cs="Arial"/>
        </w:rPr>
        <w:t>smluvních stran</w:t>
      </w:r>
      <w:r w:rsidRPr="00877F82">
        <w:rPr>
          <w:rFonts w:ascii="Arial" w:hAnsi="Arial" w:cs="Arial"/>
        </w:rPr>
        <w:t xml:space="preserve">, zejména pak např. vyšší moci. Nepředvídatelnou okolností je okolnost, o které strany nemohly vědět. Případné prodloužení platnosti smlouvy bude provedeno formou písemného dodatku podepsaného oběma smluvními stranami.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Místem plnění je sídlo objednatele</w:t>
      </w:r>
      <w:r w:rsidR="00FC1757" w:rsidRPr="00877F82">
        <w:rPr>
          <w:rFonts w:ascii="Arial" w:hAnsi="Arial" w:cs="Arial"/>
        </w:rPr>
        <w:t>, Tř. T. Bati 21, 761 90 Zlín</w:t>
      </w:r>
      <w:r w:rsidRPr="00877F82">
        <w:rPr>
          <w:rFonts w:ascii="Arial" w:hAnsi="Arial" w:cs="Arial"/>
        </w:rPr>
        <w:t>. Odlišný postup je možný jen na základě dohody</w:t>
      </w:r>
      <w:r w:rsidR="00FC1757" w:rsidRPr="00877F82">
        <w:rPr>
          <w:rFonts w:ascii="Arial" w:hAnsi="Arial" w:cs="Arial"/>
        </w:rPr>
        <w:t xml:space="preserve"> </w:t>
      </w:r>
      <w:r w:rsidRPr="00877F82">
        <w:rPr>
          <w:rFonts w:ascii="Arial" w:hAnsi="Arial" w:cs="Arial"/>
        </w:rPr>
        <w:t>smluvních stran.</w:t>
      </w:r>
    </w:p>
    <w:p w:rsidR="00F746DC" w:rsidRPr="00877F82" w:rsidRDefault="00F746DC" w:rsidP="00F746DC">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ODMĚNA A PLATEBNÍ PODMÍNKY</w:t>
      </w:r>
    </w:p>
    <w:p w:rsidR="00586F04" w:rsidRPr="00877F82" w:rsidRDefault="003550EA" w:rsidP="00117159">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na odměně za řádně a včasně poskytnuté služby dle této smlouvy</w:t>
      </w:r>
      <w:r w:rsidR="00FC1757" w:rsidRPr="00877F82">
        <w:rPr>
          <w:rFonts w:ascii="Arial" w:hAnsi="Arial" w:cs="Arial"/>
        </w:rPr>
        <w:t xml:space="preserve"> </w:t>
      </w:r>
      <w:r w:rsidRPr="00877F82">
        <w:rPr>
          <w:rFonts w:ascii="Arial" w:hAnsi="Arial" w:cs="Arial"/>
        </w:rPr>
        <w:t xml:space="preserve">v celkové výši </w:t>
      </w:r>
      <w:r w:rsidR="00525BA9" w:rsidRPr="00877F82">
        <w:rPr>
          <w:rFonts w:ascii="Arial" w:hAnsi="Arial" w:cs="Arial"/>
        </w:rPr>
        <w:t xml:space="preserve">1.600,- </w:t>
      </w:r>
      <w:r w:rsidRPr="00877F82">
        <w:rPr>
          <w:rFonts w:ascii="Arial" w:hAnsi="Arial" w:cs="Arial"/>
        </w:rPr>
        <w:t>Kč/hod bez DPH.</w:t>
      </w:r>
    </w:p>
    <w:p w:rsidR="00117159" w:rsidRPr="00877F82" w:rsidRDefault="00910722" w:rsidP="00117159">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 </w:t>
      </w:r>
      <w:r w:rsidR="00586F04" w:rsidRPr="00877F82">
        <w:rPr>
          <w:rFonts w:ascii="Arial" w:hAnsi="Arial" w:cs="Arial"/>
          <w:szCs w:val="22"/>
        </w:rPr>
        <w:t>Příslušná platná sazba DPH bude účtována poskytovatelem dle předpisů platných v době zdanitelného plnění. Za správnost stanovení sazby DPH nese odpovědnost poskytovatel.</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Smluvní strany berou na vědomí, že v odměně dle odst. </w:t>
      </w:r>
      <w:proofErr w:type="gramStart"/>
      <w:r w:rsidRPr="00877F82">
        <w:rPr>
          <w:rFonts w:ascii="Arial" w:hAnsi="Arial" w:cs="Arial"/>
        </w:rPr>
        <w:t>5.1. smlouvy</w:t>
      </w:r>
      <w:proofErr w:type="gramEnd"/>
      <w:r w:rsidRPr="00877F82">
        <w:rPr>
          <w:rFonts w:ascii="Arial" w:hAnsi="Arial" w:cs="Arial"/>
        </w:rPr>
        <w:t xml:space="preserve"> jsou zahrnuty veškeré</w:t>
      </w:r>
      <w:r w:rsidR="00D718E6" w:rsidRPr="00877F82">
        <w:rPr>
          <w:rFonts w:ascii="Arial" w:hAnsi="Arial" w:cs="Arial"/>
        </w:rPr>
        <w:t xml:space="preserve"> </w:t>
      </w:r>
      <w:r w:rsidR="00EC0681" w:rsidRPr="00877F82">
        <w:rPr>
          <w:rFonts w:ascii="Arial" w:hAnsi="Arial" w:cs="Arial"/>
        </w:rPr>
        <w:t xml:space="preserve">ostatní </w:t>
      </w:r>
      <w:r w:rsidR="00117159" w:rsidRPr="00877F82">
        <w:rPr>
          <w:rFonts w:ascii="Arial" w:hAnsi="Arial" w:cs="Arial"/>
        </w:rPr>
        <w:t>náklady na poskytnutí služeb jako jsou nap</w:t>
      </w:r>
      <w:r w:rsidR="00117159" w:rsidRPr="00877F82">
        <w:rPr>
          <w:rFonts w:ascii="Arial" w:eastAsia="Arial" w:hAnsi="Arial" w:cs="Arial"/>
        </w:rPr>
        <w:t>ř</w:t>
      </w:r>
      <w:r w:rsidR="00117159" w:rsidRPr="00877F82">
        <w:rPr>
          <w:rFonts w:ascii="Arial" w:hAnsi="Arial" w:cs="Arial"/>
        </w:rPr>
        <w:t>. cestovní náklady, poštovné, telekomunika</w:t>
      </w:r>
      <w:r w:rsidR="00117159" w:rsidRPr="00877F82">
        <w:rPr>
          <w:rFonts w:ascii="Arial" w:eastAsia="Arial" w:hAnsi="Arial" w:cs="Arial"/>
        </w:rPr>
        <w:t>č</w:t>
      </w:r>
      <w:r w:rsidR="00117159" w:rsidRPr="00877F82">
        <w:rPr>
          <w:rFonts w:ascii="Arial" w:hAnsi="Arial" w:cs="Arial"/>
        </w:rPr>
        <w:t xml:space="preserve">ní poplatky, připojení k internetu a hovory po </w:t>
      </w:r>
      <w:r w:rsidR="00117159" w:rsidRPr="00877F82">
        <w:rPr>
          <w:rFonts w:ascii="Arial" w:eastAsia="Arial" w:hAnsi="Arial" w:cs="Arial"/>
        </w:rPr>
        <w:t>Č</w:t>
      </w:r>
      <w:r w:rsidR="00117159" w:rsidRPr="00877F82">
        <w:rPr>
          <w:rFonts w:ascii="Arial" w:hAnsi="Arial" w:cs="Arial"/>
        </w:rPr>
        <w:t>eské republice, do Evropy i zbytku světa, administrativní práce, opisy, fotokopie atd.</w:t>
      </w:r>
    </w:p>
    <w:p w:rsidR="003550EA"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Odměna v odst. </w:t>
      </w:r>
      <w:proofErr w:type="gramStart"/>
      <w:r w:rsidRPr="00877F82">
        <w:rPr>
          <w:rFonts w:ascii="Arial" w:hAnsi="Arial" w:cs="Arial"/>
        </w:rPr>
        <w:t>5.1. smlouvy</w:t>
      </w:r>
      <w:proofErr w:type="gramEnd"/>
      <w:r w:rsidRPr="00877F82">
        <w:rPr>
          <w:rFonts w:ascii="Arial" w:hAnsi="Arial" w:cs="Arial"/>
        </w:rPr>
        <w:t xml:space="preserve"> je nejvýše přípustnou a neměnnou.</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že celková odměna za</w:t>
      </w:r>
      <w:r w:rsidR="00261CA0" w:rsidRPr="00877F82">
        <w:rPr>
          <w:rFonts w:ascii="Arial" w:hAnsi="Arial" w:cs="Arial"/>
        </w:rPr>
        <w:t xml:space="preserve"> </w:t>
      </w:r>
      <w:r w:rsidRPr="00877F82">
        <w:rPr>
          <w:rFonts w:ascii="Arial" w:hAnsi="Arial" w:cs="Arial"/>
        </w:rPr>
        <w:t>jeden kalendářní rok nepřekročí částku</w:t>
      </w:r>
      <w:r w:rsidR="00D718E6" w:rsidRPr="00877F82">
        <w:rPr>
          <w:rFonts w:ascii="Arial" w:hAnsi="Arial" w:cs="Arial"/>
        </w:rPr>
        <w:t xml:space="preserve"> </w:t>
      </w:r>
      <w:r w:rsidRPr="00877F82">
        <w:rPr>
          <w:rFonts w:ascii="Arial" w:hAnsi="Arial" w:cs="Arial"/>
        </w:rPr>
        <w:t xml:space="preserve">v celkové výši </w:t>
      </w:r>
      <w:r w:rsidR="00EC0681" w:rsidRPr="00877F82">
        <w:rPr>
          <w:rFonts w:ascii="Arial" w:hAnsi="Arial" w:cs="Arial"/>
        </w:rPr>
        <w:t>1</w:t>
      </w:r>
      <w:r w:rsidR="00C20D8E">
        <w:rPr>
          <w:rFonts w:ascii="Arial" w:hAnsi="Arial" w:cs="Arial"/>
        </w:rPr>
        <w:t>00</w:t>
      </w:r>
      <w:r w:rsidRPr="00877F82">
        <w:rPr>
          <w:rFonts w:ascii="Arial" w:hAnsi="Arial" w:cs="Arial"/>
        </w:rPr>
        <w:t>.000,- Kč bez DPH. Poskytovatel se zavazuje v dostatečném předstihu</w:t>
      </w:r>
      <w:r w:rsidR="00D718E6" w:rsidRPr="00877F82">
        <w:rPr>
          <w:rFonts w:ascii="Arial" w:hAnsi="Arial" w:cs="Arial"/>
        </w:rPr>
        <w:t xml:space="preserve"> </w:t>
      </w:r>
      <w:r w:rsidRPr="00877F82">
        <w:rPr>
          <w:rFonts w:ascii="Arial" w:hAnsi="Arial" w:cs="Arial"/>
        </w:rPr>
        <w:t>upozornit objednatele na možnost překročení této celkové částky</w:t>
      </w:r>
      <w:r w:rsidR="00EC0681" w:rsidRPr="00877F82">
        <w:rPr>
          <w:rFonts w:ascii="Arial" w:hAnsi="Arial" w:cs="Arial"/>
        </w:rPr>
        <w:t>.</w:t>
      </w:r>
      <w:r w:rsidRPr="00877F82">
        <w:rPr>
          <w:rFonts w:ascii="Arial" w:hAnsi="Arial" w:cs="Arial"/>
        </w:rPr>
        <w:t xml:space="preserve">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na hrazení odměny za poskytování služeb postupně (dílčí</w:t>
      </w:r>
      <w:r w:rsidR="00D718E6" w:rsidRPr="00877F82">
        <w:rPr>
          <w:rFonts w:ascii="Arial" w:hAnsi="Arial" w:cs="Arial"/>
        </w:rPr>
        <w:t xml:space="preserve"> </w:t>
      </w:r>
      <w:r w:rsidRPr="00877F82">
        <w:rPr>
          <w:rFonts w:ascii="Arial" w:hAnsi="Arial" w:cs="Arial"/>
        </w:rPr>
        <w:t>plnění) a na základě dílčích daňových dokladů (faktur).</w:t>
      </w:r>
      <w:r w:rsidR="00D718E6" w:rsidRPr="00877F82">
        <w:rPr>
          <w:rFonts w:ascii="Arial" w:hAnsi="Arial" w:cs="Arial"/>
        </w:rPr>
        <w:t xml:space="preserve"> </w:t>
      </w:r>
      <w:r w:rsidRPr="00877F82">
        <w:rPr>
          <w:rFonts w:ascii="Arial" w:hAnsi="Arial" w:cs="Arial"/>
        </w:rPr>
        <w:t xml:space="preserve">Fakturace bude probíhat </w:t>
      </w:r>
      <w:r w:rsidR="00EC0681" w:rsidRPr="00877F82">
        <w:rPr>
          <w:rFonts w:ascii="Arial" w:hAnsi="Arial" w:cs="Arial"/>
        </w:rPr>
        <w:t xml:space="preserve">zpravidla </w:t>
      </w:r>
      <w:r w:rsidRPr="00877F82">
        <w:rPr>
          <w:rFonts w:ascii="Arial" w:hAnsi="Arial" w:cs="Arial"/>
        </w:rPr>
        <w:t>jednou</w:t>
      </w:r>
      <w:r w:rsidR="00D718E6" w:rsidRPr="00877F82">
        <w:rPr>
          <w:rFonts w:ascii="Arial" w:hAnsi="Arial" w:cs="Arial"/>
        </w:rPr>
        <w:t xml:space="preserve"> </w:t>
      </w:r>
      <w:r w:rsidRPr="00877F82">
        <w:rPr>
          <w:rFonts w:ascii="Arial" w:hAnsi="Arial" w:cs="Arial"/>
        </w:rPr>
        <w:t>měsíčně.</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na lhůtě splatnosti v délce 30 dnů ode dne doručení faktury do</w:t>
      </w:r>
      <w:r w:rsidR="00D718E6" w:rsidRPr="00877F82">
        <w:rPr>
          <w:rFonts w:ascii="Arial" w:hAnsi="Arial" w:cs="Arial"/>
        </w:rPr>
        <w:t xml:space="preserve"> </w:t>
      </w:r>
      <w:r w:rsidRPr="00877F82">
        <w:rPr>
          <w:rFonts w:ascii="Arial" w:hAnsi="Arial" w:cs="Arial"/>
        </w:rPr>
        <w:t>sídla objednatele.</w:t>
      </w:r>
    </w:p>
    <w:p w:rsidR="003550EA" w:rsidRPr="00877F82" w:rsidRDefault="00E13C6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szCs w:val="22"/>
        </w:rPr>
        <w:t xml:space="preserve">Faktura poskytovatele musí obsahovat náležitosti vyplývající z obecně závazných předpisů, tj. zákona č. 563/1991 Sb., o účetnictví, a zákona č. 235/2004 Sb., o dani z přidané hodnoty, ve znění pozdějších předpisů. </w:t>
      </w:r>
      <w:r w:rsidR="003550EA" w:rsidRPr="00877F82">
        <w:rPr>
          <w:rFonts w:ascii="Arial" w:hAnsi="Arial" w:cs="Arial"/>
        </w:rPr>
        <w:t>Přílohou faktury musí být objednatelem písemně odsouhlasený soupis poskytnutých</w:t>
      </w:r>
      <w:r w:rsidR="00D718E6" w:rsidRPr="00877F82">
        <w:rPr>
          <w:rFonts w:ascii="Arial" w:hAnsi="Arial" w:cs="Arial"/>
        </w:rPr>
        <w:t xml:space="preserve"> </w:t>
      </w:r>
      <w:r w:rsidR="003550EA" w:rsidRPr="00877F82">
        <w:rPr>
          <w:rFonts w:ascii="Arial" w:hAnsi="Arial" w:cs="Arial"/>
        </w:rPr>
        <w:t>služeb. Objednatel se zavazuje k předloženému soupisu poskytnutých služeb písemně</w:t>
      </w:r>
      <w:r w:rsidR="00D718E6" w:rsidRPr="00877F82">
        <w:rPr>
          <w:rFonts w:ascii="Arial" w:hAnsi="Arial" w:cs="Arial"/>
        </w:rPr>
        <w:t xml:space="preserve"> </w:t>
      </w:r>
      <w:r w:rsidR="003550EA" w:rsidRPr="00877F82">
        <w:rPr>
          <w:rFonts w:ascii="Arial" w:hAnsi="Arial" w:cs="Arial"/>
        </w:rPr>
        <w:t>vyjádřit do tří dnů od jeho předložení s tím, že případný nesouhlas se soupisem</w:t>
      </w:r>
      <w:r w:rsidR="00D718E6" w:rsidRPr="00877F82">
        <w:rPr>
          <w:rFonts w:ascii="Arial" w:hAnsi="Arial" w:cs="Arial"/>
        </w:rPr>
        <w:t xml:space="preserve"> </w:t>
      </w:r>
      <w:r w:rsidR="003550EA" w:rsidRPr="00877F82">
        <w:rPr>
          <w:rFonts w:ascii="Arial" w:hAnsi="Arial" w:cs="Arial"/>
        </w:rPr>
        <w:t>poskytnutých služeb bude objednatelem ve lhůtě dle předchozí věty písemně zdůvodněn.</w:t>
      </w:r>
    </w:p>
    <w:p w:rsidR="00E13C66" w:rsidRPr="00877F82" w:rsidRDefault="00E13C6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szCs w:val="22"/>
        </w:rPr>
        <w:t xml:space="preserve">Objednatel má právo fakturu poskytovateli vrátit, pokud neobsahuje náležitosti dle uvedených právních předpisů nebo </w:t>
      </w:r>
      <w:r w:rsidRPr="00877F82">
        <w:rPr>
          <w:rFonts w:ascii="Arial" w:hAnsi="Arial" w:cs="Arial"/>
        </w:rPr>
        <w:t>objednatelem písemně odsouhlasený soupis poskytnutých služeb</w:t>
      </w:r>
      <w:r w:rsidRPr="00877F82">
        <w:rPr>
          <w:rFonts w:ascii="Arial" w:hAnsi="Arial" w:cs="Arial"/>
          <w:szCs w:val="22"/>
        </w:rPr>
        <w:t>. Ode dne vystavení řádné nové faktury se počítá nová lhůta splatnosti dle odst.</w:t>
      </w:r>
      <w:r w:rsidR="00586F04" w:rsidRPr="00877F82">
        <w:rPr>
          <w:rFonts w:ascii="Arial" w:hAnsi="Arial" w:cs="Arial"/>
          <w:szCs w:val="22"/>
        </w:rPr>
        <w:t xml:space="preserve"> 5.7</w:t>
      </w:r>
      <w:r w:rsidRPr="00877F82">
        <w:rPr>
          <w:rFonts w:ascii="Arial" w:hAnsi="Arial" w:cs="Arial"/>
          <w:szCs w:val="22"/>
        </w:rPr>
        <w:t>.</w:t>
      </w:r>
    </w:p>
    <w:p w:rsidR="00E13C66" w:rsidRPr="00877F82" w:rsidRDefault="00E13C6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szCs w:val="22"/>
        </w:rPr>
        <w:t>Objednatel může fakturu vrátit a fakturovanou částku neuhradit pouze v případě, když:</w:t>
      </w:r>
    </w:p>
    <w:p w:rsidR="00E13C66" w:rsidRPr="00877F82" w:rsidRDefault="00E13C66" w:rsidP="00455480">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szCs w:val="22"/>
        </w:rPr>
        <w:t xml:space="preserve"> obsahuje nesprávné anebo neúplné údaje dle článku 5.,</w:t>
      </w:r>
    </w:p>
    <w:p w:rsidR="00E13C66" w:rsidRPr="00877F82" w:rsidRDefault="00E13C66" w:rsidP="00455480">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szCs w:val="22"/>
        </w:rPr>
        <w:t xml:space="preserve"> obsahuje nesprávné cenové údaje,</w:t>
      </w:r>
    </w:p>
    <w:p w:rsidR="00E13C66" w:rsidRPr="00877F82" w:rsidRDefault="00E13C66" w:rsidP="00455480">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szCs w:val="22"/>
        </w:rPr>
        <w:t xml:space="preserve"> neobsahuje přílohu.</w:t>
      </w:r>
    </w:p>
    <w:p w:rsidR="003550EA"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Nevyjádří-li se objednatel ve lhůtě dle předchozí věty, příp. nebude-li nesouhlas se</w:t>
      </w:r>
      <w:r w:rsidR="00D718E6" w:rsidRPr="00877F82">
        <w:rPr>
          <w:rFonts w:ascii="Arial" w:hAnsi="Arial" w:cs="Arial"/>
        </w:rPr>
        <w:t xml:space="preserve"> </w:t>
      </w:r>
      <w:r w:rsidRPr="00877F82">
        <w:rPr>
          <w:rFonts w:ascii="Arial" w:hAnsi="Arial" w:cs="Arial"/>
        </w:rPr>
        <w:t>soupisem poskytnutých služeb odůvodněn, má se za to, že objednatel se soupisem</w:t>
      </w:r>
      <w:r w:rsidR="00D718E6" w:rsidRPr="00877F82">
        <w:rPr>
          <w:rFonts w:ascii="Arial" w:hAnsi="Arial" w:cs="Arial"/>
        </w:rPr>
        <w:t xml:space="preserve"> </w:t>
      </w:r>
      <w:r w:rsidRPr="00877F82">
        <w:rPr>
          <w:rFonts w:ascii="Arial" w:hAnsi="Arial" w:cs="Arial"/>
        </w:rPr>
        <w:t>poskytnutých služeb vyjádřil souhlas. Objednatel se zavazuje, že bezdůvodně neodepře</w:t>
      </w:r>
      <w:r w:rsidR="00D718E6" w:rsidRPr="00877F82">
        <w:rPr>
          <w:rFonts w:ascii="Arial" w:hAnsi="Arial" w:cs="Arial"/>
        </w:rPr>
        <w:t xml:space="preserve"> </w:t>
      </w:r>
      <w:r w:rsidRPr="00877F82">
        <w:rPr>
          <w:rFonts w:ascii="Arial" w:hAnsi="Arial" w:cs="Arial"/>
        </w:rPr>
        <w:t>udělit souhlas se soupisem poskytnutých služeb. Nesouhlas se soupisem poskytnutých</w:t>
      </w:r>
      <w:r w:rsidR="00D718E6" w:rsidRPr="00877F82">
        <w:rPr>
          <w:rFonts w:ascii="Arial" w:hAnsi="Arial" w:cs="Arial"/>
        </w:rPr>
        <w:t xml:space="preserve"> </w:t>
      </w:r>
      <w:r w:rsidRPr="00877F82">
        <w:rPr>
          <w:rFonts w:ascii="Arial" w:hAnsi="Arial" w:cs="Arial"/>
        </w:rPr>
        <w:t>služeb bude objednatelem vyjádřen pouze v případech, kdy soupis poskytnutých služeb</w:t>
      </w:r>
      <w:r w:rsidR="00D718E6" w:rsidRPr="00877F82">
        <w:rPr>
          <w:rFonts w:ascii="Arial" w:hAnsi="Arial" w:cs="Arial"/>
        </w:rPr>
        <w:t xml:space="preserve"> </w:t>
      </w:r>
      <w:r w:rsidRPr="00877F82">
        <w:rPr>
          <w:rFonts w:ascii="Arial" w:hAnsi="Arial" w:cs="Arial"/>
        </w:rPr>
        <w:t>nebude prokazatelně odpovídat skutečnosti. Za objednatele je oprávněn odsouhlasovat</w:t>
      </w:r>
      <w:r w:rsidR="00D718E6" w:rsidRPr="00877F82">
        <w:rPr>
          <w:rFonts w:ascii="Arial" w:hAnsi="Arial" w:cs="Arial"/>
        </w:rPr>
        <w:t xml:space="preserve"> </w:t>
      </w:r>
      <w:r w:rsidRPr="00877F82">
        <w:rPr>
          <w:rFonts w:ascii="Arial" w:hAnsi="Arial" w:cs="Arial"/>
        </w:rPr>
        <w:t xml:space="preserve">soupis poskytnutých služeb pověřený pracovník objednatele, </w:t>
      </w:r>
      <w:r w:rsidR="00261CA0" w:rsidRPr="00877F82">
        <w:rPr>
          <w:rFonts w:ascii="Arial" w:hAnsi="Arial" w:cs="Arial"/>
        </w:rPr>
        <w:t>zejména osoby oprávněné jednat ve věcech technických.</w:t>
      </w:r>
    </w:p>
    <w:p w:rsidR="00877F82" w:rsidRPr="00877F82" w:rsidRDefault="00877F82" w:rsidP="00877F82">
      <w:pPr>
        <w:pStyle w:val="Odstavecseseznamem"/>
        <w:spacing w:before="120" w:after="120" w:line="240" w:lineRule="exact"/>
        <w:ind w:left="284"/>
        <w:contextualSpacing w:val="0"/>
        <w:jc w:val="both"/>
        <w:rPr>
          <w:rFonts w:ascii="Arial" w:hAnsi="Arial" w:cs="Arial"/>
        </w:rPr>
      </w:pPr>
    </w:p>
    <w:p w:rsidR="00E42368" w:rsidRPr="00877F82" w:rsidRDefault="00E42368" w:rsidP="00E42368">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lastRenderedPageBreak/>
        <w:t>Poskytovatel prohlašuje, že:</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nemá v úmyslu nezaplatit daň z přidané hodnoty u zdanitelného plnění podle této smlouvy (dále jen „daň“),</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proofErr w:type="gramStart"/>
      <w:r w:rsidRPr="00877F82">
        <w:rPr>
          <w:rFonts w:ascii="Arial" w:hAnsi="Arial" w:cs="Arial"/>
        </w:rPr>
        <w:t>mu</w:t>
      </w:r>
      <w:proofErr w:type="gramEnd"/>
      <w:r w:rsidRPr="00877F82">
        <w:rPr>
          <w:rFonts w:ascii="Arial" w:hAnsi="Arial" w:cs="Arial"/>
        </w:rPr>
        <w:t xml:space="preserve"> nejsou známy skutečnosti, nasvědčující tomu, že se dostane do postavení, kdy nemůže daň zaplatit a ani se ke dni podpisu této smlouvy v takovém postavení nenachází,</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nezkrátí daň nebo nevyláká daňovou výhodu,</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úplata za plnění dle smlouvy není odchylná od obvyklé ceny,</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 xml:space="preserve">úplata za plnění dle smlouvy nebude poskytnuta zcela nebo zčásti bezhotovostním převodem na účet vedený </w:t>
      </w:r>
      <w:r w:rsidR="004F209E" w:rsidRPr="00877F82">
        <w:rPr>
          <w:rFonts w:ascii="Arial" w:hAnsi="Arial" w:cs="Arial"/>
        </w:rPr>
        <w:t>poskytovatelem</w:t>
      </w:r>
      <w:r w:rsidRPr="00877F82">
        <w:rPr>
          <w:rFonts w:ascii="Arial" w:hAnsi="Arial" w:cs="Arial"/>
        </w:rPr>
        <w:t xml:space="preserve"> platebních služeb mimo tuzemsko,</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nebude nespolehlivým plátcem,</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bude mít u správce daně registrován bankovní účet používaný pro ekonomickou činnost,</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 xml:space="preserve">souhlasí s tím, že pokud ke dni uskutečnění zdanitelného plnění nebo k okamžiku poskytnutí úplaty na plnění bude o poskytovateli zveřejněna správcem daně skutečnost, že poskytovatel je nespolehlivým plátcem, uhradí </w:t>
      </w:r>
      <w:r w:rsidR="001C3F87" w:rsidRPr="00877F82">
        <w:rPr>
          <w:rFonts w:ascii="Arial" w:hAnsi="Arial" w:cs="Arial"/>
        </w:rPr>
        <w:t>o</w:t>
      </w:r>
      <w:r w:rsidRPr="00877F82">
        <w:rPr>
          <w:rFonts w:ascii="Arial" w:hAnsi="Arial" w:cs="Arial"/>
        </w:rPr>
        <w:t>bjednatel daň z přidané hodnoty z přijatého zdanitelného plnění příslušnému správci daně,</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 xml:space="preserve">souhlasí s tím, že pokud ke dni uskutečnění zdanitelného plnění nebo k okamžiku poskytnutí úplaty na plnění bude zjištěna nesrovnalost v registraci bankovního účtu </w:t>
      </w:r>
      <w:r w:rsidR="001C3F87" w:rsidRPr="00877F82">
        <w:rPr>
          <w:rFonts w:ascii="Arial" w:hAnsi="Arial" w:cs="Arial"/>
        </w:rPr>
        <w:t>poskytovatele</w:t>
      </w:r>
      <w:r w:rsidRPr="00877F82">
        <w:rPr>
          <w:rFonts w:ascii="Arial" w:hAnsi="Arial" w:cs="Arial"/>
        </w:rPr>
        <w:t xml:space="preserve"> určeného pro ekonomickou činnost správcem daně, uhradí </w:t>
      </w:r>
      <w:r w:rsidR="001C3F87" w:rsidRPr="00877F82">
        <w:rPr>
          <w:rFonts w:ascii="Arial" w:hAnsi="Arial" w:cs="Arial"/>
        </w:rPr>
        <w:t>o</w:t>
      </w:r>
      <w:r w:rsidRPr="00877F82">
        <w:rPr>
          <w:rFonts w:ascii="Arial" w:hAnsi="Arial" w:cs="Arial"/>
        </w:rPr>
        <w:t xml:space="preserve">bjednatel daň z přidané hodnoty z přijatého zdanitelného plnění příslušnému správci daně. </w:t>
      </w:r>
    </w:p>
    <w:p w:rsidR="00E42368" w:rsidRPr="00877F82" w:rsidRDefault="00E42368" w:rsidP="00E42368">
      <w:pPr>
        <w:pStyle w:val="Odstavecseseznamem"/>
        <w:spacing w:before="120" w:after="120" w:line="240" w:lineRule="exact"/>
        <w:ind w:left="284"/>
        <w:contextualSpacing w:val="0"/>
        <w:jc w:val="both"/>
        <w:rPr>
          <w:rFonts w:ascii="Arial" w:hAnsi="Arial" w:cs="Arial"/>
        </w:rPr>
      </w:pP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ZÁRUKA A ODPOVĚDNOST ZA VADY</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poskytuje objednateli záruku, že veškeré služby budou prosty jakýchkoliv</w:t>
      </w:r>
      <w:r w:rsidR="00D718E6" w:rsidRPr="00877F82">
        <w:rPr>
          <w:rFonts w:ascii="Arial" w:hAnsi="Arial" w:cs="Arial"/>
        </w:rPr>
        <w:t xml:space="preserve"> </w:t>
      </w:r>
      <w:r w:rsidRPr="00877F82">
        <w:rPr>
          <w:rFonts w:ascii="Arial" w:hAnsi="Arial" w:cs="Arial"/>
        </w:rPr>
        <w:t>vad a poskytovatel bez zbytečného prodlení a na své vlastní náklady poskytne znovu ty</w:t>
      </w:r>
      <w:r w:rsidR="00D718E6" w:rsidRPr="00877F82">
        <w:rPr>
          <w:rFonts w:ascii="Arial" w:hAnsi="Arial" w:cs="Arial"/>
        </w:rPr>
        <w:t xml:space="preserve"> </w:t>
      </w:r>
      <w:r w:rsidRPr="00877F82">
        <w:rPr>
          <w:rFonts w:ascii="Arial" w:hAnsi="Arial" w:cs="Arial"/>
        </w:rPr>
        <w:t>služby, v míře potřebné k odstranění vad.</w:t>
      </w:r>
      <w:r w:rsidR="00D718E6" w:rsidRPr="00877F82">
        <w:rPr>
          <w:rFonts w:ascii="Arial" w:hAnsi="Arial" w:cs="Arial"/>
        </w:rPr>
        <w:t xml:space="preserve">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Předmět smlouvy má vady, jestliže jeho provedením jej nelze řádně a efektivně užívat k</w:t>
      </w:r>
      <w:r w:rsidR="00D718E6" w:rsidRPr="00877F82">
        <w:rPr>
          <w:rFonts w:ascii="Arial" w:hAnsi="Arial" w:cs="Arial"/>
        </w:rPr>
        <w:t xml:space="preserve"> </w:t>
      </w:r>
      <w:r w:rsidRPr="00877F82">
        <w:rPr>
          <w:rFonts w:ascii="Arial" w:hAnsi="Arial" w:cs="Arial"/>
        </w:rPr>
        <w:t>účelu, ke kterému je určen, a to ať už se jedná o vady zjevné či skryté.</w:t>
      </w:r>
    </w:p>
    <w:p w:rsidR="003550EA" w:rsidRPr="00877F82" w:rsidRDefault="00D718E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Záruční doba na </w:t>
      </w:r>
      <w:r w:rsidR="003550EA" w:rsidRPr="00877F82">
        <w:rPr>
          <w:rFonts w:ascii="Arial" w:hAnsi="Arial" w:cs="Arial"/>
        </w:rPr>
        <w:t>poskytnuté služby začíná běžet vždy ode dne dílčího poskytnutí služeb</w:t>
      </w:r>
      <w:r w:rsidRPr="00877F82">
        <w:rPr>
          <w:rFonts w:ascii="Arial" w:hAnsi="Arial" w:cs="Arial"/>
        </w:rPr>
        <w:t xml:space="preserve"> </w:t>
      </w:r>
      <w:r w:rsidR="003550EA" w:rsidRPr="00877F82">
        <w:rPr>
          <w:rFonts w:ascii="Arial" w:hAnsi="Arial" w:cs="Arial"/>
        </w:rPr>
        <w:t>stanovených v konkrétní objednávce, a to v délce 12 měsíců. Záruční doba neběží po dobu,</w:t>
      </w:r>
      <w:r w:rsidRPr="00877F82">
        <w:rPr>
          <w:rFonts w:ascii="Arial" w:hAnsi="Arial" w:cs="Arial"/>
        </w:rPr>
        <w:t xml:space="preserve"> </w:t>
      </w:r>
      <w:r w:rsidR="003550EA" w:rsidRPr="00877F82">
        <w:rPr>
          <w:rFonts w:ascii="Arial" w:hAnsi="Arial" w:cs="Arial"/>
        </w:rPr>
        <w:t>po kterou nemůže objednatel předmět smlouvy užívat pro vady, za které odpovídá</w:t>
      </w:r>
      <w:r w:rsidRPr="00877F82">
        <w:rPr>
          <w:rFonts w:ascii="Arial" w:hAnsi="Arial" w:cs="Arial"/>
        </w:rPr>
        <w:t xml:space="preserve"> </w:t>
      </w:r>
      <w:r w:rsidR="003550EA" w:rsidRPr="00877F82">
        <w:rPr>
          <w:rFonts w:ascii="Arial" w:hAnsi="Arial" w:cs="Arial"/>
        </w:rPr>
        <w:t>poskytovatel.</w:t>
      </w: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117159" w:rsidRPr="00877F82" w:rsidRDefault="00117159" w:rsidP="00277161">
      <w:pPr>
        <w:pStyle w:val="Odstavecseseznamem"/>
        <w:numPr>
          <w:ilvl w:val="0"/>
          <w:numId w:val="2"/>
        </w:numPr>
        <w:spacing w:before="20" w:line="240" w:lineRule="exact"/>
        <w:jc w:val="center"/>
        <w:rPr>
          <w:rFonts w:ascii="Arial" w:hAnsi="Arial" w:cs="Arial"/>
          <w:b/>
          <w:bCs/>
        </w:rPr>
      </w:pPr>
      <w:r w:rsidRPr="00877F82">
        <w:rPr>
          <w:rFonts w:ascii="Arial" w:hAnsi="Arial" w:cs="Arial"/>
          <w:b/>
          <w:bCs/>
        </w:rPr>
        <w:t>A</w:t>
      </w:r>
      <w:r w:rsidR="00FC7896" w:rsidRPr="00877F82">
        <w:rPr>
          <w:rFonts w:ascii="Arial" w:hAnsi="Arial" w:cs="Arial"/>
          <w:b/>
          <w:bCs/>
        </w:rPr>
        <w:t>UTORSKÁ PRÁVA</w:t>
      </w:r>
    </w:p>
    <w:p w:rsidR="0056724F" w:rsidRPr="00877F82" w:rsidRDefault="009F0DA7"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w:t>
      </w:r>
      <w:r w:rsidR="0056724F" w:rsidRPr="00877F82">
        <w:rPr>
          <w:rFonts w:ascii="Arial" w:hAnsi="Arial" w:cs="Arial"/>
        </w:rPr>
        <w:t xml:space="preserve"> prohlašuje, že objednatel bude oprávněn jakékoliv dílo, které bude předmětem plnění dle této smlouvy (pokud bude naplňovat znaky autorského díla) užít k realizaci, dále ke všem formám zveřejnění díla i projektu, včetně propagace, pořizování jeho dvourozměrných i trojrozměrných nestavebních rozmnoženin a dalším formám užití, a to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Poskytovatel tímto uděluje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poskytovatel dává k takovému poskytnutí tímto svůj výslovný souhlas. Licence ke všem oprávněním objednatele podle této smlouvy je sjednána jako bezúplatná.</w:t>
      </w:r>
    </w:p>
    <w:p w:rsidR="0056724F" w:rsidRPr="00877F82" w:rsidRDefault="0056724F"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nesmí použít výstupy dle smlouvy pro potřeby žádné třetí osoby a ani pro vlastní podnikání (s výjimkou vlastní propagace, při níž bude nicméně chránit zájmy objednatele např. ve věci utajení částí díla souvisejících s bezpečností objektu, sbírek, apod.).</w:t>
      </w:r>
    </w:p>
    <w:p w:rsidR="0056724F" w:rsidRPr="00877F82" w:rsidRDefault="0056724F"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je povinen uspořádat si své právní vztahy s autory autorských děl tak, aby poskytnutí nebo převodu práv nebránily žádné právní překážky. </w:t>
      </w:r>
      <w:r w:rsidR="0049203A" w:rsidRPr="00877F82">
        <w:rPr>
          <w:rFonts w:ascii="Arial" w:hAnsi="Arial" w:cs="Arial"/>
        </w:rPr>
        <w:t>Poskytovatel</w:t>
      </w:r>
      <w:r w:rsidRPr="00877F82">
        <w:rPr>
          <w:rFonts w:ascii="Arial" w:hAnsi="Arial" w:cs="Arial"/>
        </w:rPr>
        <w:t xml:space="preserve"> není oprávněn k </w:t>
      </w:r>
      <w:r w:rsidRPr="00877F82">
        <w:rPr>
          <w:rFonts w:ascii="Arial" w:hAnsi="Arial" w:cs="Arial"/>
        </w:rPr>
        <w:lastRenderedPageBreak/>
        <w:t xml:space="preserve">provedení jakýchkoliv právních úkonů omezujících užití díla objednatelem nebo zakládajících jakékoliv jiné nároky </w:t>
      </w:r>
      <w:r w:rsidR="0049203A" w:rsidRPr="00877F82">
        <w:rPr>
          <w:rFonts w:ascii="Arial" w:hAnsi="Arial" w:cs="Arial"/>
        </w:rPr>
        <w:t>poskytovatele</w:t>
      </w:r>
      <w:r w:rsidRPr="00877F82">
        <w:rPr>
          <w:rFonts w:ascii="Arial" w:hAnsi="Arial" w:cs="Arial"/>
        </w:rPr>
        <w:t xml:space="preserve"> nebo třetích osob než jaké jsou stanoveny smlouvou.</w:t>
      </w:r>
    </w:p>
    <w:p w:rsidR="0056724F" w:rsidRPr="00877F82" w:rsidRDefault="0056724F"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Objednatel je povinen respektovat osobnostní práva autorská a zdržet se užití díla způsobem snižujícím hodnotu díla a dodržovat právo na autorské označení. </w:t>
      </w:r>
    </w:p>
    <w:p w:rsidR="00117159" w:rsidRPr="00877F82" w:rsidRDefault="00117159" w:rsidP="00117159">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REKLAMACE</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Jestliže objednatel zjistí během záruční doby jakékoli vady předmětu smlouvy,</w:t>
      </w:r>
      <w:r w:rsidR="00D718E6" w:rsidRPr="00877F82">
        <w:rPr>
          <w:rFonts w:ascii="Arial" w:hAnsi="Arial" w:cs="Arial"/>
        </w:rPr>
        <w:t xml:space="preserve"> </w:t>
      </w:r>
      <w:r w:rsidRPr="00877F82">
        <w:rPr>
          <w:rFonts w:ascii="Arial" w:hAnsi="Arial" w:cs="Arial"/>
        </w:rPr>
        <w:t>sdělí zjištěné vady bez zbytečného odkladu písemně poskytovateli (reklamace).</w:t>
      </w:r>
      <w:r w:rsidR="00D718E6" w:rsidRPr="00877F82">
        <w:rPr>
          <w:rFonts w:ascii="Arial" w:hAnsi="Arial" w:cs="Arial"/>
        </w:rPr>
        <w:t xml:space="preserve"> </w:t>
      </w:r>
      <w:r w:rsidRPr="00877F82">
        <w:rPr>
          <w:rFonts w:ascii="Arial" w:hAnsi="Arial" w:cs="Arial"/>
        </w:rPr>
        <w:t>Reklamaci lze uplatnit do posledního dne záruční doby, přičemž i reklamace odeslaná</w:t>
      </w:r>
      <w:r w:rsidR="00D718E6" w:rsidRPr="00877F82">
        <w:rPr>
          <w:rFonts w:ascii="Arial" w:hAnsi="Arial" w:cs="Arial"/>
        </w:rPr>
        <w:t xml:space="preserve"> </w:t>
      </w:r>
      <w:r w:rsidRPr="00877F82">
        <w:rPr>
          <w:rFonts w:ascii="Arial" w:hAnsi="Arial" w:cs="Arial"/>
        </w:rPr>
        <w:t>objednatelem v poslední den záruční doby se považuje za včas uplatněnou.</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w:t>
      </w:r>
      <w:r w:rsidR="00313D57" w:rsidRPr="00877F82">
        <w:rPr>
          <w:rFonts w:ascii="Arial" w:hAnsi="Arial" w:cs="Arial"/>
        </w:rPr>
        <w:t xml:space="preserve">je </w:t>
      </w:r>
      <w:r w:rsidRPr="00877F82">
        <w:rPr>
          <w:rFonts w:ascii="Arial" w:hAnsi="Arial" w:cs="Arial"/>
        </w:rPr>
        <w:t>povinen vadu odstranit. Odstranění vad bude provedeno na vlastní</w:t>
      </w:r>
      <w:r w:rsidR="00D718E6" w:rsidRPr="00877F82">
        <w:rPr>
          <w:rFonts w:ascii="Arial" w:hAnsi="Arial" w:cs="Arial"/>
        </w:rPr>
        <w:t xml:space="preserve"> </w:t>
      </w:r>
      <w:r w:rsidRPr="00877F82">
        <w:rPr>
          <w:rFonts w:ascii="Arial" w:hAnsi="Arial" w:cs="Arial"/>
        </w:rPr>
        <w:t>náklady poskytovatele. Nedojde-li mezi oběma smluvními stranami k dohodě o</w:t>
      </w:r>
      <w:r w:rsidR="00D718E6" w:rsidRPr="00877F82">
        <w:rPr>
          <w:rFonts w:ascii="Arial" w:hAnsi="Arial" w:cs="Arial"/>
        </w:rPr>
        <w:t xml:space="preserve"> </w:t>
      </w:r>
      <w:r w:rsidRPr="00877F82">
        <w:rPr>
          <w:rFonts w:ascii="Arial" w:hAnsi="Arial" w:cs="Arial"/>
        </w:rPr>
        <w:t>termínu odstranění reklamované vady, platí, že vada musí být odstraněna</w:t>
      </w:r>
      <w:r w:rsidR="00D718E6" w:rsidRPr="00877F82">
        <w:rPr>
          <w:rFonts w:ascii="Arial" w:hAnsi="Arial" w:cs="Arial"/>
        </w:rPr>
        <w:t xml:space="preserve"> </w:t>
      </w:r>
      <w:r w:rsidRPr="00877F82">
        <w:rPr>
          <w:rFonts w:ascii="Arial" w:hAnsi="Arial" w:cs="Arial"/>
        </w:rPr>
        <w:t>nejpozději do 3 dnů ode dne uplatnění reklamace.</w:t>
      </w:r>
    </w:p>
    <w:p w:rsidR="003550EA"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O odstranění reklamované vady sepíší smluvní strany protokol.</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V případě, že poskytovatel do 3 pracovních dnů nezahájí odstraňování vad a tyto v</w:t>
      </w:r>
      <w:r w:rsidR="00D718E6" w:rsidRPr="00877F82">
        <w:rPr>
          <w:rFonts w:ascii="Arial" w:hAnsi="Arial" w:cs="Arial"/>
        </w:rPr>
        <w:t xml:space="preserve"> </w:t>
      </w:r>
      <w:r w:rsidRPr="00877F82">
        <w:rPr>
          <w:rFonts w:ascii="Arial" w:hAnsi="Arial" w:cs="Arial"/>
        </w:rPr>
        <w:t>dohodnutých lhůtách neodstraní, je objednatel oprávněn vadu po předchozím</w:t>
      </w:r>
      <w:r w:rsidR="00D718E6" w:rsidRPr="00877F82">
        <w:rPr>
          <w:rFonts w:ascii="Arial" w:hAnsi="Arial" w:cs="Arial"/>
        </w:rPr>
        <w:t xml:space="preserve"> </w:t>
      </w:r>
      <w:r w:rsidRPr="00877F82">
        <w:rPr>
          <w:rFonts w:ascii="Arial" w:hAnsi="Arial" w:cs="Arial"/>
        </w:rPr>
        <w:t>oznámení poskytovateli odstranit sám nebo ji nechat odstranit, a to na náklady</w:t>
      </w:r>
      <w:r w:rsidR="00D718E6" w:rsidRPr="00877F82">
        <w:rPr>
          <w:rFonts w:ascii="Arial" w:hAnsi="Arial" w:cs="Arial"/>
        </w:rPr>
        <w:t xml:space="preserve"> </w:t>
      </w:r>
      <w:r w:rsidRPr="00877F82">
        <w:rPr>
          <w:rFonts w:ascii="Arial" w:hAnsi="Arial" w:cs="Arial"/>
        </w:rPr>
        <w:t>poskytovatele, aniž by tím omezil svá práva, která mu přísluší na základě záruky a</w:t>
      </w:r>
      <w:r w:rsidR="00D718E6" w:rsidRPr="00877F82">
        <w:rPr>
          <w:rFonts w:ascii="Arial" w:hAnsi="Arial" w:cs="Arial"/>
        </w:rPr>
        <w:t xml:space="preserve"> </w:t>
      </w:r>
      <w:r w:rsidRPr="00877F82">
        <w:rPr>
          <w:rFonts w:ascii="Arial" w:hAnsi="Arial" w:cs="Arial"/>
        </w:rPr>
        <w:t>poskytovatel je povinen nahradit objednateli náklady s tím spojené.</w:t>
      </w: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SMLUVNÍ SANKCE</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se zavazuje, že v případě porušení jakéhokoli svého závazku plynoucího z</w:t>
      </w:r>
      <w:r w:rsidR="00D718E6" w:rsidRPr="00877F82">
        <w:rPr>
          <w:rFonts w:ascii="Arial" w:hAnsi="Arial" w:cs="Arial"/>
        </w:rPr>
        <w:t xml:space="preserve"> </w:t>
      </w:r>
      <w:r w:rsidRPr="00877F82">
        <w:rPr>
          <w:rFonts w:ascii="Arial" w:hAnsi="Arial" w:cs="Arial"/>
        </w:rPr>
        <w:t>této smlouvy či v případě prodlení s prováděním jakékoli činnosti plynoucí</w:t>
      </w:r>
      <w:r w:rsidR="00D718E6" w:rsidRPr="00877F82">
        <w:rPr>
          <w:rFonts w:ascii="Arial" w:hAnsi="Arial" w:cs="Arial"/>
        </w:rPr>
        <w:t xml:space="preserve"> </w:t>
      </w:r>
      <w:r w:rsidRPr="00877F82">
        <w:rPr>
          <w:rFonts w:ascii="Arial" w:hAnsi="Arial" w:cs="Arial"/>
        </w:rPr>
        <w:t>z této smlouvy, zaplatí objednateli smluvní pokutu ve výši 500,- Kč za každé porušení závazku plynoucího z této smlouvy.</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se zavazuje, že v případě porušení povinnosti stanovené v odst. </w:t>
      </w:r>
      <w:proofErr w:type="gramStart"/>
      <w:r w:rsidRPr="00877F82">
        <w:rPr>
          <w:rFonts w:ascii="Arial" w:hAnsi="Arial" w:cs="Arial"/>
        </w:rPr>
        <w:t>5.</w:t>
      </w:r>
      <w:r w:rsidR="004B1E84" w:rsidRPr="00877F82">
        <w:rPr>
          <w:rFonts w:ascii="Arial" w:hAnsi="Arial" w:cs="Arial"/>
        </w:rPr>
        <w:t>5</w:t>
      </w:r>
      <w:r w:rsidRPr="00877F82">
        <w:rPr>
          <w:rFonts w:ascii="Arial" w:hAnsi="Arial" w:cs="Arial"/>
        </w:rPr>
        <w:t>. této</w:t>
      </w:r>
      <w:proofErr w:type="gramEnd"/>
      <w:r w:rsidR="00D718E6" w:rsidRPr="00877F82">
        <w:rPr>
          <w:rFonts w:ascii="Arial" w:hAnsi="Arial" w:cs="Arial"/>
        </w:rPr>
        <w:t xml:space="preserve"> </w:t>
      </w:r>
      <w:r w:rsidRPr="00877F82">
        <w:rPr>
          <w:rFonts w:ascii="Arial" w:hAnsi="Arial" w:cs="Arial"/>
        </w:rPr>
        <w:t>smlouvy zaplatí objednateli smluvní pokutu ve výši odpovídající částce, o kterou bude</w:t>
      </w:r>
      <w:r w:rsidR="00D718E6" w:rsidRPr="00877F82">
        <w:rPr>
          <w:rFonts w:ascii="Arial" w:hAnsi="Arial" w:cs="Arial"/>
        </w:rPr>
        <w:t xml:space="preserve"> </w:t>
      </w:r>
      <w:r w:rsidRPr="00877F82">
        <w:rPr>
          <w:rFonts w:ascii="Arial" w:hAnsi="Arial" w:cs="Arial"/>
        </w:rPr>
        <w:t>cenový strop překročen.</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sjednávají splatnost smluvních pokut na 14 kalendářních dnů ode dne</w:t>
      </w:r>
      <w:r w:rsidR="00D718E6" w:rsidRPr="00877F82">
        <w:rPr>
          <w:rFonts w:ascii="Arial" w:hAnsi="Arial" w:cs="Arial"/>
        </w:rPr>
        <w:t xml:space="preserve"> </w:t>
      </w:r>
      <w:r w:rsidRPr="00877F82">
        <w:rPr>
          <w:rFonts w:ascii="Arial" w:hAnsi="Arial" w:cs="Arial"/>
        </w:rPr>
        <w:t>doručení jejich vyúčtování.</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Zaplacením jakékoli smluvní pokuty dle této smlouvy, není dotčeno právo oprávněné</w:t>
      </w:r>
      <w:r w:rsidR="00D718E6" w:rsidRPr="00877F82">
        <w:rPr>
          <w:rFonts w:ascii="Arial" w:hAnsi="Arial" w:cs="Arial"/>
        </w:rPr>
        <w:t xml:space="preserve"> </w:t>
      </w:r>
      <w:r w:rsidRPr="00877F82">
        <w:rPr>
          <w:rFonts w:ascii="Arial" w:hAnsi="Arial" w:cs="Arial"/>
        </w:rPr>
        <w:t>strany na náhradu škody.</w:t>
      </w:r>
    </w:p>
    <w:p w:rsidR="00B505CD" w:rsidRPr="00877F82" w:rsidRDefault="00B505CD" w:rsidP="00B505CD">
      <w:pPr>
        <w:pStyle w:val="Odstavecseseznamem"/>
        <w:spacing w:before="120" w:after="120" w:line="240" w:lineRule="exact"/>
        <w:ind w:left="284"/>
        <w:contextualSpacing w:val="0"/>
        <w:jc w:val="both"/>
        <w:rPr>
          <w:rFonts w:ascii="Arial" w:hAnsi="Arial" w:cs="Arial"/>
        </w:rPr>
      </w:pPr>
    </w:p>
    <w:p w:rsidR="00B505CD" w:rsidRPr="00877F82" w:rsidRDefault="00B505CD" w:rsidP="00B505CD">
      <w:pPr>
        <w:pStyle w:val="Odstavecseseznamem"/>
        <w:numPr>
          <w:ilvl w:val="0"/>
          <w:numId w:val="2"/>
        </w:numPr>
        <w:spacing w:before="20" w:line="240" w:lineRule="exact"/>
        <w:jc w:val="center"/>
        <w:rPr>
          <w:rFonts w:ascii="Arial" w:hAnsi="Arial" w:cs="Arial"/>
          <w:b/>
          <w:bCs/>
        </w:rPr>
      </w:pPr>
      <w:r w:rsidRPr="00877F82">
        <w:rPr>
          <w:rFonts w:ascii="Arial" w:hAnsi="Arial" w:cs="Arial"/>
          <w:b/>
          <w:bCs/>
        </w:rPr>
        <w:t xml:space="preserve">DALŠÍ UJEDNÁNÍ </w:t>
      </w:r>
    </w:p>
    <w:p w:rsidR="00B505CD" w:rsidRPr="00877F82" w:rsidRDefault="00B505CD" w:rsidP="00B505CD">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prohlašuje, že neumožňuje výkon nelegální práce ve smyslu zák. č. 435/2004 Sb. </w:t>
      </w:r>
      <w:r w:rsidR="009D431A" w:rsidRPr="00877F82">
        <w:rPr>
          <w:rFonts w:ascii="Arial" w:hAnsi="Arial" w:cs="Arial"/>
        </w:rPr>
        <w:t>o</w:t>
      </w:r>
      <w:r w:rsidRPr="00877F82">
        <w:rPr>
          <w:rFonts w:ascii="Arial" w:hAnsi="Arial" w:cs="Arial"/>
        </w:rPr>
        <w:t xml:space="preserve">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w:t>
      </w:r>
      <w:r w:rsidR="009D431A" w:rsidRPr="00877F82">
        <w:rPr>
          <w:rFonts w:ascii="Arial" w:hAnsi="Arial" w:cs="Arial"/>
        </w:rPr>
        <w:t>poskytovatele</w:t>
      </w:r>
      <w:r w:rsidRPr="00877F82">
        <w:rPr>
          <w:rFonts w:ascii="Arial" w:hAnsi="Arial" w:cs="Arial"/>
        </w:rPr>
        <w:t xml:space="preserve"> v souvislosti s tímto ručením plnil.</w:t>
      </w:r>
    </w:p>
    <w:p w:rsidR="00D718E6" w:rsidRPr="00877F82" w:rsidRDefault="00B505CD" w:rsidP="00B505CD">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prohlašuje, že si je vědom skutečnosti, že objednatel, má zájem na realizaci </w:t>
      </w:r>
      <w:r w:rsidR="00AD648F" w:rsidRPr="00877F82">
        <w:rPr>
          <w:rFonts w:ascii="Arial" w:hAnsi="Arial" w:cs="Arial"/>
        </w:rPr>
        <w:t>služeb</w:t>
      </w:r>
      <w:r w:rsidRPr="00877F82">
        <w:rPr>
          <w:rFonts w:ascii="Arial" w:hAnsi="Arial" w:cs="Arial"/>
        </w:rPr>
        <w:t xml:space="preserve">, dle této smlouvy, v souladu se zásadami společensky odpovědného zadávání veřejných zakázek. Poskytovatel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sidR="009D431A" w:rsidRPr="00877F82">
        <w:rPr>
          <w:rFonts w:ascii="Arial" w:hAnsi="Arial" w:cs="Arial"/>
        </w:rPr>
        <w:t>poskytovatelem</w:t>
      </w:r>
      <w:r w:rsidRPr="00877F82">
        <w:rPr>
          <w:rFonts w:ascii="Arial" w:hAnsi="Arial" w:cs="Arial"/>
        </w:rPr>
        <w:t xml:space="preserve"> či j</w:t>
      </w:r>
      <w:r w:rsidR="009D431A" w:rsidRPr="00877F82">
        <w:rPr>
          <w:rFonts w:ascii="Arial" w:hAnsi="Arial" w:cs="Arial"/>
        </w:rPr>
        <w:t>inými osobami</w:t>
      </w:r>
      <w:r w:rsidRPr="00877F82">
        <w:rPr>
          <w:rFonts w:ascii="Arial" w:hAnsi="Arial" w:cs="Arial"/>
        </w:rPr>
        <w:t>.</w:t>
      </w: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lastRenderedPageBreak/>
        <w:t>ZÁNIK SMLOUVY</w:t>
      </w:r>
    </w:p>
    <w:p w:rsidR="00EC0681"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Tato smlouva zanikne </w:t>
      </w:r>
      <w:r w:rsidR="00EC0681" w:rsidRPr="00877F82">
        <w:rPr>
          <w:rFonts w:ascii="Arial" w:hAnsi="Arial" w:cs="Arial"/>
        </w:rPr>
        <w:t xml:space="preserve">uplynutím termínu plnění služeb, </w:t>
      </w:r>
      <w:r w:rsidRPr="00877F82">
        <w:rPr>
          <w:rFonts w:ascii="Arial" w:hAnsi="Arial" w:cs="Arial"/>
        </w:rPr>
        <w:t>splněním závazku nebo odstoupením od smlouvy. Dále může tato</w:t>
      </w:r>
      <w:r w:rsidR="00D718E6" w:rsidRPr="00877F82">
        <w:rPr>
          <w:rFonts w:ascii="Arial" w:hAnsi="Arial" w:cs="Arial"/>
        </w:rPr>
        <w:t xml:space="preserve"> </w:t>
      </w:r>
      <w:r w:rsidRPr="00877F82">
        <w:rPr>
          <w:rFonts w:ascii="Arial" w:hAnsi="Arial" w:cs="Arial"/>
        </w:rPr>
        <w:t>smlouva zaniknout dohodou smluvních stran.</w:t>
      </w:r>
      <w:r w:rsidR="00D718E6" w:rsidRPr="00877F82">
        <w:rPr>
          <w:rFonts w:ascii="Arial" w:hAnsi="Arial" w:cs="Arial"/>
        </w:rPr>
        <w:t xml:space="preserve"> </w:t>
      </w:r>
    </w:p>
    <w:p w:rsidR="00F746DC" w:rsidRPr="00877F82" w:rsidRDefault="003550EA" w:rsidP="00F746DC">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Za podstatné porušení smlouvy opravňující objednatele odstoupit od smlouvy je</w:t>
      </w:r>
      <w:r w:rsidR="00D718E6" w:rsidRPr="00877F82">
        <w:rPr>
          <w:rFonts w:ascii="Arial" w:hAnsi="Arial" w:cs="Arial"/>
        </w:rPr>
        <w:t xml:space="preserve"> </w:t>
      </w:r>
      <w:r w:rsidRPr="00877F82">
        <w:rPr>
          <w:rFonts w:ascii="Arial" w:hAnsi="Arial" w:cs="Arial"/>
        </w:rPr>
        <w:t>považováno zejména:</w:t>
      </w:r>
    </w:p>
    <w:p w:rsidR="00F746DC"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prodlení poskytovatele se zahájením či ukončením realizace předmětu smlouvy delší</w:t>
      </w:r>
      <w:r w:rsidR="00D718E6" w:rsidRPr="00877F82">
        <w:rPr>
          <w:rFonts w:ascii="Arial" w:hAnsi="Arial" w:cs="Arial"/>
        </w:rPr>
        <w:t xml:space="preserve"> </w:t>
      </w:r>
      <w:r w:rsidRPr="00877F82">
        <w:rPr>
          <w:rFonts w:ascii="Arial" w:hAnsi="Arial" w:cs="Arial"/>
        </w:rPr>
        <w:t xml:space="preserve">než </w:t>
      </w:r>
      <w:r w:rsidR="00EC0681" w:rsidRPr="00877F82">
        <w:rPr>
          <w:rFonts w:ascii="Arial" w:hAnsi="Arial" w:cs="Arial"/>
        </w:rPr>
        <w:t>1</w:t>
      </w:r>
      <w:r w:rsidRPr="00877F82">
        <w:rPr>
          <w:rFonts w:ascii="Arial" w:hAnsi="Arial" w:cs="Arial"/>
        </w:rPr>
        <w:t xml:space="preserve"> kalendářní </w:t>
      </w:r>
      <w:r w:rsidR="00EC0681" w:rsidRPr="00877F82">
        <w:rPr>
          <w:rFonts w:ascii="Arial" w:hAnsi="Arial" w:cs="Arial"/>
        </w:rPr>
        <w:t>měsíc</w:t>
      </w:r>
      <w:r w:rsidRPr="00877F82">
        <w:rPr>
          <w:rFonts w:ascii="Arial" w:hAnsi="Arial" w:cs="Arial"/>
        </w:rPr>
        <w:t>;</w:t>
      </w:r>
    </w:p>
    <w:p w:rsidR="00F746DC"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případy, kdy poskytovatel realizuje předmět smlouvy v rozporu s pokyny objednatele</w:t>
      </w:r>
      <w:r w:rsidR="00D718E6" w:rsidRPr="00877F82">
        <w:rPr>
          <w:rFonts w:ascii="Arial" w:hAnsi="Arial" w:cs="Arial"/>
        </w:rPr>
        <w:t xml:space="preserve"> </w:t>
      </w:r>
      <w:r w:rsidRPr="00877F82">
        <w:rPr>
          <w:rFonts w:ascii="Arial" w:hAnsi="Arial" w:cs="Arial"/>
        </w:rPr>
        <w:t>a poskytovatel přes písemnou výzvu objednatele nedostatky neodstraní;</w:t>
      </w:r>
    </w:p>
    <w:p w:rsidR="00F746DC"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byl-li podán insolvenční návrh na zahájení insolvenčního řízení vůči majetku</w:t>
      </w:r>
      <w:r w:rsidR="00D718E6" w:rsidRPr="00877F82">
        <w:rPr>
          <w:rFonts w:ascii="Arial" w:hAnsi="Arial" w:cs="Arial"/>
        </w:rPr>
        <w:t xml:space="preserve"> </w:t>
      </w:r>
      <w:r w:rsidRPr="00877F82">
        <w:rPr>
          <w:rFonts w:ascii="Arial" w:hAnsi="Arial" w:cs="Arial"/>
        </w:rPr>
        <w:t>poskytovatele, nebo probíhá-li insolvenční řízení v němž je řešen úpadek nebo</w:t>
      </w:r>
      <w:r w:rsidR="00D718E6" w:rsidRPr="00877F82">
        <w:rPr>
          <w:rFonts w:ascii="Arial" w:hAnsi="Arial" w:cs="Arial"/>
        </w:rPr>
        <w:t xml:space="preserve"> </w:t>
      </w:r>
      <w:r w:rsidRPr="00877F82">
        <w:rPr>
          <w:rFonts w:ascii="Arial" w:hAnsi="Arial" w:cs="Arial"/>
        </w:rPr>
        <w:t>hrozící úpadek poskytovatele, a dále likvidace podniku nebo prodej podniku</w:t>
      </w:r>
      <w:r w:rsidR="00D718E6" w:rsidRPr="00877F82">
        <w:rPr>
          <w:rFonts w:ascii="Arial" w:hAnsi="Arial" w:cs="Arial"/>
        </w:rPr>
        <w:t xml:space="preserve"> </w:t>
      </w:r>
      <w:r w:rsidRPr="00877F82">
        <w:rPr>
          <w:rFonts w:ascii="Arial" w:hAnsi="Arial" w:cs="Arial"/>
        </w:rPr>
        <w:t>poskytovatele</w:t>
      </w:r>
      <w:r w:rsidR="008C49F0" w:rsidRPr="00877F82">
        <w:rPr>
          <w:rFonts w:ascii="Arial" w:hAnsi="Arial" w:cs="Arial"/>
        </w:rPr>
        <w:t>;</w:t>
      </w:r>
    </w:p>
    <w:p w:rsidR="003550EA"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poskytovatel </w:t>
      </w:r>
      <w:r w:rsidR="008C49F0" w:rsidRPr="00877F82">
        <w:rPr>
          <w:rFonts w:ascii="Arial" w:hAnsi="Arial" w:cs="Arial"/>
        </w:rPr>
        <w:t>ne</w:t>
      </w:r>
      <w:r w:rsidRPr="00877F82">
        <w:rPr>
          <w:rFonts w:ascii="Arial" w:hAnsi="Arial" w:cs="Arial"/>
        </w:rPr>
        <w:t>upozornil objednatele na možnost překročení cenového stropu</w:t>
      </w:r>
      <w:r w:rsidR="00D718E6" w:rsidRPr="00877F82">
        <w:rPr>
          <w:rFonts w:ascii="Arial" w:hAnsi="Arial" w:cs="Arial"/>
        </w:rPr>
        <w:t xml:space="preserve"> </w:t>
      </w:r>
      <w:r w:rsidRPr="00877F82">
        <w:rPr>
          <w:rFonts w:ascii="Arial" w:hAnsi="Arial" w:cs="Arial"/>
        </w:rPr>
        <w:t xml:space="preserve">stanoveného v odst. </w:t>
      </w:r>
      <w:proofErr w:type="gramStart"/>
      <w:r w:rsidRPr="00877F82">
        <w:rPr>
          <w:rFonts w:ascii="Arial" w:hAnsi="Arial" w:cs="Arial"/>
        </w:rPr>
        <w:t>5.4. této</w:t>
      </w:r>
      <w:proofErr w:type="gramEnd"/>
      <w:r w:rsidRPr="00877F82">
        <w:rPr>
          <w:rFonts w:ascii="Arial" w:hAnsi="Arial" w:cs="Arial"/>
        </w:rPr>
        <w:t xml:space="preserve"> smlouvy.</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Za podstatné porušení smlouvy opravňující poskytovatele odstoupit od smlouvy</w:t>
      </w:r>
      <w:r w:rsidR="00D718E6" w:rsidRPr="00877F82">
        <w:rPr>
          <w:rFonts w:ascii="Arial" w:hAnsi="Arial" w:cs="Arial"/>
        </w:rPr>
        <w:t xml:space="preserve"> </w:t>
      </w:r>
      <w:r w:rsidRPr="00877F82">
        <w:rPr>
          <w:rFonts w:ascii="Arial" w:hAnsi="Arial" w:cs="Arial"/>
        </w:rPr>
        <w:t>je</w:t>
      </w:r>
      <w:r w:rsidR="00D718E6" w:rsidRPr="00877F82">
        <w:rPr>
          <w:rFonts w:ascii="Arial" w:hAnsi="Arial" w:cs="Arial"/>
        </w:rPr>
        <w:t xml:space="preserve"> </w:t>
      </w:r>
      <w:r w:rsidRPr="00877F82">
        <w:rPr>
          <w:rFonts w:ascii="Arial" w:hAnsi="Arial" w:cs="Arial"/>
        </w:rPr>
        <w:t>považováno zejména:</w:t>
      </w:r>
    </w:p>
    <w:p w:rsidR="003550EA"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prodlení objednatele s platbou dle platebního režimu dohodnutého v této smlouvě</w:t>
      </w:r>
      <w:r w:rsidR="00D718E6" w:rsidRPr="00877F82">
        <w:rPr>
          <w:rFonts w:ascii="Arial" w:hAnsi="Arial" w:cs="Arial"/>
        </w:rPr>
        <w:t xml:space="preserve"> </w:t>
      </w:r>
      <w:r w:rsidRPr="00877F82">
        <w:rPr>
          <w:rFonts w:ascii="Arial" w:hAnsi="Arial" w:cs="Arial"/>
        </w:rPr>
        <w:t>delší jak 30 dnů ode dne splatnosti.</w:t>
      </w:r>
    </w:p>
    <w:p w:rsidR="003550EA" w:rsidRPr="00877F82" w:rsidRDefault="003550EA" w:rsidP="003550E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V případě odstoupení od smlouvy si smluvní strany vypořádají své závazky z</w:t>
      </w:r>
      <w:r w:rsidR="00D718E6" w:rsidRPr="00877F82">
        <w:rPr>
          <w:rFonts w:ascii="Arial" w:hAnsi="Arial" w:cs="Arial"/>
        </w:rPr>
        <w:t> </w:t>
      </w:r>
      <w:r w:rsidRPr="00877F82">
        <w:rPr>
          <w:rFonts w:ascii="Arial" w:hAnsi="Arial" w:cs="Arial"/>
        </w:rPr>
        <w:t>předmětné</w:t>
      </w:r>
      <w:r w:rsidR="00D718E6" w:rsidRPr="00877F82">
        <w:rPr>
          <w:rFonts w:ascii="Arial" w:hAnsi="Arial" w:cs="Arial"/>
        </w:rPr>
        <w:t xml:space="preserve"> </w:t>
      </w:r>
      <w:r w:rsidRPr="00877F82">
        <w:rPr>
          <w:rFonts w:ascii="Arial" w:hAnsi="Arial" w:cs="Arial"/>
        </w:rPr>
        <w:t>smlouvy tak, že poskytovatel provede sou</w:t>
      </w:r>
      <w:r w:rsidR="00D718E6" w:rsidRPr="00877F82">
        <w:rPr>
          <w:rFonts w:ascii="Arial" w:hAnsi="Arial" w:cs="Arial"/>
        </w:rPr>
        <w:t>pis všech poskytnutých služeb vč</w:t>
      </w:r>
      <w:r w:rsidRPr="00877F82">
        <w:rPr>
          <w:rFonts w:ascii="Arial" w:hAnsi="Arial" w:cs="Arial"/>
        </w:rPr>
        <w:t>. jejich vyčíslení</w:t>
      </w:r>
      <w:r w:rsidR="00D718E6" w:rsidRPr="00877F82">
        <w:rPr>
          <w:rFonts w:ascii="Arial" w:hAnsi="Arial" w:cs="Arial"/>
        </w:rPr>
        <w:t xml:space="preserve"> </w:t>
      </w:r>
      <w:r w:rsidRPr="00877F82">
        <w:rPr>
          <w:rFonts w:ascii="Arial" w:hAnsi="Arial" w:cs="Arial"/>
        </w:rPr>
        <w:t>a zpracuje fakturu. Objednatel následně uhradí poskytovateli služby poskytnuté od doby</w:t>
      </w:r>
      <w:r w:rsidR="00D718E6" w:rsidRPr="00877F82">
        <w:rPr>
          <w:rFonts w:ascii="Arial" w:hAnsi="Arial" w:cs="Arial"/>
        </w:rPr>
        <w:t xml:space="preserve"> </w:t>
      </w:r>
      <w:r w:rsidRPr="00877F82">
        <w:rPr>
          <w:rFonts w:ascii="Arial" w:hAnsi="Arial" w:cs="Arial"/>
        </w:rPr>
        <w:t>odstoupení od smlouvy na základě vystavené faktury.</w:t>
      </w: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ZÁVĚREČNÁ USTANOVENÍ</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Právní vztahy v této smlouvě výslovně neupravené se řídí příslušnými platnými právními předpisy ČR, zejména ustanoveními zákona č. 89/2012 Sb., občanského zákoníku, v platném znění. </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V případě vzniku sporu se smluvní strany zavazují řešit jej přednostně dohodou v souladu se zásadou poctivého a profesionálního obchodního styku. Pokud jednání smluvních stran nebude úspěšné, bude na základě dohody smluvních stran záležitost předložena místně příslušnému soudu, kterým bude místně příslušný soud objednatele.</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Změny této smlouvy mohou být provedeny výhradně písemnými vzestupně číslovanými dodatky schválenými oběma smluvními stranami, není-li ve smlouvě uvedeno jinak.</w:t>
      </w:r>
    </w:p>
    <w:p w:rsidR="0094214C" w:rsidRPr="00877F82" w:rsidRDefault="0094214C"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Případná neplatnost některého ustanovení této smlouvy nemá za následek neplatnost ostatních ustanovení.</w:t>
      </w:r>
    </w:p>
    <w:p w:rsidR="0094214C" w:rsidRPr="00877F82" w:rsidRDefault="0094214C"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potvrzuje pravdivost svých údajů, které jsou uvedeny v článku 1. a jejich shodu s platným výpisem z obchodního rejstříku nebo s živnostenským oprávněním. V případě, že dojde v průběhu smluvního vztahu ke změnám uvedených údajů, zavazuje se poskytovatel předat objednateli bez zbytečného odkladu platnou kopii výše uvedených dokladů.</w:t>
      </w:r>
    </w:p>
    <w:p w:rsidR="003A090E" w:rsidRPr="00877F82" w:rsidRDefault="00B1148C"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w:t>
      </w:r>
      <w:r w:rsidR="003A090E" w:rsidRPr="00877F82">
        <w:rPr>
          <w:rFonts w:ascii="Arial" w:hAnsi="Arial" w:cs="Arial"/>
        </w:rPr>
        <w:t xml:space="preserve"> souhlasí s uveřejněním této smlouvy, včetně všech změn a dodatků, v souladu se zákonem č. 134/2016 Sb., o zadávání veřejných zakázek, zákonem č. 106/1999 Sb., o svobodném přístupu k informacím, zákonem č. 340/2015 Sb., (o registru smluv) a ostatními příslušnými právními předpisy.</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Smluvní strany prohlašují, že žádná část smlouvy nenaplňuje znaky obchodního tajemství dle § 504 zákona č. 89/2012 Sb., občanský zákoník, ve znění pozdějších předpisů. </w:t>
      </w:r>
      <w:r w:rsidR="00785868" w:rsidRPr="00877F82">
        <w:rPr>
          <w:rFonts w:ascii="Arial" w:hAnsi="Arial" w:cs="Arial"/>
        </w:rPr>
        <w:t>Poskytovatel</w:t>
      </w:r>
      <w:r w:rsidRPr="00877F82">
        <w:rPr>
          <w:rFonts w:ascii="Arial" w:hAnsi="Arial" w:cs="Arial"/>
        </w:rPr>
        <w:t xml:space="preserve"> souhlasí se zpracováním osobních údajů v souladu se zákonem č. 101/2000 Sb., o ochraně osobních údajů a o změně některých zákonů, v platném znění.</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lastRenderedPageBreak/>
        <w:t xml:space="preserve">Smlouva se vyhotovuje ve 3 stejnopisech s platností originálu, z nichž objednatel obdrží 2 vyhotovení a </w:t>
      </w:r>
      <w:r w:rsidR="00B1148C" w:rsidRPr="00877F82">
        <w:rPr>
          <w:rFonts w:ascii="Arial" w:hAnsi="Arial" w:cs="Arial"/>
        </w:rPr>
        <w:t>poskytovatel</w:t>
      </w:r>
      <w:r w:rsidRPr="00877F82">
        <w:rPr>
          <w:rFonts w:ascii="Arial" w:hAnsi="Arial" w:cs="Arial"/>
        </w:rPr>
        <w:t xml:space="preserve"> 1 vyhotovení.</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Smlouva nabývá platnosti dnem podpisu poslední smluvní stranou a účinnosti dnem</w:t>
      </w:r>
      <w:r w:rsidR="00785868" w:rsidRPr="00877F82">
        <w:rPr>
          <w:rFonts w:ascii="Arial" w:hAnsi="Arial" w:cs="Arial"/>
        </w:rPr>
        <w:t xml:space="preserve"> jejího</w:t>
      </w:r>
      <w:r w:rsidRPr="00877F82">
        <w:rPr>
          <w:rFonts w:ascii="Arial" w:hAnsi="Arial" w:cs="Arial"/>
        </w:rPr>
        <w:t xml:space="preserve"> zveřejnění v Registru smluv. Smlouvu do registru odešle objednatel.</w:t>
      </w:r>
      <w:r w:rsidRPr="00877F82">
        <w:rPr>
          <w:rFonts w:ascii="Arial" w:hAnsi="Arial" w:cs="Arial"/>
        </w:rPr>
        <w:tab/>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Účastníci této smlouvy prohlašují, že ujednání obsažená v této smlouvě odpovídají jejich pravé a svobodné vůli, </w:t>
      </w:r>
      <w:r w:rsidR="009F0ED0" w:rsidRPr="00877F82">
        <w:rPr>
          <w:rFonts w:ascii="Arial" w:hAnsi="Arial" w:cs="Arial"/>
        </w:rPr>
        <w:t>smlouvu neuzavírají v tísni, ani za jinak nápadně nevýhodných podmínek, řádně si ji přečetly a jsou srozuměny s jejím obsahem</w:t>
      </w:r>
      <w:r w:rsidR="00B853A7" w:rsidRPr="00877F82">
        <w:rPr>
          <w:rFonts w:ascii="Arial" w:hAnsi="Arial" w:cs="Arial"/>
        </w:rPr>
        <w:t xml:space="preserve"> </w:t>
      </w:r>
      <w:r w:rsidRPr="00877F82">
        <w:rPr>
          <w:rFonts w:ascii="Arial" w:hAnsi="Arial" w:cs="Arial"/>
        </w:rPr>
        <w:t xml:space="preserve">a na důkaz toho připojují </w:t>
      </w:r>
      <w:r w:rsidR="009F0ED0" w:rsidRPr="00877F82">
        <w:rPr>
          <w:rFonts w:ascii="Arial" w:hAnsi="Arial" w:cs="Arial"/>
        </w:rPr>
        <w:t>své podpisy</w:t>
      </w:r>
      <w:r w:rsidRPr="00877F82">
        <w:rPr>
          <w:rFonts w:ascii="Arial" w:hAnsi="Arial" w:cs="Arial"/>
        </w:rPr>
        <w:t>.</w:t>
      </w:r>
    </w:p>
    <w:p w:rsidR="007D6BCD" w:rsidRPr="00877F82" w:rsidRDefault="007D6BCD" w:rsidP="007D6BCD">
      <w:pPr>
        <w:spacing w:before="120" w:after="120" w:line="240" w:lineRule="exact"/>
        <w:jc w:val="both"/>
        <w:rPr>
          <w:rFonts w:ascii="Arial" w:hAnsi="Arial" w:cs="Arial"/>
        </w:rPr>
      </w:pPr>
    </w:p>
    <w:p w:rsidR="007D6BCD" w:rsidRPr="00877F82" w:rsidRDefault="007D6BCD" w:rsidP="007D6BCD">
      <w:pPr>
        <w:spacing w:before="120" w:after="120" w:line="240" w:lineRule="exact"/>
        <w:jc w:val="both"/>
        <w:rPr>
          <w:rFonts w:ascii="Arial" w:hAnsi="Arial" w:cs="Arial"/>
        </w:rPr>
      </w:pPr>
    </w:p>
    <w:p w:rsidR="007D6BCD" w:rsidRPr="00877F82" w:rsidRDefault="007D6BCD" w:rsidP="007D6BCD">
      <w:pPr>
        <w:spacing w:before="120" w:after="120" w:line="240" w:lineRule="exact"/>
        <w:jc w:val="both"/>
        <w:rPr>
          <w:rFonts w:ascii="Arial" w:hAnsi="Arial" w:cs="Arial"/>
        </w:rPr>
      </w:pPr>
    </w:p>
    <w:p w:rsidR="007D6BCD" w:rsidRPr="00877F82" w:rsidRDefault="007D6BCD" w:rsidP="007D6BCD">
      <w:pPr>
        <w:pStyle w:val="Textvbloku"/>
        <w:rPr>
          <w:rFonts w:ascii="Arial" w:hAnsi="Arial" w:cs="Arial"/>
          <w:sz w:val="20"/>
        </w:rPr>
      </w:pPr>
      <w:r w:rsidRPr="00877F82">
        <w:rPr>
          <w:rFonts w:ascii="Arial" w:hAnsi="Arial" w:cs="Arial"/>
          <w:sz w:val="20"/>
        </w:rPr>
        <w:t>Ve Zlíně dne</w:t>
      </w:r>
      <w:r w:rsidR="00877F82">
        <w:rPr>
          <w:rFonts w:ascii="Arial" w:hAnsi="Arial" w:cs="Arial"/>
          <w:sz w:val="20"/>
        </w:rPr>
        <w:t xml:space="preserve"> …………………….. </w:t>
      </w:r>
      <w:r w:rsidRPr="00877F82">
        <w:rPr>
          <w:rFonts w:ascii="Arial" w:hAnsi="Arial" w:cs="Arial"/>
          <w:sz w:val="20"/>
        </w:rPr>
        <w:t xml:space="preserve">                                                 V </w:t>
      </w:r>
      <w:r w:rsidR="00877F82" w:rsidRPr="00877F82">
        <w:rPr>
          <w:rFonts w:ascii="Arial" w:hAnsi="Arial" w:cs="Arial"/>
          <w:sz w:val="20"/>
        </w:rPr>
        <w:t>Brně</w:t>
      </w:r>
      <w:r w:rsidRPr="00877F82">
        <w:rPr>
          <w:rFonts w:ascii="Arial" w:hAnsi="Arial" w:cs="Arial"/>
          <w:b/>
          <w:sz w:val="20"/>
        </w:rPr>
        <w:t xml:space="preserve"> </w:t>
      </w:r>
      <w:r w:rsidRPr="00877F82">
        <w:rPr>
          <w:rFonts w:ascii="Arial" w:hAnsi="Arial" w:cs="Arial"/>
          <w:sz w:val="20"/>
        </w:rPr>
        <w:t>dne ……………….</w:t>
      </w:r>
    </w:p>
    <w:p w:rsidR="007D6BCD" w:rsidRPr="00877F82" w:rsidRDefault="007D6BCD" w:rsidP="007D6BCD">
      <w:pPr>
        <w:pStyle w:val="Textvbloku"/>
        <w:rPr>
          <w:rFonts w:ascii="Arial" w:hAnsi="Arial" w:cs="Arial"/>
          <w:sz w:val="20"/>
        </w:rPr>
      </w:pPr>
    </w:p>
    <w:p w:rsidR="007D6BCD" w:rsidRPr="00877F82" w:rsidRDefault="007D6BCD" w:rsidP="007D6BCD">
      <w:pPr>
        <w:pStyle w:val="Textvbloku"/>
        <w:tabs>
          <w:tab w:val="left" w:pos="5670"/>
        </w:tabs>
        <w:rPr>
          <w:rFonts w:ascii="Arial" w:hAnsi="Arial" w:cs="Arial"/>
          <w:sz w:val="20"/>
        </w:rPr>
      </w:pPr>
      <w:r w:rsidRPr="00877F82">
        <w:rPr>
          <w:rFonts w:ascii="Arial" w:hAnsi="Arial" w:cs="Arial"/>
          <w:sz w:val="20"/>
        </w:rPr>
        <w:t>Objednatel:</w:t>
      </w:r>
      <w:r w:rsidRPr="00877F82">
        <w:rPr>
          <w:rFonts w:ascii="Arial" w:hAnsi="Arial" w:cs="Arial"/>
          <w:sz w:val="20"/>
        </w:rPr>
        <w:tab/>
        <w:t>Poskytovatel:</w:t>
      </w:r>
    </w:p>
    <w:p w:rsidR="007D6BCD" w:rsidRPr="00877F82" w:rsidRDefault="007D6BCD" w:rsidP="007D6BCD">
      <w:pPr>
        <w:pStyle w:val="Textvbloku"/>
        <w:tabs>
          <w:tab w:val="left" w:pos="5670"/>
        </w:tabs>
        <w:rPr>
          <w:rFonts w:ascii="Arial" w:hAnsi="Arial" w:cs="Arial"/>
          <w:b/>
          <w:bCs/>
          <w:sz w:val="20"/>
        </w:rPr>
      </w:pPr>
      <w:r w:rsidRPr="00877F82">
        <w:rPr>
          <w:rFonts w:ascii="Arial" w:hAnsi="Arial" w:cs="Arial"/>
          <w:b/>
          <w:bCs/>
          <w:sz w:val="20"/>
        </w:rPr>
        <w:tab/>
      </w:r>
      <w:r w:rsidRPr="00877F82">
        <w:rPr>
          <w:rFonts w:ascii="Arial" w:hAnsi="Arial" w:cs="Arial"/>
          <w:b/>
          <w:bCs/>
          <w:sz w:val="20"/>
        </w:rPr>
        <w:tab/>
      </w:r>
    </w:p>
    <w:p w:rsidR="007D6BCD" w:rsidRPr="00877F82" w:rsidRDefault="007D6BCD" w:rsidP="007D6BCD">
      <w:pPr>
        <w:pStyle w:val="Textvbloku"/>
        <w:rPr>
          <w:rFonts w:ascii="Arial" w:hAnsi="Arial" w:cs="Arial"/>
          <w:sz w:val="20"/>
        </w:rPr>
      </w:pPr>
    </w:p>
    <w:p w:rsidR="007D6BCD" w:rsidRPr="00877F82" w:rsidRDefault="007D6BCD" w:rsidP="007D6BCD">
      <w:pPr>
        <w:pStyle w:val="Textvbloku"/>
        <w:rPr>
          <w:rFonts w:ascii="Arial" w:hAnsi="Arial" w:cs="Arial"/>
          <w:sz w:val="20"/>
        </w:rPr>
      </w:pPr>
    </w:p>
    <w:p w:rsidR="007D6BCD" w:rsidRDefault="007D6BCD" w:rsidP="007D6BCD">
      <w:pPr>
        <w:pStyle w:val="Textvbloku"/>
        <w:rPr>
          <w:rFonts w:ascii="Arial" w:hAnsi="Arial" w:cs="Arial"/>
          <w:sz w:val="20"/>
        </w:rPr>
      </w:pPr>
    </w:p>
    <w:p w:rsidR="00877F82" w:rsidRDefault="00877F82" w:rsidP="007D6BCD">
      <w:pPr>
        <w:pStyle w:val="Textvbloku"/>
        <w:rPr>
          <w:rFonts w:ascii="Arial" w:hAnsi="Arial" w:cs="Arial"/>
          <w:sz w:val="20"/>
        </w:rPr>
      </w:pPr>
    </w:p>
    <w:p w:rsidR="00877F82" w:rsidRPr="00877F82" w:rsidRDefault="00877F82" w:rsidP="007D6BCD">
      <w:pPr>
        <w:pStyle w:val="Textvbloku"/>
        <w:rPr>
          <w:rFonts w:ascii="Arial" w:hAnsi="Arial" w:cs="Arial"/>
          <w:sz w:val="20"/>
        </w:rPr>
      </w:pPr>
    </w:p>
    <w:p w:rsidR="007D6BCD" w:rsidRPr="00877F82" w:rsidRDefault="007D6BCD" w:rsidP="007D6BCD">
      <w:pPr>
        <w:pStyle w:val="Zkladntext"/>
        <w:jc w:val="both"/>
        <w:rPr>
          <w:rFonts w:ascii="Arial" w:hAnsi="Arial" w:cs="Arial"/>
          <w:b/>
          <w:bCs/>
          <w:sz w:val="20"/>
        </w:rPr>
      </w:pPr>
      <w:r w:rsidRPr="00877F82">
        <w:rPr>
          <w:rFonts w:ascii="Arial" w:hAnsi="Arial" w:cs="Arial"/>
          <w:sz w:val="20"/>
        </w:rPr>
        <w:t>….……………………………………</w:t>
      </w:r>
      <w:r w:rsidRPr="00877F82">
        <w:rPr>
          <w:rFonts w:ascii="Arial" w:hAnsi="Arial" w:cs="Arial"/>
          <w:sz w:val="20"/>
        </w:rPr>
        <w:tab/>
      </w:r>
      <w:r w:rsidRPr="00877F82">
        <w:rPr>
          <w:rFonts w:ascii="Arial" w:hAnsi="Arial" w:cs="Arial"/>
          <w:sz w:val="20"/>
        </w:rPr>
        <w:tab/>
      </w:r>
      <w:r w:rsidRPr="00877F82">
        <w:rPr>
          <w:rFonts w:ascii="Arial" w:hAnsi="Arial" w:cs="Arial"/>
          <w:sz w:val="20"/>
        </w:rPr>
        <w:tab/>
      </w:r>
      <w:r w:rsidRPr="00877F82">
        <w:rPr>
          <w:rFonts w:ascii="Arial" w:hAnsi="Arial" w:cs="Arial"/>
          <w:sz w:val="20"/>
        </w:rPr>
        <w:tab/>
        <w:t>…………………………………………</w:t>
      </w:r>
    </w:p>
    <w:p w:rsidR="007D6BCD" w:rsidRPr="00877F82" w:rsidRDefault="007D6BCD" w:rsidP="00EC0681">
      <w:pPr>
        <w:pStyle w:val="Styl2"/>
        <w:tabs>
          <w:tab w:val="clear" w:pos="567"/>
          <w:tab w:val="clear" w:pos="9638"/>
        </w:tabs>
        <w:rPr>
          <w:spacing w:val="0"/>
          <w:lang w:val="cs-CZ"/>
        </w:rPr>
      </w:pPr>
      <w:r w:rsidRPr="00877F82">
        <w:rPr>
          <w:spacing w:val="0"/>
          <w:lang w:val="cs-CZ"/>
        </w:rPr>
        <w:t>In</w:t>
      </w:r>
      <w:r w:rsidR="00711C8C">
        <w:rPr>
          <w:spacing w:val="0"/>
          <w:lang w:val="cs-CZ"/>
        </w:rPr>
        <w:t xml:space="preserve">g. Petr </w:t>
      </w:r>
      <w:proofErr w:type="spellStart"/>
      <w:r w:rsidR="00711C8C">
        <w:rPr>
          <w:spacing w:val="0"/>
          <w:lang w:val="cs-CZ"/>
        </w:rPr>
        <w:t>Kedra</w:t>
      </w:r>
      <w:proofErr w:type="spellEnd"/>
      <w:r w:rsidR="00711C8C">
        <w:rPr>
          <w:spacing w:val="0"/>
          <w:lang w:val="cs-CZ"/>
        </w:rPr>
        <w:t xml:space="preserve">   </w:t>
      </w:r>
      <w:r w:rsidR="00711C8C">
        <w:rPr>
          <w:spacing w:val="0"/>
          <w:lang w:val="cs-CZ"/>
        </w:rPr>
        <w:tab/>
      </w:r>
      <w:r w:rsidR="00711C8C">
        <w:rPr>
          <w:spacing w:val="0"/>
          <w:lang w:val="cs-CZ"/>
        </w:rPr>
        <w:tab/>
      </w:r>
      <w:r w:rsidR="00711C8C">
        <w:rPr>
          <w:spacing w:val="0"/>
          <w:lang w:val="cs-CZ"/>
        </w:rPr>
        <w:tab/>
      </w:r>
      <w:r w:rsidR="00711C8C">
        <w:rPr>
          <w:spacing w:val="0"/>
          <w:lang w:val="cs-CZ"/>
        </w:rPr>
        <w:tab/>
      </w:r>
      <w:r w:rsidR="00711C8C">
        <w:rPr>
          <w:spacing w:val="0"/>
          <w:lang w:val="cs-CZ"/>
        </w:rPr>
        <w:tab/>
      </w:r>
      <w:r w:rsidR="00711C8C">
        <w:rPr>
          <w:spacing w:val="0"/>
          <w:lang w:val="cs-CZ"/>
        </w:rPr>
        <w:tab/>
        <w:t>XXXX</w:t>
      </w:r>
    </w:p>
    <w:p w:rsidR="009F0ED0" w:rsidRPr="00877F82" w:rsidRDefault="009F0ED0" w:rsidP="00EC0681">
      <w:pPr>
        <w:pStyle w:val="Styl2"/>
        <w:tabs>
          <w:tab w:val="clear" w:pos="567"/>
          <w:tab w:val="clear" w:pos="9638"/>
        </w:tabs>
      </w:pPr>
      <w:proofErr w:type="spellStart"/>
      <w:r w:rsidRPr="00877F82">
        <w:t>vedoucí</w:t>
      </w:r>
      <w:proofErr w:type="spellEnd"/>
      <w:r w:rsidRPr="00877F82">
        <w:t xml:space="preserve"> </w:t>
      </w:r>
      <w:proofErr w:type="spellStart"/>
      <w:r w:rsidR="005D0D08">
        <w:t>o</w:t>
      </w:r>
      <w:r w:rsidRPr="00877F82">
        <w:t>dboru</w:t>
      </w:r>
      <w:proofErr w:type="spellEnd"/>
      <w:r w:rsidRPr="00877F82">
        <w:t xml:space="preserve"> </w:t>
      </w:r>
      <w:proofErr w:type="spellStart"/>
      <w:r w:rsidRPr="00877F82">
        <w:t>Kancelář</w:t>
      </w:r>
      <w:proofErr w:type="spellEnd"/>
      <w:r w:rsidRPr="00877F82">
        <w:t xml:space="preserve"> </w:t>
      </w:r>
      <w:proofErr w:type="spellStart"/>
      <w:r w:rsidRPr="00877F82">
        <w:t>ředitele</w:t>
      </w:r>
      <w:proofErr w:type="spellEnd"/>
    </w:p>
    <w:sectPr w:rsidR="009F0ED0" w:rsidRPr="00877F82" w:rsidSect="00D9065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EC" w:rsidRDefault="00420CEC" w:rsidP="001D6117">
      <w:pPr>
        <w:spacing w:after="0" w:line="240" w:lineRule="auto"/>
      </w:pPr>
      <w:r>
        <w:separator/>
      </w:r>
    </w:p>
  </w:endnote>
  <w:endnote w:type="continuationSeparator" w:id="0">
    <w:p w:rsidR="00420CEC" w:rsidRDefault="00420CEC" w:rsidP="001D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878043"/>
      <w:docPartObj>
        <w:docPartGallery w:val="Page Numbers (Bottom of Page)"/>
        <w:docPartUnique/>
      </w:docPartObj>
    </w:sdtPr>
    <w:sdtEndPr/>
    <w:sdtContent>
      <w:p w:rsidR="009D431A" w:rsidRDefault="00F36729">
        <w:pPr>
          <w:pStyle w:val="Zpat"/>
          <w:jc w:val="center"/>
        </w:pPr>
        <w:r>
          <w:fldChar w:fldCharType="begin"/>
        </w:r>
        <w:r w:rsidR="00DE3126">
          <w:instrText>PAGE   \* MERGEFORMAT</w:instrText>
        </w:r>
        <w:r>
          <w:fldChar w:fldCharType="separate"/>
        </w:r>
        <w:r w:rsidR="001C5067">
          <w:rPr>
            <w:noProof/>
          </w:rPr>
          <w:t>2</w:t>
        </w:r>
        <w:r>
          <w:rPr>
            <w:noProof/>
          </w:rPr>
          <w:fldChar w:fldCharType="end"/>
        </w:r>
      </w:p>
    </w:sdtContent>
  </w:sdt>
  <w:p w:rsidR="009D431A" w:rsidRDefault="009D43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EC" w:rsidRDefault="00420CEC" w:rsidP="001D6117">
      <w:pPr>
        <w:spacing w:after="0" w:line="240" w:lineRule="auto"/>
      </w:pPr>
      <w:r>
        <w:separator/>
      </w:r>
    </w:p>
  </w:footnote>
  <w:footnote w:type="continuationSeparator" w:id="0">
    <w:p w:rsidR="00420CEC" w:rsidRDefault="00420CEC" w:rsidP="001D6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1A" w:rsidRDefault="009D431A" w:rsidP="001D6117">
    <w:pPr>
      <w:pStyle w:val="Zhlav"/>
      <w:jc w:val="right"/>
    </w:pPr>
    <w:r>
      <w:rPr>
        <w:rFonts w:ascii="Arial" w:hAnsi="Arial" w:cs="Arial"/>
        <w:noProof/>
        <w:lang w:eastAsia="cs-CZ"/>
      </w:rPr>
      <w:drawing>
        <wp:inline distT="0" distB="0" distL="0" distR="0">
          <wp:extent cx="1949662" cy="581025"/>
          <wp:effectExtent l="0" t="0" r="0" b="0"/>
          <wp:docPr id="2"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72" cy="5813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EA"/>
    <w:rsid w:val="00044D88"/>
    <w:rsid w:val="000C37DA"/>
    <w:rsid w:val="000E6A87"/>
    <w:rsid w:val="000F59B1"/>
    <w:rsid w:val="00117159"/>
    <w:rsid w:val="001364BB"/>
    <w:rsid w:val="001706C1"/>
    <w:rsid w:val="0019127B"/>
    <w:rsid w:val="001C3F87"/>
    <w:rsid w:val="001C5067"/>
    <w:rsid w:val="001D51E5"/>
    <w:rsid w:val="001D6117"/>
    <w:rsid w:val="00202BCD"/>
    <w:rsid w:val="00230D35"/>
    <w:rsid w:val="00247AD0"/>
    <w:rsid w:val="00261CA0"/>
    <w:rsid w:val="00277161"/>
    <w:rsid w:val="002F3DC0"/>
    <w:rsid w:val="00313D57"/>
    <w:rsid w:val="00343A1A"/>
    <w:rsid w:val="003550EA"/>
    <w:rsid w:val="003A090E"/>
    <w:rsid w:val="003F337B"/>
    <w:rsid w:val="00420CEC"/>
    <w:rsid w:val="00450B41"/>
    <w:rsid w:val="00455480"/>
    <w:rsid w:val="0049203A"/>
    <w:rsid w:val="00496704"/>
    <w:rsid w:val="004B1E84"/>
    <w:rsid w:val="004B2C82"/>
    <w:rsid w:val="004C33F0"/>
    <w:rsid w:val="004F209E"/>
    <w:rsid w:val="00525BA9"/>
    <w:rsid w:val="0056724F"/>
    <w:rsid w:val="00577DB8"/>
    <w:rsid w:val="00580333"/>
    <w:rsid w:val="00586F04"/>
    <w:rsid w:val="005C2D8C"/>
    <w:rsid w:val="005D0D08"/>
    <w:rsid w:val="00601970"/>
    <w:rsid w:val="00622152"/>
    <w:rsid w:val="0065328D"/>
    <w:rsid w:val="00676127"/>
    <w:rsid w:val="006B1D3A"/>
    <w:rsid w:val="006C613B"/>
    <w:rsid w:val="006F4B2F"/>
    <w:rsid w:val="007053FC"/>
    <w:rsid w:val="00711C8C"/>
    <w:rsid w:val="00722F89"/>
    <w:rsid w:val="00785233"/>
    <w:rsid w:val="00785868"/>
    <w:rsid w:val="007A429C"/>
    <w:rsid w:val="007D6BCD"/>
    <w:rsid w:val="007F5BCC"/>
    <w:rsid w:val="00801AF4"/>
    <w:rsid w:val="00862778"/>
    <w:rsid w:val="00870622"/>
    <w:rsid w:val="00877F82"/>
    <w:rsid w:val="00883FCB"/>
    <w:rsid w:val="008B1DBE"/>
    <w:rsid w:val="008C49F0"/>
    <w:rsid w:val="008E00C4"/>
    <w:rsid w:val="008F2318"/>
    <w:rsid w:val="008F66BB"/>
    <w:rsid w:val="00905CB4"/>
    <w:rsid w:val="00910722"/>
    <w:rsid w:val="0093587F"/>
    <w:rsid w:val="0094214C"/>
    <w:rsid w:val="0095283E"/>
    <w:rsid w:val="009644D8"/>
    <w:rsid w:val="009D431A"/>
    <w:rsid w:val="009F0DA7"/>
    <w:rsid w:val="009F0ED0"/>
    <w:rsid w:val="00A335B2"/>
    <w:rsid w:val="00AD416E"/>
    <w:rsid w:val="00AD648F"/>
    <w:rsid w:val="00AF1D18"/>
    <w:rsid w:val="00B014F0"/>
    <w:rsid w:val="00B1148C"/>
    <w:rsid w:val="00B505CD"/>
    <w:rsid w:val="00B853A7"/>
    <w:rsid w:val="00B93F18"/>
    <w:rsid w:val="00BD4714"/>
    <w:rsid w:val="00BF5E4F"/>
    <w:rsid w:val="00C20D8E"/>
    <w:rsid w:val="00C34388"/>
    <w:rsid w:val="00C52DDA"/>
    <w:rsid w:val="00CD7A69"/>
    <w:rsid w:val="00CD7E11"/>
    <w:rsid w:val="00D1518A"/>
    <w:rsid w:val="00D24C7D"/>
    <w:rsid w:val="00D45C73"/>
    <w:rsid w:val="00D718E6"/>
    <w:rsid w:val="00D90650"/>
    <w:rsid w:val="00DE3126"/>
    <w:rsid w:val="00E13C66"/>
    <w:rsid w:val="00E22A31"/>
    <w:rsid w:val="00E23CE8"/>
    <w:rsid w:val="00E42368"/>
    <w:rsid w:val="00E832F6"/>
    <w:rsid w:val="00EB004F"/>
    <w:rsid w:val="00EC0681"/>
    <w:rsid w:val="00F2074B"/>
    <w:rsid w:val="00F36729"/>
    <w:rsid w:val="00F62719"/>
    <w:rsid w:val="00F746DC"/>
    <w:rsid w:val="00F85075"/>
    <w:rsid w:val="00FC1757"/>
    <w:rsid w:val="00FC7896"/>
    <w:rsid w:val="00FF5A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80A78"/>
  <w15:docId w15:val="{0021EA03-4D59-4963-B59A-2E4F1260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52"/>
  </w:style>
  <w:style w:type="paragraph" w:styleId="Nadpis2">
    <w:name w:val="heading 2"/>
    <w:basedOn w:val="Normln"/>
    <w:next w:val="Normln"/>
    <w:link w:val="Nadpis2Char"/>
    <w:qFormat/>
    <w:rsid w:val="001D6117"/>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1D6117"/>
    <w:pPr>
      <w:keepNext/>
      <w:spacing w:after="0" w:line="240" w:lineRule="auto"/>
      <w:jc w:val="both"/>
      <w:outlineLvl w:val="3"/>
    </w:pPr>
    <w:rPr>
      <w:rFonts w:ascii="Times New Roman" w:eastAsia="Times New Roman" w:hAnsi="Times New Roman" w:cs="Times New Roman"/>
      <w:b/>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D611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1D6117"/>
    <w:rPr>
      <w:rFonts w:ascii="Times New Roman" w:eastAsia="Times New Roman" w:hAnsi="Times New Roman" w:cs="Times New Roman"/>
      <w:b/>
      <w:sz w:val="40"/>
      <w:szCs w:val="20"/>
      <w:lang w:eastAsia="cs-CZ"/>
    </w:rPr>
  </w:style>
  <w:style w:type="paragraph" w:styleId="Zkladntext">
    <w:name w:val="Body Text"/>
    <w:basedOn w:val="Normln"/>
    <w:link w:val="ZkladntextChar"/>
    <w:rsid w:val="001D611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1D6117"/>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1D6117"/>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1D6117"/>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D61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6117"/>
  </w:style>
  <w:style w:type="paragraph" w:styleId="Zpat">
    <w:name w:val="footer"/>
    <w:basedOn w:val="Normln"/>
    <w:link w:val="ZpatChar"/>
    <w:uiPriority w:val="99"/>
    <w:unhideWhenUsed/>
    <w:rsid w:val="001D6117"/>
    <w:pPr>
      <w:tabs>
        <w:tab w:val="center" w:pos="4536"/>
        <w:tab w:val="right" w:pos="9072"/>
      </w:tabs>
      <w:spacing w:after="0" w:line="240" w:lineRule="auto"/>
    </w:pPr>
  </w:style>
  <w:style w:type="character" w:customStyle="1" w:styleId="ZpatChar">
    <w:name w:val="Zápatí Char"/>
    <w:basedOn w:val="Standardnpsmoodstavce"/>
    <w:link w:val="Zpat"/>
    <w:uiPriority w:val="99"/>
    <w:rsid w:val="001D6117"/>
  </w:style>
  <w:style w:type="paragraph" w:styleId="Textvbloku">
    <w:name w:val="Block Text"/>
    <w:basedOn w:val="Normln"/>
    <w:rsid w:val="007D6BCD"/>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Styl2">
    <w:name w:val="Styl2"/>
    <w:basedOn w:val="Normln"/>
    <w:link w:val="Styl2Char"/>
    <w:qFormat/>
    <w:rsid w:val="007D6BCD"/>
    <w:pPr>
      <w:widowControl w:val="0"/>
      <w:tabs>
        <w:tab w:val="left" w:pos="567"/>
        <w:tab w:val="right" w:leader="dot" w:pos="9638"/>
      </w:tabs>
      <w:spacing w:before="80" w:after="0" w:line="240" w:lineRule="exact"/>
      <w:ind w:left="567" w:hanging="567"/>
      <w:jc w:val="both"/>
    </w:pPr>
    <w:rPr>
      <w:rFonts w:ascii="Arial" w:hAnsi="Arial" w:cs="Arial"/>
      <w:spacing w:val="2"/>
      <w:sz w:val="20"/>
      <w:szCs w:val="20"/>
      <w:lang w:val="de-AT"/>
    </w:rPr>
  </w:style>
  <w:style w:type="character" w:customStyle="1" w:styleId="Styl2Char">
    <w:name w:val="Styl2 Char"/>
    <w:basedOn w:val="Standardnpsmoodstavce"/>
    <w:link w:val="Styl2"/>
    <w:rsid w:val="007D6BCD"/>
    <w:rPr>
      <w:rFonts w:ascii="Arial" w:hAnsi="Arial" w:cs="Arial"/>
      <w:spacing w:val="2"/>
      <w:sz w:val="20"/>
      <w:szCs w:val="20"/>
      <w:lang w:val="de-AT"/>
    </w:rPr>
  </w:style>
  <w:style w:type="paragraph" w:styleId="Zkladntextodsazen3">
    <w:name w:val="Body Text Indent 3"/>
    <w:basedOn w:val="Normln"/>
    <w:link w:val="Zkladntextodsazen3Char"/>
    <w:uiPriority w:val="99"/>
    <w:semiHidden/>
    <w:unhideWhenUsed/>
    <w:rsid w:val="005672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724F"/>
    <w:rPr>
      <w:sz w:val="16"/>
      <w:szCs w:val="16"/>
    </w:rPr>
  </w:style>
  <w:style w:type="paragraph" w:styleId="Textbubliny">
    <w:name w:val="Balloon Text"/>
    <w:basedOn w:val="Normln"/>
    <w:link w:val="TextbublinyChar"/>
    <w:uiPriority w:val="99"/>
    <w:semiHidden/>
    <w:unhideWhenUsed/>
    <w:rsid w:val="008F66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66BB"/>
    <w:rPr>
      <w:rFonts w:ascii="Tahoma" w:hAnsi="Tahoma" w:cs="Tahoma"/>
      <w:sz w:val="16"/>
      <w:szCs w:val="16"/>
    </w:rPr>
  </w:style>
  <w:style w:type="character" w:styleId="Odkaznakoment">
    <w:name w:val="annotation reference"/>
    <w:basedOn w:val="Standardnpsmoodstavce"/>
    <w:uiPriority w:val="99"/>
    <w:semiHidden/>
    <w:unhideWhenUsed/>
    <w:rsid w:val="00044D88"/>
    <w:rPr>
      <w:sz w:val="16"/>
      <w:szCs w:val="16"/>
    </w:rPr>
  </w:style>
  <w:style w:type="paragraph" w:styleId="Textkomente">
    <w:name w:val="annotation text"/>
    <w:basedOn w:val="Normln"/>
    <w:link w:val="TextkomenteChar"/>
    <w:uiPriority w:val="99"/>
    <w:semiHidden/>
    <w:unhideWhenUsed/>
    <w:rsid w:val="00044D88"/>
    <w:pPr>
      <w:spacing w:line="240" w:lineRule="auto"/>
    </w:pPr>
    <w:rPr>
      <w:sz w:val="20"/>
      <w:szCs w:val="20"/>
    </w:rPr>
  </w:style>
  <w:style w:type="character" w:customStyle="1" w:styleId="TextkomenteChar">
    <w:name w:val="Text komentáře Char"/>
    <w:basedOn w:val="Standardnpsmoodstavce"/>
    <w:link w:val="Textkomente"/>
    <w:uiPriority w:val="99"/>
    <w:semiHidden/>
    <w:rsid w:val="00044D88"/>
    <w:rPr>
      <w:sz w:val="20"/>
      <w:szCs w:val="20"/>
    </w:rPr>
  </w:style>
  <w:style w:type="paragraph" w:styleId="Pedmtkomente">
    <w:name w:val="annotation subject"/>
    <w:basedOn w:val="Textkomente"/>
    <w:next w:val="Textkomente"/>
    <w:link w:val="PedmtkomenteChar"/>
    <w:uiPriority w:val="99"/>
    <w:semiHidden/>
    <w:unhideWhenUsed/>
    <w:rsid w:val="00044D88"/>
    <w:rPr>
      <w:b/>
      <w:bCs/>
    </w:rPr>
  </w:style>
  <w:style w:type="character" w:customStyle="1" w:styleId="PedmtkomenteChar">
    <w:name w:val="Předmět komentáře Char"/>
    <w:basedOn w:val="TextkomenteChar"/>
    <w:link w:val="Pedmtkomente"/>
    <w:uiPriority w:val="99"/>
    <w:semiHidden/>
    <w:rsid w:val="00044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2675</Words>
  <Characters>15788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Chobotová Jitka</dc:creator>
  <cp:lastModifiedBy>Lancevská Marina</cp:lastModifiedBy>
  <cp:revision>16</cp:revision>
  <cp:lastPrinted>2022-05-16T13:30:00Z</cp:lastPrinted>
  <dcterms:created xsi:type="dcterms:W3CDTF">2022-05-16T11:11:00Z</dcterms:created>
  <dcterms:modified xsi:type="dcterms:W3CDTF">2022-05-16T14:48:00Z</dcterms:modified>
</cp:coreProperties>
</file>