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CF" w:rsidRDefault="001C01AE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4B07CF" w:rsidRDefault="004B07CF"/>
              </w:txbxContent>
            </v:textbox>
            <w10:wrap anchorx="page" anchory="page"/>
          </v:shape>
        </w:pict>
      </w:r>
      <w:r w:rsidR="00115699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6C4FDA1C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115699">
        <w:rPr>
          <w:rFonts w:ascii="Arial" w:eastAsia="Arial" w:hAnsi="Arial" w:cs="Arial"/>
          <w:spacing w:val="14"/>
          <w:lang w:val="cs-CZ"/>
        </w:rPr>
        <w:t xml:space="preserve"> </w:t>
      </w:r>
      <w:r w:rsidR="0011569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4B07CF" w:rsidRDefault="00115699">
      <w:pPr>
        <w:rPr>
          <w:szCs w:val="22"/>
        </w:rPr>
      </w:pPr>
      <w:r>
        <w:rPr>
          <w:szCs w:val="22"/>
        </w:rPr>
        <w:t xml:space="preserve"> </w:t>
      </w:r>
    </w:p>
    <w:p w:rsidR="004B07CF" w:rsidRDefault="00115699">
      <w:pPr>
        <w:pStyle w:val="NoList1"/>
        <w:tabs>
          <w:tab w:val="center" w:pos="4535"/>
          <w:tab w:val="right" w:pos="9071"/>
        </w:tabs>
        <w:rPr>
          <w:sz w:val="24"/>
          <w:szCs w:val="24"/>
        </w:rPr>
      </w:pPr>
      <w:r>
        <w:rPr>
          <w:rFonts w:eastAsia="Arial" w:cs="Arial"/>
          <w:szCs w:val="22"/>
        </w:rPr>
        <w:t xml:space="preserve"> </w:t>
      </w:r>
      <w:r>
        <w:rPr>
          <w:rFonts w:eastAsia="Arial"/>
          <w:spacing w:val="14"/>
          <w:sz w:val="24"/>
          <w:szCs w:val="24"/>
          <w:lang w:val="cs-CZ"/>
        </w:rPr>
        <w:tab/>
      </w:r>
      <w:r>
        <w:rPr>
          <w:rFonts w:eastAsia="Arial"/>
          <w:noProof/>
          <w:spacing w:val="8"/>
          <w:sz w:val="24"/>
          <w:szCs w:val="24"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type="#" style="position:absolute;margin-left:28.35pt;margin-top:277.85pt;width:14.15pt;height:0pt;z-index:251661312;mso-position-horizontal-relative:page;mso-position-vertical-relative:page;v-text-anchor:top;mso-wrap-distance-left:0pt;mso-wrap-distance-top:0pt;mso-wrap-distance-right:0pt;mso-wrap-distance-bottom:0pt;" filled="f" strokecolor="#000000" strokeweight="0.5pt">
                <v:stroke dashstyle="dash" linestyle="single" joinstyle="miter" endcap="flat" opacity="65536f" color2="#000000" startarrow="none" startarrowwidth="narrow" startarrowlength="short" endarrow="none" endarrowwidth="narrow" endarrowlength="short"/>
                <v:textbox style="">
                  <w:txbxContent/>
                </v:textbox>
              </v:shape>
            </w:pict>
          </mc:Fallback>
        </mc:AlternateContent>
      </w:r>
    </w:p>
    <w:p w:rsidR="004B07CF" w:rsidRDefault="00115699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Cs w:val="22"/>
        </w:rPr>
        <w:t xml:space="preserve">Číslo zápisu: </w:t>
      </w:r>
      <w:bookmarkStart w:id="0" w:name="_GoBack"/>
      <w:r>
        <w:rPr>
          <w:rFonts w:ascii="Times New Roman" w:eastAsia="Times New Roman" w:hAnsi="Times New Roman" w:cs="Times New Roman"/>
          <w:szCs w:val="22"/>
        </w:rPr>
        <w:t>208-2013-12134</w:t>
      </w:r>
      <w:r w:rsidR="004C1C7B">
        <w:rPr>
          <w:rFonts w:ascii="Times New Roman" w:eastAsia="Times New Roman" w:hAnsi="Times New Roman" w:cs="Times New Roman"/>
          <w:szCs w:val="22"/>
        </w:rPr>
        <w:t>/2</w:t>
      </w:r>
    </w:p>
    <w:bookmarkEnd w:id="0"/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 xml:space="preserve">            Čj.</w:t>
      </w:r>
      <w:r>
        <w:t xml:space="preserve"> </w:t>
      </w:r>
      <w:r>
        <w:rPr>
          <w:rFonts w:ascii="Times New Roman" w:eastAsia="Times New Roman" w:hAnsi="Times New Roman" w:cs="Times New Roman"/>
          <w:szCs w:val="22"/>
        </w:rPr>
        <w:t>55VD7440/2017-12131</w:t>
      </w:r>
    </w:p>
    <w:p w:rsidR="004B07CF" w:rsidRDefault="004B07C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Dodatek č. 2</w:t>
      </w:r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 Zápisu o užívání nebytových prostor ze dne 1. 3. 2013, uzavřeného podle zákona č.219/2000 Sb., o majetku České republiky a jejím vystupování v právních vztazích, ve znění pozdějších předpisů a § 14 a násl. vyhlášky Ministerstva financí č.62/2001 Sb., o hospodaření organizačních složek státu a státních organizací s majetkem státu, ve znění pozdějších předpisů</w:t>
      </w:r>
    </w:p>
    <w:p w:rsidR="004B07CF" w:rsidRDefault="0011569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mezi stranami</w:t>
      </w:r>
    </w:p>
    <w:p w:rsidR="004B07CF" w:rsidRDefault="004B07CF">
      <w:pPr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pStyle w:val="Zkladntext"/>
        <w:rPr>
          <w:b/>
          <w:szCs w:val="24"/>
        </w:rPr>
      </w:pPr>
      <w:r>
        <w:rPr>
          <w:b/>
          <w:szCs w:val="24"/>
        </w:rPr>
        <w:t xml:space="preserve">Česká republika - Ministerstvo zemědělství 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>Se sídlem:</w:t>
      </w: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Těšnov</w:t>
      </w:r>
      <w:proofErr w:type="spellEnd"/>
      <w:r>
        <w:rPr>
          <w:szCs w:val="24"/>
        </w:rPr>
        <w:t xml:space="preserve"> 17, 110 00 Praha 1 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 xml:space="preserve">Za kterou jedná:    Mgr. Pavel Brokeš, ředitel odboru vnitřní správy    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>IČ:                         00020478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>DIČ:                      CZ00020478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>Bankovní spojení: Česká národní banka, Praha 1</w:t>
      </w:r>
    </w:p>
    <w:p w:rsidR="004B07CF" w:rsidRDefault="00115699">
      <w:pPr>
        <w:pStyle w:val="Zkladntext"/>
        <w:ind w:left="1701" w:hanging="1701"/>
        <w:rPr>
          <w:szCs w:val="24"/>
        </w:rPr>
      </w:pPr>
      <w:r>
        <w:rPr>
          <w:szCs w:val="24"/>
        </w:rPr>
        <w:t xml:space="preserve">Číslo účtu:             </w:t>
      </w:r>
      <w:proofErr w:type="spellStart"/>
      <w:r w:rsidR="00A83AEC">
        <w:rPr>
          <w:szCs w:val="24"/>
        </w:rPr>
        <w:t>xxxxxxxxxxx</w:t>
      </w:r>
      <w:proofErr w:type="spellEnd"/>
    </w:p>
    <w:p w:rsidR="004B07CF" w:rsidRDefault="004B07CF">
      <w:pPr>
        <w:pStyle w:val="Zkladntext"/>
        <w:ind w:left="1701" w:hanging="1701"/>
        <w:rPr>
          <w:szCs w:val="24"/>
        </w:rPr>
      </w:pPr>
    </w:p>
    <w:p w:rsidR="004B07CF" w:rsidRDefault="00115699">
      <w:pPr>
        <w:ind w:left="1701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Kontaktní osoba:</w:t>
      </w:r>
      <w:r>
        <w:rPr>
          <w:rFonts w:ascii="Times New Roman" w:eastAsia="Times New Roman" w:hAnsi="Times New Roman" w:cs="Times New Roman"/>
          <w:sz w:val="24"/>
        </w:rPr>
        <w:tab/>
        <w:t>Marie Polášková, referent odboru vnitřní správy</w:t>
      </w:r>
    </w:p>
    <w:p w:rsidR="004B07CF" w:rsidRDefault="00115699">
      <w:pPr>
        <w:ind w:left="1701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Protzkarova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1180, 686 01 Uherské Hradiště</w:t>
      </w:r>
    </w:p>
    <w:p w:rsidR="004B07CF" w:rsidRDefault="00115699">
      <w:pPr>
        <w:ind w:left="1701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A83AEC">
        <w:rPr>
          <w:rFonts w:ascii="Times New Roman" w:eastAsia="Times New Roman" w:hAnsi="Times New Roman" w:cs="Times New Roman"/>
          <w:sz w:val="24"/>
        </w:rPr>
        <w:t>xxxxxxxxxx</w:t>
      </w:r>
      <w:proofErr w:type="spellEnd"/>
    </w:p>
    <w:p w:rsidR="004B07CF" w:rsidRDefault="00115699">
      <w:pPr>
        <w:ind w:left="1701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A83AEC">
        <w:rPr>
          <w:rFonts w:ascii="Times New Roman" w:eastAsia="Times New Roman" w:hAnsi="Times New Roman" w:cs="Times New Roman"/>
          <w:sz w:val="24"/>
        </w:rPr>
        <w:t>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B07CF" w:rsidRDefault="00115699">
      <w:pPr>
        <w:pStyle w:val="Zkladntext"/>
        <w:rPr>
          <w:szCs w:val="24"/>
        </w:rPr>
      </w:pPr>
      <w:r>
        <w:rPr>
          <w:szCs w:val="24"/>
        </w:rPr>
        <w:t>(dále jen „</w:t>
      </w:r>
      <w:r>
        <w:rPr>
          <w:b/>
          <w:szCs w:val="24"/>
        </w:rPr>
        <w:t>předávající“</w:t>
      </w:r>
      <w:r>
        <w:rPr>
          <w:szCs w:val="24"/>
        </w:rPr>
        <w:t xml:space="preserve">) </w:t>
      </w:r>
    </w:p>
    <w:p w:rsidR="004B07CF" w:rsidRDefault="004B07CF">
      <w:pPr>
        <w:pStyle w:val="Zkladntext"/>
        <w:rPr>
          <w:szCs w:val="24"/>
        </w:rPr>
      </w:pPr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4B07CF" w:rsidRDefault="004B07CF">
      <w:pPr>
        <w:rPr>
          <w:rFonts w:ascii="Times New Roman" w:eastAsia="Times New Roman" w:hAnsi="Times New Roman" w:cs="Times New Roman"/>
          <w:b/>
          <w:sz w:val="24"/>
        </w:rPr>
      </w:pPr>
    </w:p>
    <w:p w:rsidR="004B07CF" w:rsidRDefault="00115699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Státní pozemkový úřad </w:t>
      </w:r>
    </w:p>
    <w:p w:rsidR="004B07CF" w:rsidRDefault="00115699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sídlem: </w:t>
      </w:r>
      <w:r>
        <w:rPr>
          <w:rFonts w:ascii="Times New Roman" w:eastAsia="Times New Roman" w:hAnsi="Times New Roman" w:cs="Times New Roman"/>
        </w:rPr>
        <w:tab/>
        <w:t xml:space="preserve">      Husinecká 1024/11a, 130 00 Praha 3 - Žižkov</w:t>
      </w:r>
    </w:p>
    <w:p w:rsidR="004B07CF" w:rsidRDefault="00115699">
      <w:pPr>
        <w:pStyle w:val="Default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Zastoupený: Mgr. Pavlem </w:t>
      </w:r>
      <w:proofErr w:type="spellStart"/>
      <w:r>
        <w:rPr>
          <w:rFonts w:ascii="Times New Roman" w:eastAsia="Times New Roman" w:hAnsi="Times New Roman" w:cs="Times New Roman"/>
        </w:rPr>
        <w:t>Škeříkem</w:t>
      </w:r>
      <w:proofErr w:type="spellEnd"/>
      <w:r>
        <w:rPr>
          <w:rFonts w:ascii="Times New Roman" w:eastAsia="Times New Roman" w:hAnsi="Times New Roman" w:cs="Times New Roman"/>
        </w:rPr>
        <w:t>, ředitelem Sekce provozních činností</w:t>
      </w:r>
    </w:p>
    <w:p w:rsidR="004B07CF" w:rsidRDefault="00115699">
      <w:pPr>
        <w:pStyle w:val="Default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                         01312774</w:t>
      </w:r>
    </w:p>
    <w:p w:rsidR="004B07CF" w:rsidRDefault="0011569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Bankovní spojení:  Česká národní banka, Praha 1</w:t>
      </w:r>
    </w:p>
    <w:p w:rsidR="004B07CF" w:rsidRDefault="0011569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Číslo účtu:</w:t>
      </w:r>
      <w:r>
        <w:rPr>
          <w:rFonts w:ascii="Times New Roman" w:eastAsia="Times New Roman" w:hAnsi="Times New Roman" w:cs="Times New Roman"/>
          <w:color w:val="auto"/>
        </w:rPr>
        <w:tab/>
        <w:t xml:space="preserve">      </w:t>
      </w:r>
      <w:proofErr w:type="spellStart"/>
      <w:r w:rsidR="00A83AEC">
        <w:rPr>
          <w:rFonts w:ascii="Times New Roman" w:eastAsia="Times New Roman" w:hAnsi="Times New Roman" w:cs="Times New Roman"/>
          <w:color w:val="auto"/>
        </w:rPr>
        <w:t>xxxxxxxxxx</w:t>
      </w:r>
      <w:proofErr w:type="spellEnd"/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</w:rPr>
        <w:t>„uživatel“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07CF" w:rsidRDefault="004B07CF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Účastníci shora uvedeného Zápisu o bezplatném užívání nebytových prostor ze dne 1. ledna 2013 (dále jen Zápis) se na základě tohoto dodatku dohodli na jeho následující změně:</w:t>
      </w:r>
    </w:p>
    <w:p w:rsidR="004B07CF" w:rsidRDefault="004B07C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pStyle w:val="Zkladntext"/>
        <w:numPr>
          <w:ilvl w:val="0"/>
          <w:numId w:val="31"/>
        </w:numPr>
        <w:ind w:left="426" w:hanging="284"/>
        <w:rPr>
          <w:rFonts w:eastAsia="Arial"/>
          <w:szCs w:val="24"/>
        </w:rPr>
      </w:pPr>
      <w:r>
        <w:rPr>
          <w:rFonts w:eastAsia="Arial"/>
          <w:szCs w:val="24"/>
        </w:rPr>
        <w:t xml:space="preserve">Předávající a uživatel se dohodli na úpravě smlouvy a v důsledku toho se upravuje článek II., odst. 2) a článek. IV., odst. 3) takto: </w:t>
      </w:r>
    </w:p>
    <w:p w:rsidR="004B07CF" w:rsidRDefault="004B07CF">
      <w:pPr>
        <w:pStyle w:val="Zkladntext"/>
        <w:ind w:left="426"/>
        <w:rPr>
          <w:rFonts w:eastAsia="Arial"/>
          <w:szCs w:val="24"/>
        </w:rPr>
      </w:pPr>
    </w:p>
    <w:p w:rsidR="004B07CF" w:rsidRDefault="00115699">
      <w:pPr>
        <w:pStyle w:val="Zkladntext"/>
        <w:ind w:left="426"/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lastRenderedPageBreak/>
        <w:t>Článek II.</w:t>
      </w:r>
    </w:p>
    <w:p w:rsidR="004B07CF" w:rsidRDefault="00115699">
      <w:pPr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Předávající předává uživateli do užívání následující nebytové prostory v Budově o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celkové výměře 280,20 </w:t>
      </w:r>
      <w:r>
        <w:rPr>
          <w:rFonts w:ascii="Times New Roman" w:eastAsia="Times New Roman" w:hAnsi="Times New Roman" w:cs="Times New Roman"/>
          <w:b/>
          <w:sz w:val="24"/>
        </w:rPr>
        <w:t>m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(dále také jen </w:t>
      </w:r>
      <w:r>
        <w:rPr>
          <w:rFonts w:ascii="Times New Roman" w:eastAsia="Times New Roman" w:hAnsi="Times New Roman" w:cs="Times New Roman"/>
          <w:b/>
          <w:sz w:val="24"/>
        </w:rPr>
        <w:t>„předávané prostory“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:rsidR="004B07CF" w:rsidRDefault="004B07CF">
      <w:pPr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225 (pasportizací označena jako 3.17)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16,65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226 (pasportizací označena jako 3.01)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30,40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227 (pasportizací označena jako 3.02)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34,00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230 (pasportizací označena jako 3.04)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16,70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231 (pasportizací označena jako 3.03)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28,30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232 (pasportizací označena jako 3.05)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14,00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234 (pasportizací označena jako 3.07)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17,20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235 (pasportizací označena jako 3.08)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31,35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236 (pasportizací označena jako 3.09)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32,75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239 (pasportizací označena jako 3.10)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14,55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240 (pasportizací označena jako 3.11)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19,70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4B07CF">
      <w:pPr>
        <w:ind w:left="708"/>
        <w:rPr>
          <w:rFonts w:ascii="Times New Roman" w:eastAsia="Times New Roman" w:hAnsi="Times New Roman" w:cs="Times New Roman"/>
          <w:bCs/>
          <w:sz w:val="24"/>
        </w:rPr>
      </w:pPr>
    </w:p>
    <w:p w:rsidR="004B07CF" w:rsidRDefault="00115699">
      <w:pPr>
        <w:pStyle w:val="Odstavecseseznamem1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kancelářské prostory </w:t>
      </w:r>
      <w:r>
        <w:rPr>
          <w:rFonts w:ascii="Times New Roman" w:eastAsia="Times New Roman" w:hAnsi="Times New Roman"/>
          <w:b/>
          <w:sz w:val="24"/>
          <w:szCs w:val="24"/>
        </w:rPr>
        <w:t>o výměře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255,60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 xml:space="preserve">2 </w:t>
      </w:r>
    </w:p>
    <w:p w:rsidR="004B07CF" w:rsidRDefault="004B07CF">
      <w:pPr>
        <w:pStyle w:val="Odstavecseseznamem1"/>
        <w:ind w:left="708"/>
        <w:rPr>
          <w:rFonts w:ascii="Times New Roman" w:eastAsia="Times New Roman" w:hAnsi="Times New Roman"/>
          <w:bCs/>
          <w:sz w:val="24"/>
          <w:szCs w:val="24"/>
        </w:rPr>
      </w:pP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228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- sklad (pasportizací označena jako 3.18)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5,30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229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servrovna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(pasportizací označena jako 3.20)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1,80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</w:rPr>
        <w:t>(započtena 1/3)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237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- sklad (pasportizací označena jako 3.26)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5,15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č. 238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- sklad (pasportizací označena jako 3.25)</w:t>
      </w:r>
      <w:r>
        <w:rPr>
          <w:rFonts w:ascii="Times New Roman" w:eastAsia="Times New Roman" w:hAnsi="Times New Roman"/>
          <w:bCs/>
          <w:sz w:val="24"/>
          <w:szCs w:val="24"/>
        </w:rPr>
        <w:tab/>
        <w:t>o výměře 5,25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115699">
      <w:pPr>
        <w:pStyle w:val="Odstavecseseznamem1"/>
        <w:numPr>
          <w:ilvl w:val="0"/>
          <w:numId w:val="24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místnost před kanceláří č. 240  - spisovna (pasportizací označena jako 3.12)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o výměře 7,10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</w:p>
    <w:p w:rsidR="004B07CF" w:rsidRDefault="004B07CF">
      <w:pPr>
        <w:pStyle w:val="Odstavecseseznamem1"/>
        <w:ind w:left="708"/>
        <w:rPr>
          <w:rFonts w:ascii="Times New Roman" w:eastAsia="Times New Roman" w:hAnsi="Times New Roman"/>
          <w:bCs/>
          <w:sz w:val="24"/>
          <w:szCs w:val="24"/>
        </w:rPr>
      </w:pPr>
    </w:p>
    <w:p w:rsidR="004B07CF" w:rsidRDefault="00115699">
      <w:pPr>
        <w:pStyle w:val="Odstavecseseznamem1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ostatní prostory </w:t>
      </w:r>
      <w:r>
        <w:rPr>
          <w:rFonts w:ascii="Times New Roman" w:eastAsia="Times New Roman" w:hAnsi="Times New Roman"/>
          <w:b/>
          <w:sz w:val="24"/>
          <w:szCs w:val="24"/>
        </w:rPr>
        <w:t>o výměře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24,60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 xml:space="preserve">2 </w:t>
      </w:r>
    </w:p>
    <w:p w:rsidR="004B07CF" w:rsidRDefault="004B07CF">
      <w:pPr>
        <w:pStyle w:val="Odstavecseseznamem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07CF" w:rsidRDefault="004B07CF">
      <w:pPr>
        <w:pStyle w:val="Odstavecseseznamem1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07CF" w:rsidRDefault="00115699">
      <w:pPr>
        <w:pStyle w:val="Odstavecseseznamem2"/>
        <w:spacing w:before="120"/>
        <w:ind w:left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Dále předává předávající přebírajícímu do užívání </w:t>
      </w:r>
      <w:r>
        <w:rPr>
          <w:rFonts w:ascii="Times New Roman" w:eastAsia="Times New Roman" w:hAnsi="Times New Roman" w:cs="Times New Roman"/>
          <w:b/>
          <w:sz w:val="24"/>
        </w:rPr>
        <w:t>tři parkovací místa</w:t>
      </w:r>
      <w:r>
        <w:rPr>
          <w:rFonts w:ascii="Times New Roman" w:eastAsia="Times New Roman" w:hAnsi="Times New Roman" w:cs="Times New Roman"/>
          <w:sz w:val="24"/>
        </w:rPr>
        <w:t xml:space="preserve"> ve dvoře výše uvedené budovy a </w:t>
      </w:r>
      <w:r>
        <w:rPr>
          <w:rFonts w:ascii="Times New Roman" w:eastAsia="Times New Roman" w:hAnsi="Times New Roman" w:cs="Times New Roman"/>
          <w:b/>
          <w:sz w:val="24"/>
        </w:rPr>
        <w:t>jednu výlohu</w:t>
      </w:r>
      <w:r>
        <w:rPr>
          <w:rFonts w:ascii="Times New Roman" w:eastAsia="Times New Roman" w:hAnsi="Times New Roman" w:cs="Times New Roman"/>
          <w:sz w:val="24"/>
        </w:rPr>
        <w:t xml:space="preserve"> budovy z ulice Výpadová, která slouží k umístění úřední desky.</w:t>
      </w:r>
    </w:p>
    <w:p w:rsidR="004B07CF" w:rsidRDefault="004B07CF">
      <w:pPr>
        <w:tabs>
          <w:tab w:val="center" w:pos="4536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07CF" w:rsidRDefault="00115699">
      <w:pPr>
        <w:tabs>
          <w:tab w:val="center" w:pos="4536"/>
        </w:tabs>
        <w:spacing w:before="120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IV.</w:t>
      </w:r>
    </w:p>
    <w:p w:rsidR="004B07CF" w:rsidRDefault="004B07CF">
      <w:pPr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Náklady za energie a služby poskytované uživateli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budou uživatelem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hrazeny měsíčně na základě faktury vystavené předávajícím s náležitostmi daňového dokladu dle zákona č. 563/1991 Sb., o účetnictví, ve znění pozdějších předpisů, ve výši, která bude odpovídat podílu uživatele na </w:t>
      </w:r>
      <w:r>
        <w:rPr>
          <w:rFonts w:ascii="Times New Roman" w:eastAsia="Times New Roman" w:hAnsi="Times New Roman" w:cs="Times New Roman"/>
          <w:color w:val="000000"/>
          <w:sz w:val="24"/>
        </w:rPr>
        <w:t>skutečných nákladech zjištěných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faktur</w:t>
      </w:r>
      <w:r>
        <w:rPr>
          <w:rFonts w:ascii="Times New Roman" w:eastAsia="Times New Roman" w:hAnsi="Times New Roman" w:cs="Times New Roman"/>
          <w:color w:val="FF66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od prvotních dodavatelů. Lhůta splatnosti faktury je 30 kalendářních dnů ode dne jejího doručení uživateli na účet uživatele vedený u ČNB Praha 1, číslo účtu </w:t>
      </w:r>
      <w:r w:rsidR="00A83AEC">
        <w:rPr>
          <w:rFonts w:ascii="Times New Roman" w:eastAsia="Times New Roman" w:hAnsi="Times New Roman" w:cs="Times New Roman"/>
          <w:sz w:val="24"/>
        </w:rPr>
        <w:t>xxxxxxxxxxx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B07CF" w:rsidRDefault="004B07CF">
      <w:pPr>
        <w:ind w:left="-113"/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Ostatní ustanovení shora specifikovaného Zápisu o bezplatném užívání nebytových prostor tímto dodatkem nedotčená zůstávají nadále v platnosti.</w:t>
      </w:r>
    </w:p>
    <w:p w:rsidR="004B07CF" w:rsidRDefault="00115699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Tento dodatek vstupuje v platnost dnem podpisu oběma smluvními stranami a sjednává se s účinností od 1. 4. 2017.</w:t>
      </w:r>
    </w:p>
    <w:p w:rsidR="004B07CF" w:rsidRDefault="00115699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Tento dodatek je vyhotoven ve čtyřech stejnopisech, z nichž každý má platnost originálu. Každá strana obdrží po dvou vyhotoveních.</w:t>
      </w:r>
    </w:p>
    <w:p w:rsidR="004B07CF" w:rsidRDefault="00115699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5) Smluvní strany prohlašují, že se s tímto dodatkem seznámily a na důkaz své svobodné a určité vůle ho níže uvedeného dne, měsíce a roku podepisují.</w:t>
      </w:r>
    </w:p>
    <w:p w:rsidR="004B07CF" w:rsidRDefault="00115699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Uživatel svým podpisem níže potvrzuje, že souhlasí s tím, aby obraz smlouvy včetně jejích příloh a příp. dodatků a </w:t>
      </w:r>
      <w:proofErr w:type="spellStart"/>
      <w:r>
        <w:rPr>
          <w:rFonts w:ascii="Times New Roman" w:eastAsia="Times New Roman" w:hAnsi="Times New Roman" w:cs="Times New Roman"/>
          <w:sz w:val="24"/>
        </w:rPr>
        <w:t>metadata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 této smlouvě byly uveřejněny v registru smluv v souladu se zákonem č. 340/2015 Sb., o zvláštních podmínkách účinnosti některých smluv, uveřejňování těchto smluv a o registru smluv, ve znění pozdějších předpisů.  Smluvní strany se dohodly, že podklady dle předchozí věty odešle za účelem jejich uveřejnění správci registru smluv předávající. Tím není dotčeno právo uživatele k jejich odeslání. </w:t>
      </w:r>
    </w:p>
    <w:p w:rsidR="004B07CF" w:rsidRDefault="004B07CF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Praze dne: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V Praze dne:</w:t>
      </w: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předávajícího: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Za uživatele:</w:t>
      </w: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</w:p>
    <w:p w:rsidR="004B07CF" w:rsidRDefault="00115699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 </w:t>
      </w:r>
    </w:p>
    <w:p w:rsidR="004B07CF" w:rsidRDefault="00115699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ČR – Ministerstvo zemědělství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ČR – Státní pozemkový úřad</w:t>
      </w:r>
    </w:p>
    <w:p w:rsidR="004B07CF" w:rsidRDefault="00115699">
      <w:pPr>
        <w:tabs>
          <w:tab w:val="center" w:pos="4536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Mgr. Pavel Brokeš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Mgr. Pavel </w:t>
      </w:r>
      <w:proofErr w:type="spellStart"/>
      <w:r>
        <w:rPr>
          <w:rFonts w:ascii="Times New Roman" w:eastAsia="Times New Roman" w:hAnsi="Times New Roman" w:cs="Times New Roman"/>
          <w:sz w:val="24"/>
        </w:rPr>
        <w:t>Škeřík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B07CF" w:rsidRDefault="0011569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 Odboru vnitřní správy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ředitel Sekce provozních činností</w:t>
      </w:r>
    </w:p>
    <w:p w:rsidR="004B07CF" w:rsidRDefault="004B07CF">
      <w:pPr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rPr>
          <w:rFonts w:ascii="Times New Roman" w:eastAsia="Times New Roman" w:hAnsi="Times New Roman" w:cs="Times New Roman"/>
          <w:sz w:val="24"/>
        </w:rPr>
      </w:pPr>
    </w:p>
    <w:p w:rsidR="004B07CF" w:rsidRDefault="004B07CF">
      <w:pPr>
        <w:rPr>
          <w:szCs w:val="22"/>
        </w:rPr>
      </w:pPr>
    </w:p>
    <w:sectPr w:rsidR="004B07CF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AE" w:rsidRDefault="001C01AE">
      <w:r>
        <w:separator/>
      </w:r>
    </w:p>
  </w:endnote>
  <w:endnote w:type="continuationSeparator" w:id="0">
    <w:p w:rsidR="001C01AE" w:rsidRDefault="001C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CF" w:rsidRDefault="001C01AE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115699">
      <w:rPr>
        <w:bCs/>
      </w:rPr>
      <w:t>23360/2017-MZE-12131</w:t>
    </w:r>
    <w:r>
      <w:rPr>
        <w:bCs/>
      </w:rPr>
      <w:fldChar w:fldCharType="end"/>
    </w:r>
    <w:r w:rsidR="00115699">
      <w:tab/>
    </w:r>
    <w:r w:rsidR="00115699">
      <w:fldChar w:fldCharType="begin"/>
    </w:r>
    <w:r w:rsidR="00115699">
      <w:instrText>PAGE   \* MERGEFORMAT</w:instrText>
    </w:r>
    <w:r w:rsidR="00115699">
      <w:fldChar w:fldCharType="separate"/>
    </w:r>
    <w:r w:rsidR="004C1C7B">
      <w:rPr>
        <w:noProof/>
      </w:rPr>
      <w:t>3</w:t>
    </w:r>
    <w:r w:rsidR="00115699">
      <w:fldChar w:fldCharType="end"/>
    </w:r>
  </w:p>
  <w:p w:rsidR="004B07CF" w:rsidRDefault="004B07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AE" w:rsidRDefault="001C01AE">
      <w:r>
        <w:separator/>
      </w:r>
    </w:p>
  </w:footnote>
  <w:footnote w:type="continuationSeparator" w:id="0">
    <w:p w:rsidR="001C01AE" w:rsidRDefault="001C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CF" w:rsidRDefault="001C01A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bf0bfe5-b658-4e8b-863b-64b5b62eec5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CF" w:rsidRDefault="001C01A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9ede67f-b4b3-4c1e-913b-c4053377c836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CF" w:rsidRDefault="001C01A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ebed98c-11cf-4f5f-a9d8-88cc3ae547c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E78"/>
    <w:multiLevelType w:val="multilevel"/>
    <w:tmpl w:val="88884B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1321681"/>
    <w:multiLevelType w:val="multilevel"/>
    <w:tmpl w:val="F87A01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13E43E2"/>
    <w:multiLevelType w:val="multilevel"/>
    <w:tmpl w:val="EC3092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21F1952"/>
    <w:multiLevelType w:val="multilevel"/>
    <w:tmpl w:val="1C6A77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E5C10B2"/>
    <w:multiLevelType w:val="multilevel"/>
    <w:tmpl w:val="451A61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0AF4A1D"/>
    <w:multiLevelType w:val="multilevel"/>
    <w:tmpl w:val="0DC8FC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0BA6170"/>
    <w:multiLevelType w:val="multilevel"/>
    <w:tmpl w:val="9D3A50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B1350CB"/>
    <w:multiLevelType w:val="multilevel"/>
    <w:tmpl w:val="807EC1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C022882"/>
    <w:multiLevelType w:val="multilevel"/>
    <w:tmpl w:val="9E464D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97BB2"/>
    <w:multiLevelType w:val="multilevel"/>
    <w:tmpl w:val="40660A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9136DBD"/>
    <w:multiLevelType w:val="multilevel"/>
    <w:tmpl w:val="569C0088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 w:cs="Wingdings" w:hint="default"/>
      </w:rPr>
    </w:lvl>
  </w:abstractNum>
  <w:abstractNum w:abstractNumId="11">
    <w:nsid w:val="291C5775"/>
    <w:multiLevelType w:val="multilevel"/>
    <w:tmpl w:val="ECDEBF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A7E645A"/>
    <w:multiLevelType w:val="multilevel"/>
    <w:tmpl w:val="48FC72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D2233B4"/>
    <w:multiLevelType w:val="multilevel"/>
    <w:tmpl w:val="7568AA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4B825B0"/>
    <w:multiLevelType w:val="multilevel"/>
    <w:tmpl w:val="1A14D7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60E6A95"/>
    <w:multiLevelType w:val="multilevel"/>
    <w:tmpl w:val="38CEB1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6616FA5"/>
    <w:multiLevelType w:val="multilevel"/>
    <w:tmpl w:val="946C9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57C5AB6"/>
    <w:multiLevelType w:val="multilevel"/>
    <w:tmpl w:val="74764C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C977805"/>
    <w:multiLevelType w:val="multilevel"/>
    <w:tmpl w:val="502E5F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0D12B49"/>
    <w:multiLevelType w:val="multilevel"/>
    <w:tmpl w:val="BBA8CF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5851578"/>
    <w:multiLevelType w:val="multilevel"/>
    <w:tmpl w:val="9A46F7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9D05696"/>
    <w:multiLevelType w:val="multilevel"/>
    <w:tmpl w:val="0A6AE3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ABE6CAF"/>
    <w:multiLevelType w:val="multilevel"/>
    <w:tmpl w:val="7084D1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04B5B64"/>
    <w:multiLevelType w:val="multilevel"/>
    <w:tmpl w:val="C46C12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91C2788"/>
    <w:multiLevelType w:val="multilevel"/>
    <w:tmpl w:val="7CAA29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6A934781"/>
    <w:multiLevelType w:val="multilevel"/>
    <w:tmpl w:val="D23492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ED357A8"/>
    <w:multiLevelType w:val="multilevel"/>
    <w:tmpl w:val="1400BD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F764D6C"/>
    <w:multiLevelType w:val="multilevel"/>
    <w:tmpl w:val="BAD886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73F83010"/>
    <w:multiLevelType w:val="multilevel"/>
    <w:tmpl w:val="21B0D7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9881BE6"/>
    <w:multiLevelType w:val="multilevel"/>
    <w:tmpl w:val="EBD867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24"/>
  </w:num>
  <w:num w:numId="5">
    <w:abstractNumId w:val="23"/>
  </w:num>
  <w:num w:numId="6">
    <w:abstractNumId w:val="26"/>
  </w:num>
  <w:num w:numId="7">
    <w:abstractNumId w:val="17"/>
  </w:num>
  <w:num w:numId="8">
    <w:abstractNumId w:val="18"/>
  </w:num>
  <w:num w:numId="9">
    <w:abstractNumId w:val="5"/>
  </w:num>
  <w:num w:numId="10">
    <w:abstractNumId w:val="21"/>
  </w:num>
  <w:num w:numId="11">
    <w:abstractNumId w:val="19"/>
  </w:num>
  <w:num w:numId="12">
    <w:abstractNumId w:val="27"/>
  </w:num>
  <w:num w:numId="13">
    <w:abstractNumId w:val="22"/>
  </w:num>
  <w:num w:numId="14">
    <w:abstractNumId w:val="4"/>
  </w:num>
  <w:num w:numId="15">
    <w:abstractNumId w:val="0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5"/>
  </w:num>
  <w:num w:numId="21">
    <w:abstractNumId w:val="16"/>
  </w:num>
  <w:num w:numId="22">
    <w:abstractNumId w:val="9"/>
  </w:num>
  <w:num w:numId="23">
    <w:abstractNumId w:val="29"/>
  </w:num>
  <w:num w:numId="24">
    <w:abstractNumId w:val="10"/>
  </w:num>
  <w:num w:numId="25">
    <w:abstractNumId w:val="20"/>
  </w:num>
  <w:num w:numId="26">
    <w:abstractNumId w:val="1"/>
  </w:num>
  <w:num w:numId="27">
    <w:abstractNumId w:val="3"/>
  </w:num>
  <w:num w:numId="28">
    <w:abstractNumId w:val="11"/>
  </w:num>
  <w:num w:numId="29">
    <w:abstractNumId w:val="8"/>
  </w:num>
  <w:num w:numId="30">
    <w:abstractNumId w:val="12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996312423360/2017-MZE-12131"/>
    <w:docVar w:name="dms_cj" w:val="23360/2017-MZE-12131"/>
    <w:docVar w:name="dms_datum" w:val="19. 4. 2017"/>
    <w:docVar w:name="dms_datum_textem" w:val="19. dubna 2017"/>
    <w:docVar w:name="dms_datum_vzniku" w:val="10. 4. 2017 14:07:32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5VD7440/2017-12131"/>
    <w:docVar w:name="dms_spravce_jmeno" w:val="Marie Polášková"/>
    <w:docVar w:name="dms_spravce_mail" w:val="Marie.Polaskova@mze.cz"/>
    <w:docVar w:name="dms_spravce_telefon" w:val="725004220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2  zápisu o užívání nebytoých prostor SPÚ U. Hradiště"/>
    <w:docVar w:name="dms_VNVSpravce" w:val=" "/>
    <w:docVar w:name="dms_zpracoval_jmeno" w:val="Marie Polášková"/>
    <w:docVar w:name="dms_zpracoval_mail" w:val="Marie.Polaskova@mze.cz"/>
    <w:docVar w:name="dms_zpracoval_telefon" w:val="725004220"/>
  </w:docVars>
  <w:rsids>
    <w:rsidRoot w:val="004B07CF"/>
    <w:rsid w:val="00115699"/>
    <w:rsid w:val="001C01AE"/>
    <w:rsid w:val="004B07CF"/>
    <w:rsid w:val="004C1C7B"/>
    <w:rsid w:val="00A83AEC"/>
    <w:rsid w:val="00C46A39"/>
    <w:rsid w:val="00E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</w:p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eastAsia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</w:p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eastAsia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2017-04-25T09:24:00Z</dcterms:created>
  <dcterms:modified xsi:type="dcterms:W3CDTF">2017-04-25T09:24:00Z</dcterms:modified>
</cp:coreProperties>
</file>