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1C34" w14:textId="5BD16BE7" w:rsidR="006C3177" w:rsidRDefault="001059FC">
      <w:pPr>
        <w:spacing w:line="278" w:lineRule="auto"/>
        <w:ind w:left="2808"/>
        <w:rPr>
          <w:rFonts w:ascii="Times New Roman" w:hAnsi="Times New Roman"/>
          <w:b/>
          <w:color w:val="000000"/>
          <w:spacing w:val="-6"/>
          <w:sz w:val="3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16597FC" wp14:editId="505B5B7B">
                <wp:simplePos x="0" y="0"/>
                <wp:positionH relativeFrom="column">
                  <wp:posOffset>0</wp:posOffset>
                </wp:positionH>
                <wp:positionV relativeFrom="paragraph">
                  <wp:posOffset>8574405</wp:posOffset>
                </wp:positionV>
                <wp:extent cx="5715000" cy="117475"/>
                <wp:effectExtent l="1905" t="0" r="0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5F509" w14:textId="77777777" w:rsidR="006C3177" w:rsidRDefault="001059FC">
                            <w:pPr>
                              <w:spacing w:line="182" w:lineRule="auto"/>
                              <w:ind w:left="144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97F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5.15pt;width:450pt;height:9.2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uJ1gEAAJEDAAAOAAAAZHJzL2Uyb0RvYy54bWysU9uO0zAQfUfiHyy/0yQrSlHUdLXsahHS&#10;AistfMDEsZuIxGPGbpPy9YydpsvlDfFiTWbsM+ecmWyvp6EXR02+Q1vJYpVLoa3CprP7Sn79cv/q&#10;rRQ+gG2gR6sredJeXu9evtiOrtRX2GLfaBIMYn05ukq2Ibgyy7xq9QB+hU5bLhqkAQJ/0j5rCEZG&#10;H/rsKs/fZCNS4wiV9p6zd3NR7hK+MVqFz8Z4HURfSeYW0knprOOZ7bZQ7glc26kzDfgHFgN0lpte&#10;oO4ggDhQ9xfU0ClCjyasFA4ZGtMpnTSwmiL/Q81TC04nLWyOdxeb/P+DVZ+OT+6RRJje4cQDTCK8&#10;e0D1zQuLty3Yvb4hwrHV0HDjIlqWjc6X56fRal/6CFKPH7HhIcMhYAKaDA3RFdYpGJ0HcLqYrqcg&#10;FCfXm2Kd51xSXCuKzevNOrWAcnntyIf3GgcRg0oSDzWhw/HBh8gGyuVKbGbxvuv7NNje/pbgizGT&#10;2EfCM/Uw1RPfjipqbE6sg3DeE95rDlqkH1KMvCOV9N8PQFqK/oNlL+JCLQEtQb0EYBU/rWSQYg5v&#10;w7x4B0fdvmXk2W2LN+yX6ZKUZxZnnjz3pPC8o3Gxfv1Ot57/pN1PAAAA//8DAFBLAwQUAAYACAAA&#10;ACEAf6PEAt4AAAAKAQAADwAAAGRycy9kb3ducmV2LnhtbEyPwU7DMBBE70j8g7WVuFG7VERpiFNV&#10;CE5IiDQcODrJNrEar0PstuHv2Z7guG9GszP5dnaDOOMUrCcNq6UCgdT41lKn4bN6vU9BhGioNYMn&#10;1PCDAbbF7U1ustZfqMTzPnaCQyhkRkMf45hJGZoenQlLPyKxdvCTM5HPqZPtZC4c7gb5oFQinbHE&#10;H3oz4nOPzXF/chp2X1S+2O/3+qM8lLaqNorekqPWd4t59wQi4hz/zHCtz9Wh4E61P1EbxKCBh0Sm&#10;60e1BsH6RilG9RUlaQqyyOX/CcUvAAAA//8DAFBLAQItABQABgAIAAAAIQC2gziS/gAAAOEBAAAT&#10;AAAAAAAAAAAAAAAAAAAAAABbQ29udGVudF9UeXBlc10ueG1sUEsBAi0AFAAGAAgAAAAhADj9If/W&#10;AAAAlAEAAAsAAAAAAAAAAAAAAAAALwEAAF9yZWxzLy5yZWxzUEsBAi0AFAAGAAgAAAAhAAwzu4nW&#10;AQAAkQMAAA4AAAAAAAAAAAAAAAAALgIAAGRycy9lMm9Eb2MueG1sUEsBAi0AFAAGAAgAAAAhAH+j&#10;xALeAAAACgEAAA8AAAAAAAAAAAAAAAAAMAQAAGRycy9kb3ducmV2LnhtbFBLBQYAAAAABAAEAPMA&#10;AAA7BQAAAAA=&#10;" filled="f" stroked="f">
                <v:textbox inset="0,0,0,0">
                  <w:txbxContent>
                    <w:p w14:paraId="78A5F509" w14:textId="77777777" w:rsidR="006C3177" w:rsidRDefault="001059FC">
                      <w:pPr>
                        <w:spacing w:line="182" w:lineRule="auto"/>
                        <w:ind w:left="144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6"/>
          <w:sz w:val="31"/>
          <w:lang w:val="cs-CZ"/>
        </w:rPr>
        <w:t>PODNÁJEMNÍ SMLOUVA</w:t>
      </w:r>
    </w:p>
    <w:p w14:paraId="5D32E795" w14:textId="77777777" w:rsidR="006C3177" w:rsidRDefault="001059FC">
      <w:pPr>
        <w:spacing w:before="576" w:line="199" w:lineRule="auto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mezi</w:t>
      </w:r>
    </w:p>
    <w:p w14:paraId="04EB202A" w14:textId="77777777" w:rsidR="006C3177" w:rsidRDefault="001059FC">
      <w:pPr>
        <w:spacing w:before="324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>Mgr. Jiří Havlík</w:t>
      </w:r>
    </w:p>
    <w:p w14:paraId="4B3DA75A" w14:textId="77777777" w:rsidR="006C3177" w:rsidRDefault="001059FC">
      <w:pPr>
        <w:spacing w:before="36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Provozování autoškoly</w:t>
      </w:r>
    </w:p>
    <w:p w14:paraId="1749F519" w14:textId="77777777" w:rsidR="006C3177" w:rsidRDefault="001059FC">
      <w:pPr>
        <w:spacing w:line="276" w:lineRule="auto"/>
        <w:ind w:right="5472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Sídlem: Ondříčkova 941/6, Liberec 1 </w:t>
      </w:r>
      <w:r>
        <w:rPr>
          <w:rFonts w:ascii="Verdana" w:hAnsi="Verdana"/>
          <w:color w:val="000000"/>
          <w:spacing w:val="-10"/>
          <w:sz w:val="20"/>
          <w:lang w:val="cs-CZ"/>
        </w:rPr>
        <w:t>IČO: 75588714</w:t>
      </w:r>
    </w:p>
    <w:p w14:paraId="0B4C8BEA" w14:textId="77777777" w:rsidR="006C3177" w:rsidRDefault="001059FC">
      <w:pPr>
        <w:spacing w:before="72" w:line="288" w:lineRule="auto"/>
        <w:ind w:right="5256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Bankovní spojení: Komerční banka a.s. </w:t>
      </w:r>
      <w:r>
        <w:rPr>
          <w:rFonts w:ascii="Verdana" w:hAnsi="Verdana"/>
          <w:color w:val="000000"/>
          <w:spacing w:val="-6"/>
          <w:sz w:val="20"/>
          <w:lang w:val="cs-CZ"/>
        </w:rPr>
        <w:t>Č. účtu: 107-805320247/0100</w:t>
      </w:r>
    </w:p>
    <w:p w14:paraId="12A03C98" w14:textId="77777777" w:rsidR="006C3177" w:rsidRDefault="001059FC">
      <w:pPr>
        <w:rPr>
          <w:rFonts w:ascii="Verdana" w:hAnsi="Verdana"/>
          <w:color w:val="000000"/>
          <w:spacing w:val="-4"/>
          <w:sz w:val="20"/>
          <w:lang w:val="cs-CZ"/>
        </w:rPr>
      </w:pPr>
      <w:hyperlink r:id="rId5">
        <w:r>
          <w:rPr>
            <w:rFonts w:ascii="Verdana" w:hAnsi="Verdana"/>
            <w:color w:val="0000FF"/>
            <w:spacing w:val="-4"/>
            <w:sz w:val="20"/>
            <w:u w:val="single"/>
            <w:lang w:val="cs-CZ"/>
          </w:rPr>
          <w:t>e-mail: Info@autoskolahavlik.cz</w:t>
        </w:r>
      </w:hyperlink>
    </w:p>
    <w:p w14:paraId="349BDBF9" w14:textId="77777777" w:rsidR="001059FC" w:rsidRDefault="001059FC" w:rsidP="001059FC">
      <w:pPr>
        <w:spacing w:before="360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dále jen „podnájemce" - není plátce DPH</w:t>
      </w:r>
    </w:p>
    <w:p w14:paraId="6BB2074A" w14:textId="782EC080" w:rsidR="006C3177" w:rsidRPr="001059FC" w:rsidRDefault="001059FC" w:rsidP="001059FC">
      <w:pPr>
        <w:spacing w:before="360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a</w:t>
      </w:r>
    </w:p>
    <w:p w14:paraId="102C70BA" w14:textId="77777777" w:rsidR="007E2B6C" w:rsidRDefault="007E2B6C" w:rsidP="007E2B6C"/>
    <w:p w14:paraId="25DCF4B8" w14:textId="73188ED5" w:rsidR="007E2B6C" w:rsidRPr="001059FC" w:rsidRDefault="007E2B6C" w:rsidP="007E2B6C">
      <w:pPr>
        <w:rPr>
          <w:rFonts w:ascii="Verdana" w:hAnsi="Verdana"/>
          <w:sz w:val="20"/>
          <w:szCs w:val="20"/>
        </w:rPr>
      </w:pPr>
      <w:r w:rsidRPr="001059FC">
        <w:rPr>
          <w:rFonts w:ascii="Verdana" w:hAnsi="Verdana"/>
          <w:sz w:val="20"/>
          <w:szCs w:val="20"/>
        </w:rPr>
        <w:t xml:space="preserve">Střední škola a Mateřská škola, Liberec, Na Bojišti 15, příspěvková organizace </w:t>
      </w:r>
    </w:p>
    <w:p w14:paraId="2C9181AC" w14:textId="73F934F6" w:rsidR="007E2B6C" w:rsidRPr="001059FC" w:rsidRDefault="007E2B6C" w:rsidP="007E2B6C">
      <w:pPr>
        <w:rPr>
          <w:rFonts w:ascii="Verdana" w:hAnsi="Verdana"/>
          <w:sz w:val="20"/>
          <w:szCs w:val="20"/>
        </w:rPr>
      </w:pPr>
      <w:r w:rsidRPr="001059FC">
        <w:rPr>
          <w:rFonts w:ascii="Verdana" w:hAnsi="Verdana"/>
          <w:sz w:val="20"/>
          <w:szCs w:val="20"/>
        </w:rPr>
        <w:t xml:space="preserve">Se sídlem: </w:t>
      </w:r>
      <w:r w:rsidR="001059FC" w:rsidRPr="001059FC">
        <w:rPr>
          <w:rFonts w:ascii="Verdana" w:hAnsi="Verdana"/>
          <w:sz w:val="20"/>
          <w:szCs w:val="20"/>
        </w:rPr>
        <w:tab/>
      </w:r>
      <w:r w:rsidR="001059FC">
        <w:rPr>
          <w:rFonts w:ascii="Verdana" w:hAnsi="Verdana"/>
          <w:sz w:val="20"/>
          <w:szCs w:val="20"/>
        </w:rPr>
        <w:t xml:space="preserve">    </w:t>
      </w:r>
      <w:r w:rsidRPr="001059FC">
        <w:rPr>
          <w:rFonts w:ascii="Verdana" w:hAnsi="Verdana"/>
          <w:sz w:val="20"/>
          <w:szCs w:val="20"/>
        </w:rPr>
        <w:t xml:space="preserve">Na Bojišti 15, 460 10 Liberec </w:t>
      </w:r>
      <w:r w:rsidR="001059FC" w:rsidRPr="001059FC">
        <w:rPr>
          <w:rFonts w:ascii="Verdana" w:hAnsi="Verdana"/>
          <w:sz w:val="20"/>
          <w:szCs w:val="20"/>
        </w:rPr>
        <w:t>3</w:t>
      </w:r>
    </w:p>
    <w:p w14:paraId="3E4D76C2" w14:textId="18ADF781" w:rsidR="001059FC" w:rsidRPr="001059FC" w:rsidRDefault="001059FC" w:rsidP="001059FC">
      <w:pPr>
        <w:rPr>
          <w:rFonts w:ascii="Verdana" w:hAnsi="Verdana"/>
          <w:sz w:val="20"/>
          <w:szCs w:val="20"/>
        </w:rPr>
      </w:pPr>
      <w:r w:rsidRPr="001059FC">
        <w:rPr>
          <w:rFonts w:ascii="Verdana" w:hAnsi="Verdana"/>
          <w:sz w:val="20"/>
          <w:szCs w:val="20"/>
        </w:rPr>
        <w:t xml:space="preserve">Zastoupená:  </w:t>
      </w:r>
      <w:r>
        <w:rPr>
          <w:rFonts w:ascii="Verdana" w:hAnsi="Verdana"/>
          <w:sz w:val="20"/>
          <w:szCs w:val="20"/>
        </w:rPr>
        <w:t xml:space="preserve">    </w:t>
      </w:r>
      <w:r w:rsidRPr="001059FC">
        <w:rPr>
          <w:rFonts w:ascii="Verdana" w:hAnsi="Verdana"/>
          <w:sz w:val="20"/>
          <w:szCs w:val="20"/>
        </w:rPr>
        <w:t>Ing. Zdeňkem Krabsem</w:t>
      </w:r>
      <w:r w:rsidRPr="001059FC">
        <w:rPr>
          <w:rFonts w:ascii="Verdana" w:hAnsi="Verdana"/>
          <w:sz w:val="20"/>
          <w:szCs w:val="20"/>
        </w:rPr>
        <w:t>, Ph.D.</w:t>
      </w:r>
    </w:p>
    <w:p w14:paraId="3CD1D64E" w14:textId="7615C189" w:rsidR="001059FC" w:rsidRPr="001059FC" w:rsidRDefault="001059FC" w:rsidP="001059FC">
      <w:pPr>
        <w:rPr>
          <w:rFonts w:ascii="Verdana" w:hAnsi="Verdana"/>
          <w:sz w:val="20"/>
          <w:szCs w:val="20"/>
        </w:rPr>
      </w:pPr>
      <w:r w:rsidRPr="001059FC">
        <w:rPr>
          <w:rFonts w:ascii="Verdana" w:hAnsi="Verdana"/>
          <w:sz w:val="20"/>
          <w:szCs w:val="20"/>
        </w:rPr>
        <w:t xml:space="preserve">IČ: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1059FC">
        <w:rPr>
          <w:rFonts w:ascii="Verdana" w:hAnsi="Verdana"/>
          <w:sz w:val="20"/>
          <w:szCs w:val="20"/>
        </w:rPr>
        <w:t>00</w:t>
      </w:r>
      <w:r w:rsidRPr="001059FC">
        <w:rPr>
          <w:rFonts w:ascii="Verdana" w:hAnsi="Verdana"/>
          <w:sz w:val="20"/>
          <w:szCs w:val="20"/>
        </w:rPr>
        <w:t xml:space="preserve">671274 </w:t>
      </w:r>
    </w:p>
    <w:p w14:paraId="3CA35438" w14:textId="4294444A" w:rsidR="001059FC" w:rsidRPr="001059FC" w:rsidRDefault="001059FC" w:rsidP="001059FC">
      <w:pPr>
        <w:spacing w:before="72" w:line="288" w:lineRule="auto"/>
        <w:ind w:right="5256"/>
        <w:rPr>
          <w:rFonts w:ascii="Verdana" w:hAnsi="Verdana"/>
          <w:color w:val="000000"/>
          <w:spacing w:val="-7"/>
          <w:sz w:val="20"/>
          <w:szCs w:val="20"/>
          <w:lang w:val="cs-CZ"/>
        </w:rPr>
      </w:pPr>
      <w:r w:rsidRPr="001059FC">
        <w:rPr>
          <w:rFonts w:ascii="Verdana" w:hAnsi="Verdana"/>
          <w:color w:val="000000"/>
          <w:spacing w:val="-7"/>
          <w:sz w:val="20"/>
          <w:szCs w:val="20"/>
          <w:lang w:val="cs-CZ"/>
        </w:rPr>
        <w:t xml:space="preserve">Bankovní spojení: Komerční banka a.s. </w:t>
      </w:r>
      <w:r w:rsidRPr="001059FC">
        <w:rPr>
          <w:rFonts w:ascii="Verdana" w:hAnsi="Verdana"/>
          <w:color w:val="000000"/>
          <w:spacing w:val="-6"/>
          <w:sz w:val="20"/>
          <w:szCs w:val="20"/>
          <w:lang w:val="cs-CZ"/>
        </w:rPr>
        <w:t xml:space="preserve">Č. účtu: </w:t>
      </w:r>
      <w:r>
        <w:rPr>
          <w:rFonts w:ascii="Verdana" w:hAnsi="Verdana"/>
          <w:color w:val="000000"/>
          <w:spacing w:val="-6"/>
          <w:sz w:val="20"/>
          <w:szCs w:val="20"/>
          <w:lang w:val="cs-CZ"/>
        </w:rPr>
        <w:t xml:space="preserve">             </w:t>
      </w:r>
      <w:r w:rsidRPr="001059FC">
        <w:rPr>
          <w:rFonts w:ascii="Verdana" w:hAnsi="Verdana"/>
          <w:color w:val="000000"/>
          <w:spacing w:val="-6"/>
          <w:sz w:val="20"/>
          <w:szCs w:val="20"/>
          <w:lang w:val="cs-CZ"/>
        </w:rPr>
        <w:t>30838461</w:t>
      </w:r>
      <w:r w:rsidRPr="001059FC">
        <w:rPr>
          <w:rFonts w:ascii="Verdana" w:hAnsi="Verdana"/>
          <w:color w:val="000000"/>
          <w:spacing w:val="-6"/>
          <w:sz w:val="20"/>
          <w:szCs w:val="20"/>
          <w:lang w:val="cs-CZ"/>
        </w:rPr>
        <w:t>/01</w:t>
      </w:r>
      <w:r w:rsidRPr="001059FC">
        <w:rPr>
          <w:rFonts w:ascii="Verdana" w:hAnsi="Verdana"/>
          <w:color w:val="000000"/>
          <w:spacing w:val="-6"/>
          <w:sz w:val="20"/>
          <w:szCs w:val="20"/>
          <w:lang w:val="cs-CZ"/>
        </w:rPr>
        <w:t>00</w:t>
      </w:r>
    </w:p>
    <w:p w14:paraId="31D266D8" w14:textId="77777777" w:rsidR="001059FC" w:rsidRDefault="001059FC" w:rsidP="007E2B6C"/>
    <w:p w14:paraId="596038BC" w14:textId="77777777" w:rsidR="007E2B6C" w:rsidRDefault="007E2B6C" w:rsidP="007E2B6C"/>
    <w:p w14:paraId="27CE9A5F" w14:textId="652862B9" w:rsidR="006C3177" w:rsidRPr="007E2B6C" w:rsidRDefault="007E2B6C" w:rsidP="007E2B6C">
      <w:pPr>
        <w:ind w:left="3540" w:firstLine="708"/>
      </w:pPr>
      <w:r>
        <w:rPr>
          <w:rFonts w:ascii="Verdana" w:hAnsi="Verdana"/>
          <w:color w:val="000000"/>
          <w:sz w:val="20"/>
          <w:lang w:val="cs-CZ"/>
        </w:rPr>
        <w:t>o</w:t>
      </w:r>
    </w:p>
    <w:p w14:paraId="3C04E4FC" w14:textId="77777777" w:rsidR="006C3177" w:rsidRDefault="001059FC">
      <w:pPr>
        <w:spacing w:before="288"/>
        <w:ind w:left="2592"/>
        <w:rPr>
          <w:rFonts w:ascii="Times New Roman" w:hAnsi="Times New Roman"/>
          <w:b/>
          <w:color w:val="000000"/>
          <w:spacing w:val="12"/>
          <w:sz w:val="31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31"/>
          <w:lang w:val="cs-CZ"/>
        </w:rPr>
        <w:t>podnájmu venkovní plochy</w:t>
      </w:r>
    </w:p>
    <w:p w14:paraId="22D17369" w14:textId="77777777" w:rsidR="006C3177" w:rsidRDefault="001059FC">
      <w:pPr>
        <w:spacing w:before="1188"/>
        <w:ind w:left="3456"/>
        <w:rPr>
          <w:rFonts w:ascii="Tahoma" w:hAnsi="Tahoma"/>
          <w:b/>
          <w:color w:val="000000"/>
          <w:sz w:val="23"/>
          <w:lang w:val="cs-CZ"/>
        </w:rPr>
      </w:pPr>
      <w:r>
        <w:rPr>
          <w:rFonts w:ascii="Tahoma" w:hAnsi="Tahoma"/>
          <w:b/>
          <w:color w:val="000000"/>
          <w:sz w:val="23"/>
          <w:lang w:val="cs-CZ"/>
        </w:rPr>
        <w:t>Předmět podnájmu</w:t>
      </w:r>
    </w:p>
    <w:p w14:paraId="58455125" w14:textId="77777777" w:rsidR="006C3177" w:rsidRDefault="001059FC">
      <w:pPr>
        <w:spacing w:before="288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1) Předmětem podnájmu je :</w:t>
      </w:r>
    </w:p>
    <w:p w14:paraId="7646D5A6" w14:textId="77777777" w:rsidR="006C3177" w:rsidRDefault="001059FC">
      <w:pPr>
        <w:spacing w:before="252" w:line="297" w:lineRule="auto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A) venkovní plocha na pozemku p.č.297/1 a </w:t>
      </w:r>
      <w:r>
        <w:rPr>
          <w:rFonts w:ascii="Tahoma" w:hAnsi="Tahoma"/>
          <w:color w:val="000000"/>
          <w:spacing w:val="-3"/>
          <w:sz w:val="21"/>
          <w:lang w:val="cs-CZ"/>
        </w:rPr>
        <w:t xml:space="preserve">298/1 o </w:t>
      </w:r>
      <w:r>
        <w:rPr>
          <w:rFonts w:ascii="Verdana" w:hAnsi="Verdana"/>
          <w:color w:val="000000"/>
          <w:spacing w:val="-3"/>
          <w:sz w:val="20"/>
          <w:lang w:val="cs-CZ"/>
        </w:rPr>
        <w:t>celkové ploše 10.977 m</w:t>
      </w:r>
      <w:r>
        <w:rPr>
          <w:rFonts w:ascii="Tahoma" w:hAnsi="Tahoma"/>
          <w:color w:val="000000"/>
          <w:spacing w:val="-3"/>
          <w:sz w:val="20"/>
          <w:vertAlign w:val="superscript"/>
          <w:lang w:val="cs-CZ"/>
        </w:rPr>
        <w:t>2</w:t>
      </w:r>
    </w:p>
    <w:p w14:paraId="167F4003" w14:textId="77777777" w:rsidR="006C3177" w:rsidRDefault="001059FC">
      <w:pPr>
        <w:spacing w:before="252" w:line="280" w:lineRule="auto"/>
        <w:ind w:left="144"/>
        <w:jc w:val="center"/>
        <w:rPr>
          <w:rFonts w:ascii="Arial" w:hAnsi="Arial"/>
          <w:color w:val="000000"/>
          <w:spacing w:val="-32"/>
          <w:w w:val="165"/>
          <w:sz w:val="28"/>
          <w:lang w:val="cs-CZ"/>
        </w:rPr>
      </w:pPr>
      <w:r>
        <w:rPr>
          <w:rFonts w:ascii="Arial" w:hAnsi="Arial"/>
          <w:color w:val="000000"/>
          <w:spacing w:val="-32"/>
          <w:w w:val="165"/>
          <w:sz w:val="28"/>
          <w:lang w:val="cs-CZ"/>
        </w:rPr>
        <w:t xml:space="preserve">II. </w:t>
      </w:r>
      <w:r>
        <w:rPr>
          <w:rFonts w:ascii="Arial" w:hAnsi="Arial"/>
          <w:color w:val="000000"/>
          <w:spacing w:val="-32"/>
          <w:w w:val="165"/>
          <w:sz w:val="28"/>
          <w:lang w:val="cs-CZ"/>
        </w:rPr>
        <w:br/>
      </w:r>
      <w:r>
        <w:rPr>
          <w:rFonts w:ascii="Times New Roman" w:hAnsi="Times New Roman"/>
          <w:b/>
          <w:color w:val="000000"/>
          <w:sz w:val="31"/>
          <w:lang w:val="cs-CZ"/>
        </w:rPr>
        <w:t>Účel podnájmu</w:t>
      </w:r>
    </w:p>
    <w:p w14:paraId="2AC76C90" w14:textId="77777777" w:rsidR="006C3177" w:rsidRDefault="001059FC">
      <w:pPr>
        <w:spacing w:line="280" w:lineRule="auto"/>
        <w:ind w:left="288" w:hanging="288"/>
        <w:rPr>
          <w:rFonts w:ascii="Tahoma" w:hAnsi="Tahoma"/>
          <w:color w:val="000000"/>
          <w:spacing w:val="-3"/>
          <w:sz w:val="21"/>
          <w:lang w:val="cs-CZ"/>
        </w:rPr>
      </w:pPr>
      <w:r>
        <w:rPr>
          <w:rFonts w:ascii="Tahoma" w:hAnsi="Tahoma"/>
          <w:color w:val="000000"/>
          <w:spacing w:val="-3"/>
          <w:sz w:val="21"/>
          <w:lang w:val="cs-CZ"/>
        </w:rPr>
        <w:t xml:space="preserve">1)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Pronajímatel pronajímá podnájemci předmět podnájmu za jmenovitým účelem jejich </w:t>
      </w:r>
      <w:r>
        <w:rPr>
          <w:rFonts w:ascii="Verdana" w:hAnsi="Verdana"/>
          <w:color w:val="000000"/>
          <w:spacing w:val="-10"/>
          <w:sz w:val="20"/>
          <w:lang w:val="cs-CZ"/>
        </w:rPr>
        <w:t xml:space="preserve">podnájemného užívání a to k výuce žáků — řidičů, když pozemek je využíván jako cvičiště. </w:t>
      </w:r>
      <w:r>
        <w:rPr>
          <w:rFonts w:ascii="Verdana" w:hAnsi="Verdana"/>
          <w:color w:val="000000"/>
          <w:sz w:val="20"/>
          <w:lang w:val="cs-CZ"/>
        </w:rPr>
        <w:t xml:space="preserve">Pozemek nebude užíván jako cvičiště v </w:t>
      </w:r>
      <w:r>
        <w:rPr>
          <w:rFonts w:ascii="Tahoma" w:hAnsi="Tahoma"/>
          <w:color w:val="000000"/>
          <w:sz w:val="21"/>
          <w:lang w:val="cs-CZ"/>
        </w:rPr>
        <w:t>hodinách, kdy slouží jako parkoviště pro</w:t>
      </w:r>
    </w:p>
    <w:p w14:paraId="3F9C9000" w14:textId="77777777" w:rsidR="006C3177" w:rsidRDefault="006C3177">
      <w:pPr>
        <w:sectPr w:rsidR="006C3177">
          <w:pgSz w:w="11918" w:h="16854"/>
          <w:pgMar w:top="1692" w:right="1385" w:bottom="1329" w:left="1473" w:header="720" w:footer="720" w:gutter="0"/>
          <w:cols w:space="708"/>
        </w:sectPr>
      </w:pPr>
    </w:p>
    <w:p w14:paraId="744D38F9" w14:textId="33232CEF" w:rsidR="006C3177" w:rsidRDefault="001059FC">
      <w:pPr>
        <w:spacing w:line="285" w:lineRule="auto"/>
        <w:ind w:left="216" w:right="144" w:firstLine="72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118498FC" wp14:editId="4BF5E370">
                <wp:simplePos x="0" y="0"/>
                <wp:positionH relativeFrom="column">
                  <wp:posOffset>0</wp:posOffset>
                </wp:positionH>
                <wp:positionV relativeFrom="paragraph">
                  <wp:posOffset>8709660</wp:posOffset>
                </wp:positionV>
                <wp:extent cx="5791200" cy="121920"/>
                <wp:effectExtent l="0" t="1905" r="127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B105E" w14:textId="77777777" w:rsidR="006C3177" w:rsidRDefault="001059FC">
                            <w:pPr>
                              <w:spacing w:line="189" w:lineRule="auto"/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val="cs-CZ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98FC" id="Text Box 9" o:spid="_x0000_s1027" type="#_x0000_t202" style="position:absolute;left:0;text-align:left;margin-left:0;margin-top:685.8pt;width:456pt;height:9.6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jd1gEAAJgDAAAOAAAAZHJzL2Uyb0RvYy54bWysU9uOmzAQfa/Uf7D83hAi9bIoZLXd1VaV&#10;thdp2w8YjAGr4HHHTiD9+o4NZHt5q/piDWP7+FyG/fU09OKkyRu0pcw3Wym0VVgb25by65f7F2+k&#10;8AFsDT1aXcqz9vL68PzZfnSF3mGHfa1JMIj1xehK2YXgiizzqtMD+A06bXmzQRog8Ce1WU0wMvrQ&#10;Z7vt9lU2ItWOUGnvuXs3b8pDwm8arcKnpvE6iL6UzC2kldJaxTU77KFoCVxn1EID/oHFAMbyoxeo&#10;OwggjmT+ghqMIvTYhI3CIcOmMUonDawm3/6h5rEDp5MWNse7i03+/8Gqj6dH95lEmN7ixAEmEd49&#10;oPrmhcXbDmyrb4hw7DTU/HAeLctG54vlarTaFz6CVOMHrDlkOAZMQFNDQ3SFdQpG5wDOF9P1FITi&#10;5svXVzknKYXivXyXX+1SKhkU621HPrzTOIhYlJI41IQOpwcfIhso1iPxMYv3pu9TsL39rcEHYyex&#10;j4Rn6mGqJmHqRVoUU2F9ZjmE87jweHPRIf2QYuRRKaX/fgTSUvTvLVsS52otaC2qtQCr+GopgxRz&#10;eRvm+Ts6Mm3HyLPpFm/YtsYkRU8sFrocfxK6jGqcr1+/06mnH+rwEwAA//8DAFBLAwQUAAYACAAA&#10;ACEA7f1luN4AAAAKAQAADwAAAGRycy9kb3ducmV2LnhtbEyPwU7DMBBE70j8g7VI3KidIoUmxKkq&#10;BCck1DQcODqxm1iN1yF22/D33Z7ocd+MZmeK9ewGdjJTsB4lJAsBzGDrtcVOwnf98bQCFqJCrQaP&#10;RsKfCbAu7+8KlWt/xsqcdrFjFIIhVxL6GMec89D2xqmw8KNB0vZ+cirSOXVcT+pM4W7gSyFS7pRF&#10;+tCr0bz1pj3sjk7C5gerd/v71WyrfWXrOhP4mR6kfHyYN6/Aopnjvxmu9ak6lNSp8UfUgQ0SaEgk&#10;+vySpMBIz5IloeaKMrECXhb8dkJ5AQAA//8DAFBLAQItABQABgAIAAAAIQC2gziS/gAAAOEBAAAT&#10;AAAAAAAAAAAAAAAAAAAAAABbQ29udGVudF9UeXBlc10ueG1sUEsBAi0AFAAGAAgAAAAhADj9If/W&#10;AAAAlAEAAAsAAAAAAAAAAAAAAAAALwEAAF9yZWxzLy5yZWxzUEsBAi0AFAAGAAgAAAAhAEHoWN3W&#10;AQAAmAMAAA4AAAAAAAAAAAAAAAAALgIAAGRycy9lMm9Eb2MueG1sUEsBAi0AFAAGAAgAAAAhAO39&#10;ZbjeAAAACgEAAA8AAAAAAAAAAAAAAAAAMAQAAGRycy9kb3ducmV2LnhtbFBLBQYAAAAABAAEAPMA&#10;AAA7BQAAAAA=&#10;" filled="f" stroked="f">
                <v:textbox inset="0,0,0,0">
                  <w:txbxContent>
                    <w:p w14:paraId="1ACB105E" w14:textId="77777777" w:rsidR="006C3177" w:rsidRDefault="001059FC">
                      <w:pPr>
                        <w:spacing w:line="189" w:lineRule="auto"/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val="cs-CZ"/>
                        </w:rPr>
                        <w:t>-2-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2"/>
          <w:sz w:val="20"/>
          <w:lang w:val="cs-CZ"/>
        </w:rPr>
        <w:t>návšt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ěvníky akcí konaných v Tipsport areně, dále při akcích pořádaných pronajímatelem </w:t>
      </w:r>
      <w:r>
        <w:rPr>
          <w:rFonts w:ascii="Verdana" w:hAnsi="Verdana"/>
          <w:color w:val="000000"/>
          <w:spacing w:val="-3"/>
          <w:sz w:val="20"/>
          <w:lang w:val="cs-CZ"/>
        </w:rPr>
        <w:t>a při jeho údžbě. Plán obsazení cvičiště bude k nahlédnutí u pronajímatele.</w:t>
      </w:r>
    </w:p>
    <w:p w14:paraId="518F94A7" w14:textId="77777777" w:rsidR="006C3177" w:rsidRDefault="001059FC">
      <w:pPr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2) Obě strany se zavazují vzájemně si vycházet vstříc při využití celého areálu.</w:t>
      </w:r>
    </w:p>
    <w:p w14:paraId="0C46AF9A" w14:textId="77777777" w:rsidR="006C3177" w:rsidRDefault="001059FC">
      <w:pPr>
        <w:spacing w:before="324" w:line="285" w:lineRule="auto"/>
        <w:jc w:val="center"/>
        <w:rPr>
          <w:rFonts w:ascii="Tahoma" w:hAnsi="Tahoma"/>
          <w:color w:val="000000"/>
          <w:spacing w:val="20"/>
          <w:w w:val="55"/>
          <w:sz w:val="28"/>
          <w:lang w:val="cs-CZ"/>
        </w:rPr>
      </w:pPr>
      <w:r>
        <w:rPr>
          <w:rFonts w:ascii="Tahoma" w:hAnsi="Tahoma"/>
          <w:color w:val="000000"/>
          <w:spacing w:val="20"/>
          <w:w w:val="55"/>
          <w:sz w:val="28"/>
          <w:lang w:val="cs-CZ"/>
        </w:rPr>
        <w:t xml:space="preserve">III. </w:t>
      </w:r>
      <w:r>
        <w:rPr>
          <w:rFonts w:ascii="Tahoma" w:hAnsi="Tahoma"/>
          <w:color w:val="000000"/>
          <w:spacing w:val="20"/>
          <w:w w:val="55"/>
          <w:sz w:val="28"/>
          <w:lang w:val="cs-CZ"/>
        </w:rPr>
        <w:br/>
      </w:r>
      <w:r>
        <w:rPr>
          <w:rFonts w:ascii="Tahoma" w:hAnsi="Tahoma"/>
          <w:b/>
          <w:color w:val="000000"/>
          <w:spacing w:val="10"/>
          <w:w w:val="95"/>
          <w:sz w:val="27"/>
          <w:lang w:val="cs-CZ"/>
        </w:rPr>
        <w:t>Doba podnájm</w:t>
      </w:r>
      <w:r>
        <w:rPr>
          <w:rFonts w:ascii="Tahoma" w:hAnsi="Tahoma"/>
          <w:b/>
          <w:color w:val="000000"/>
          <w:spacing w:val="10"/>
          <w:w w:val="95"/>
          <w:sz w:val="27"/>
          <w:lang w:val="cs-CZ"/>
        </w:rPr>
        <w:t>u</w:t>
      </w:r>
    </w:p>
    <w:p w14:paraId="0ECB4DC3" w14:textId="77777777" w:rsidR="006C3177" w:rsidRDefault="001059FC">
      <w:pPr>
        <w:numPr>
          <w:ilvl w:val="0"/>
          <w:numId w:val="1"/>
        </w:numPr>
        <w:tabs>
          <w:tab w:val="clear" w:pos="288"/>
          <w:tab w:val="decimal" w:pos="360"/>
        </w:tabs>
        <w:spacing w:before="288" w:line="280" w:lineRule="auto"/>
        <w:ind w:left="0" w:right="72" w:firstLine="72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Tato smlouva se uzavírá na dobu určitou, s výpovědní lhůtou 1 měsíce, na období od </w:t>
      </w:r>
      <w:r>
        <w:rPr>
          <w:rFonts w:ascii="Verdana" w:hAnsi="Verdana"/>
          <w:color w:val="000000"/>
          <w:spacing w:val="-6"/>
          <w:sz w:val="20"/>
          <w:lang w:val="cs-CZ"/>
        </w:rPr>
        <w:t>1.5.2022 do 31.12.2023</w:t>
      </w:r>
    </w:p>
    <w:p w14:paraId="2872E8C4" w14:textId="77777777" w:rsidR="006C3177" w:rsidRDefault="001059FC">
      <w:pPr>
        <w:numPr>
          <w:ilvl w:val="0"/>
          <w:numId w:val="1"/>
        </w:numPr>
        <w:tabs>
          <w:tab w:val="clear" w:pos="288"/>
          <w:tab w:val="decimal" w:pos="360"/>
        </w:tabs>
        <w:spacing w:before="324"/>
        <w:ind w:left="0" w:firstLine="72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>Tuto smlouvu lze vypovědět rychleji v případě :</w:t>
      </w:r>
    </w:p>
    <w:p w14:paraId="5B586026" w14:textId="77777777" w:rsidR="006C3177" w:rsidRDefault="001059FC">
      <w:pPr>
        <w:numPr>
          <w:ilvl w:val="0"/>
          <w:numId w:val="2"/>
        </w:numPr>
        <w:tabs>
          <w:tab w:val="clear" w:pos="288"/>
          <w:tab w:val="decimal" w:pos="360"/>
        </w:tabs>
        <w:spacing w:before="36" w:line="292" w:lineRule="auto"/>
        <w:ind w:left="360" w:right="936" w:hanging="288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Na stran</w:t>
      </w:r>
      <w:r>
        <w:rPr>
          <w:rFonts w:ascii="Verdana" w:hAnsi="Verdana"/>
          <w:color w:val="000000"/>
          <w:spacing w:val="-8"/>
          <w:sz w:val="20"/>
          <w:lang w:val="cs-CZ"/>
        </w:rPr>
        <w:t xml:space="preserve">ě pronajímatele tehdy, dostane- li se podnájemce do prodlení s úhradou </w:t>
      </w:r>
      <w:r>
        <w:rPr>
          <w:rFonts w:ascii="Verdana" w:hAnsi="Verdana"/>
          <w:color w:val="000000"/>
          <w:spacing w:val="-4"/>
          <w:sz w:val="20"/>
          <w:lang w:val="cs-CZ"/>
        </w:rPr>
        <w:t>nájemného zcela nebo zčásti po dobu delší 30 dnů.</w:t>
      </w:r>
    </w:p>
    <w:p w14:paraId="686D6D71" w14:textId="77777777" w:rsidR="006C3177" w:rsidRDefault="001059FC">
      <w:pPr>
        <w:ind w:left="288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>V takovém případě výpovědní lhůta činí 7 dní.</w:t>
      </w:r>
    </w:p>
    <w:p w14:paraId="490C6782" w14:textId="77777777" w:rsidR="006C3177" w:rsidRDefault="001059FC">
      <w:pPr>
        <w:numPr>
          <w:ilvl w:val="0"/>
          <w:numId w:val="2"/>
        </w:numPr>
        <w:tabs>
          <w:tab w:val="clear" w:pos="288"/>
          <w:tab w:val="decimal" w:pos="360"/>
        </w:tabs>
        <w:spacing w:before="72" w:line="288" w:lineRule="auto"/>
        <w:ind w:left="360" w:right="936" w:hanging="288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Na straně podnájemce tehdy, jestliže pronajímatel bez zákonného důvodu brání </w:t>
      </w:r>
      <w:r>
        <w:rPr>
          <w:rFonts w:ascii="Verdana" w:hAnsi="Verdana"/>
          <w:color w:val="000000"/>
          <w:spacing w:val="-3"/>
          <w:sz w:val="20"/>
          <w:lang w:val="cs-CZ"/>
        </w:rPr>
        <w:t>podnájemci v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 užívání najatých prostor. V takovém případě lhůta činí 1 měsíc.</w:t>
      </w:r>
    </w:p>
    <w:p w14:paraId="7BEBCFCC" w14:textId="77777777" w:rsidR="006C3177" w:rsidRDefault="001059FC">
      <w:pPr>
        <w:spacing w:before="972"/>
        <w:jc w:val="center"/>
        <w:rPr>
          <w:rFonts w:ascii="Tahoma" w:hAnsi="Tahoma"/>
          <w:b/>
          <w:color w:val="000000"/>
          <w:spacing w:val="10"/>
          <w:sz w:val="25"/>
          <w:lang w:val="cs-CZ"/>
        </w:rPr>
      </w:pPr>
      <w:r>
        <w:rPr>
          <w:rFonts w:ascii="Tahoma" w:hAnsi="Tahoma"/>
          <w:b/>
          <w:color w:val="000000"/>
          <w:spacing w:val="10"/>
          <w:sz w:val="25"/>
          <w:lang w:val="cs-CZ"/>
        </w:rPr>
        <w:t>Nájemné</w:t>
      </w:r>
    </w:p>
    <w:p w14:paraId="208FC2B1" w14:textId="4C4C9361" w:rsidR="006C3177" w:rsidRDefault="001059FC">
      <w:pPr>
        <w:numPr>
          <w:ilvl w:val="0"/>
          <w:numId w:val="3"/>
        </w:numPr>
        <w:tabs>
          <w:tab w:val="clear" w:pos="360"/>
          <w:tab w:val="decimal" w:pos="792"/>
        </w:tabs>
        <w:spacing w:before="468" w:line="295" w:lineRule="auto"/>
        <w:ind w:left="792" w:right="288" w:hanging="360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>Výše nájemného je stanovena dohodou smluvních</w:t>
      </w:r>
      <w:r w:rsidR="007E2B6C">
        <w:rPr>
          <w:rFonts w:ascii="Verdana" w:hAnsi="Verdana"/>
          <w:color w:val="000000"/>
          <w:spacing w:val="-5"/>
          <w:sz w:val="20"/>
          <w:lang w:val="cs-CZ"/>
        </w:rPr>
        <w:t xml:space="preserve"> stran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 jako </w:t>
      </w:r>
      <w:r w:rsidR="007E2B6C">
        <w:rPr>
          <w:rFonts w:ascii="Verdana" w:hAnsi="Verdana"/>
          <w:color w:val="000000"/>
          <w:spacing w:val="-5"/>
          <w:sz w:val="20"/>
          <w:lang w:val="cs-CZ"/>
        </w:rPr>
        <w:t>c</w:t>
      </w:r>
      <w:r>
        <w:rPr>
          <w:rFonts w:ascii="Verdana" w:hAnsi="Verdana"/>
          <w:color w:val="000000"/>
          <w:spacing w:val="-5"/>
          <w:sz w:val="20"/>
          <w:lang w:val="cs-CZ"/>
        </w:rPr>
        <w:t xml:space="preserve">ena nájmu v místě a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čase obvyklá a činí: měsíčně Kč </w:t>
      </w:r>
      <w:r w:rsidR="007E2B6C">
        <w:rPr>
          <w:rFonts w:ascii="Verdana" w:hAnsi="Verdana"/>
          <w:color w:val="000000"/>
          <w:spacing w:val="-2"/>
          <w:sz w:val="20"/>
          <w:lang w:val="cs-CZ"/>
        </w:rPr>
        <w:t>5000,- Kč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 (slovy:</w:t>
      </w:r>
      <w:r w:rsidR="001E5BB3">
        <w:rPr>
          <w:rFonts w:ascii="Verdana" w:hAnsi="Verdana"/>
          <w:color w:val="000000"/>
          <w:spacing w:val="-2"/>
          <w:sz w:val="20"/>
          <w:lang w:val="cs-CZ"/>
        </w:rPr>
        <w:t xml:space="preserve"> Pěttisíckorun)</w:t>
      </w:r>
    </w:p>
    <w:p w14:paraId="462CC443" w14:textId="77777777" w:rsidR="006C3177" w:rsidRDefault="001059FC">
      <w:pPr>
        <w:numPr>
          <w:ilvl w:val="0"/>
          <w:numId w:val="3"/>
        </w:numPr>
        <w:tabs>
          <w:tab w:val="clear" w:pos="360"/>
          <w:tab w:val="decimal" w:pos="792"/>
        </w:tabs>
        <w:spacing w:before="288" w:line="288" w:lineRule="auto"/>
        <w:ind w:left="792" w:right="288" w:hanging="360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Nájemné je splatné nejpozd</w:t>
      </w:r>
      <w:r>
        <w:rPr>
          <w:rFonts w:ascii="Verdana" w:hAnsi="Verdana"/>
          <w:color w:val="000000"/>
          <w:spacing w:val="-8"/>
          <w:sz w:val="20"/>
          <w:lang w:val="cs-CZ"/>
        </w:rPr>
        <w:t xml:space="preserve">ěji do 15. dne kalendářního měsíce, k němuž se platba </w:t>
      </w:r>
      <w:r>
        <w:rPr>
          <w:rFonts w:ascii="Verdana" w:hAnsi="Verdana"/>
          <w:color w:val="000000"/>
          <w:spacing w:val="-5"/>
          <w:sz w:val="20"/>
          <w:lang w:val="cs-CZ"/>
        </w:rPr>
        <w:t>nájemného vztahuje, a to na bankovní účet pronajímatele č. 107-805320247/0100</w:t>
      </w:r>
    </w:p>
    <w:p w14:paraId="3E720E83" w14:textId="77777777" w:rsidR="006C3177" w:rsidRDefault="001059FC">
      <w:pPr>
        <w:numPr>
          <w:ilvl w:val="0"/>
          <w:numId w:val="3"/>
        </w:numPr>
        <w:tabs>
          <w:tab w:val="clear" w:pos="360"/>
          <w:tab w:val="decimal" w:pos="792"/>
        </w:tabs>
        <w:spacing w:before="288" w:line="288" w:lineRule="auto"/>
        <w:ind w:left="792" w:right="72" w:hanging="360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Jakékoliv platby nájemného, které nejsou zaplaceny v den splatnosti na účet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pronajímatele, budou v dlužné výši úročeny až do doby úhrady zákonným úrokem </w:t>
      </w:r>
      <w:r>
        <w:rPr>
          <w:rFonts w:ascii="Verdana" w:hAnsi="Verdana"/>
          <w:color w:val="000000"/>
          <w:spacing w:val="-10"/>
          <w:sz w:val="20"/>
          <w:lang w:val="cs-CZ"/>
        </w:rPr>
        <w:t xml:space="preserve">z prodlení. Smluvní pokuta činí 0,1 % z dlužné částky za každý, byť i jen započatý den </w:t>
      </w:r>
      <w:r>
        <w:rPr>
          <w:rFonts w:ascii="Verdana" w:hAnsi="Verdana"/>
          <w:color w:val="000000"/>
          <w:sz w:val="20"/>
          <w:lang w:val="cs-CZ"/>
        </w:rPr>
        <w:t>prodlení.</w:t>
      </w:r>
    </w:p>
    <w:p w14:paraId="38A39F11" w14:textId="77777777" w:rsidR="006C3177" w:rsidRDefault="001059FC">
      <w:pPr>
        <w:spacing w:before="396" w:line="288" w:lineRule="auto"/>
        <w:jc w:val="center"/>
        <w:rPr>
          <w:rFonts w:ascii="Tahoma" w:hAnsi="Tahoma"/>
          <w:b/>
          <w:color w:val="000000"/>
          <w:spacing w:val="10"/>
          <w:w w:val="95"/>
          <w:sz w:val="27"/>
          <w:lang w:val="cs-CZ"/>
        </w:rPr>
      </w:pPr>
      <w:r>
        <w:rPr>
          <w:rFonts w:ascii="Tahoma" w:hAnsi="Tahoma"/>
          <w:b/>
          <w:color w:val="000000"/>
          <w:spacing w:val="10"/>
          <w:w w:val="95"/>
          <w:sz w:val="27"/>
          <w:lang w:val="cs-CZ"/>
        </w:rPr>
        <w:t xml:space="preserve">V. </w:t>
      </w:r>
      <w:r>
        <w:rPr>
          <w:rFonts w:ascii="Tahoma" w:hAnsi="Tahoma"/>
          <w:b/>
          <w:color w:val="000000"/>
          <w:spacing w:val="10"/>
          <w:w w:val="95"/>
          <w:sz w:val="27"/>
          <w:lang w:val="cs-CZ"/>
        </w:rPr>
        <w:br/>
      </w:r>
      <w:r>
        <w:rPr>
          <w:rFonts w:ascii="Tahoma" w:hAnsi="Tahoma"/>
          <w:b/>
          <w:color w:val="000000"/>
          <w:spacing w:val="4"/>
          <w:w w:val="95"/>
          <w:sz w:val="27"/>
          <w:lang w:val="cs-CZ"/>
        </w:rPr>
        <w:t>Povinnosti a práva smluvních stran</w:t>
      </w:r>
    </w:p>
    <w:p w14:paraId="781A2318" w14:textId="77777777" w:rsidR="006C3177" w:rsidRDefault="001059FC">
      <w:pPr>
        <w:numPr>
          <w:ilvl w:val="0"/>
          <w:numId w:val="4"/>
        </w:numPr>
        <w:tabs>
          <w:tab w:val="clear" w:pos="288"/>
          <w:tab w:val="decimal" w:pos="360"/>
        </w:tabs>
        <w:spacing w:line="264" w:lineRule="auto"/>
        <w:ind w:left="72"/>
        <w:rPr>
          <w:rFonts w:ascii="Arial" w:hAnsi="Arial"/>
          <w:b/>
          <w:color w:val="000000"/>
          <w:spacing w:val="8"/>
          <w:sz w:val="21"/>
          <w:lang w:val="cs-CZ"/>
        </w:rPr>
      </w:pPr>
      <w:r>
        <w:rPr>
          <w:rFonts w:ascii="Arial" w:hAnsi="Arial"/>
          <w:b/>
          <w:color w:val="000000"/>
          <w:spacing w:val="8"/>
          <w:sz w:val="21"/>
          <w:lang w:val="cs-CZ"/>
        </w:rPr>
        <w:t>Povinnosti a práva pronajímatele</w:t>
      </w:r>
    </w:p>
    <w:p w14:paraId="1DC13A58" w14:textId="77777777" w:rsidR="006C3177" w:rsidRDefault="001059FC">
      <w:pPr>
        <w:spacing w:before="324" w:line="295" w:lineRule="auto"/>
        <w:ind w:right="288" w:firstLine="72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 xml:space="preserve">Pronajímatel se zavazuje umožnit podnájemci volný přístup a nerušené užívání všech věcí </w:t>
      </w:r>
      <w:r>
        <w:rPr>
          <w:rFonts w:ascii="Verdana" w:hAnsi="Verdana"/>
          <w:color w:val="000000"/>
          <w:spacing w:val="-4"/>
          <w:sz w:val="20"/>
          <w:lang w:val="cs-CZ"/>
        </w:rPr>
        <w:t>určených k podnájmu podle této smlouvy.</w:t>
      </w:r>
    </w:p>
    <w:p w14:paraId="18E807BB" w14:textId="77777777" w:rsidR="006C3177" w:rsidRDefault="001059FC">
      <w:pPr>
        <w:numPr>
          <w:ilvl w:val="0"/>
          <w:numId w:val="4"/>
        </w:numPr>
        <w:tabs>
          <w:tab w:val="clear" w:pos="288"/>
          <w:tab w:val="decimal" w:pos="360"/>
        </w:tabs>
        <w:spacing w:before="252" w:line="264" w:lineRule="auto"/>
        <w:ind w:left="72"/>
        <w:rPr>
          <w:rFonts w:ascii="Arial" w:hAnsi="Arial"/>
          <w:b/>
          <w:color w:val="000000"/>
          <w:spacing w:val="8"/>
          <w:sz w:val="21"/>
          <w:lang w:val="cs-CZ"/>
        </w:rPr>
      </w:pPr>
      <w:r>
        <w:rPr>
          <w:rFonts w:ascii="Arial" w:hAnsi="Arial"/>
          <w:b/>
          <w:color w:val="000000"/>
          <w:spacing w:val="8"/>
          <w:sz w:val="21"/>
          <w:lang w:val="cs-CZ"/>
        </w:rPr>
        <w:t>Povinnosti a práva podnájemce</w:t>
      </w:r>
    </w:p>
    <w:p w14:paraId="187D4888" w14:textId="50DB905C" w:rsidR="006C3177" w:rsidRDefault="001059FC">
      <w:pPr>
        <w:spacing w:line="292" w:lineRule="auto"/>
        <w:ind w:right="72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>1) Podnájemce je povinen a oprávn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ěn užívat předmět nájmu v rozsahu a k účelu podle této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smlouvy po celou dobu trvání smluvního vztahu. Podnájemce odpovídá </w:t>
      </w:r>
      <w:r w:rsidR="007E2B6C">
        <w:rPr>
          <w:rFonts w:ascii="Verdana" w:hAnsi="Verdana"/>
          <w:color w:val="000000"/>
          <w:spacing w:val="-1"/>
          <w:sz w:val="20"/>
          <w:lang w:val="cs-CZ"/>
        </w:rPr>
        <w:t>pronajímateli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 za </w:t>
      </w:r>
      <w:r>
        <w:rPr>
          <w:rFonts w:ascii="Verdana" w:hAnsi="Verdana"/>
          <w:color w:val="000000"/>
          <w:spacing w:val="-7"/>
          <w:sz w:val="20"/>
          <w:lang w:val="cs-CZ"/>
        </w:rPr>
        <w:t xml:space="preserve">škody, které na předmětu vznikly jeho užíváním, poškozením nebo znehodnocením nadmíru </w:t>
      </w:r>
      <w:r>
        <w:rPr>
          <w:rFonts w:ascii="Verdana" w:hAnsi="Verdana"/>
          <w:color w:val="000000"/>
          <w:spacing w:val="-4"/>
          <w:sz w:val="20"/>
          <w:lang w:val="cs-CZ"/>
        </w:rPr>
        <w:t>obvyklou a přiměřenou k době už</w:t>
      </w:r>
      <w:r>
        <w:rPr>
          <w:rFonts w:ascii="Verdana" w:hAnsi="Verdana"/>
          <w:color w:val="000000"/>
          <w:spacing w:val="-4"/>
          <w:sz w:val="20"/>
          <w:lang w:val="cs-CZ"/>
        </w:rPr>
        <w:t>ívání.</w:t>
      </w:r>
    </w:p>
    <w:p w14:paraId="19545AB5" w14:textId="77777777" w:rsidR="006C3177" w:rsidRDefault="006C3177">
      <w:pPr>
        <w:sectPr w:rsidR="006C3177">
          <w:pgSz w:w="11918" w:h="16854"/>
          <w:pgMar w:top="1482" w:right="1330" w:bottom="1326" w:left="1408" w:header="720" w:footer="720" w:gutter="0"/>
          <w:cols w:space="708"/>
        </w:sectPr>
      </w:pPr>
    </w:p>
    <w:p w14:paraId="5428884D" w14:textId="21959533" w:rsidR="006C3177" w:rsidRDefault="001059FC">
      <w:pPr>
        <w:numPr>
          <w:ilvl w:val="0"/>
          <w:numId w:val="5"/>
        </w:numPr>
        <w:tabs>
          <w:tab w:val="clear" w:pos="288"/>
          <w:tab w:val="decimal" w:pos="360"/>
        </w:tabs>
        <w:spacing w:line="285" w:lineRule="auto"/>
        <w:ind w:left="0" w:right="72" w:firstLine="72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26EDA762" wp14:editId="0CFEAF3E">
                <wp:simplePos x="0" y="0"/>
                <wp:positionH relativeFrom="column">
                  <wp:posOffset>0</wp:posOffset>
                </wp:positionH>
                <wp:positionV relativeFrom="paragraph">
                  <wp:posOffset>8728710</wp:posOffset>
                </wp:positionV>
                <wp:extent cx="5791200" cy="119380"/>
                <wp:effectExtent l="0" t="0" r="0" b="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88722" w14:textId="77777777" w:rsidR="006C3177" w:rsidRDefault="001059FC">
                            <w:pPr>
                              <w:spacing w:line="194" w:lineRule="auto"/>
                              <w:ind w:left="144"/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A762" id="Text Box 8" o:spid="_x0000_s1028" type="#_x0000_t202" style="position:absolute;left:0;text-align:left;margin-left:0;margin-top:687.3pt;width:456pt;height:9.4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PD2QEAAJgDAAAOAAAAZHJzL2Uyb0RvYy54bWysU9tu1DAQfUfiHyy/s9ksAtpos1VpVYRU&#10;LlLpBziOk1gkHjPj3WT5esbOZgv0DfFiTcb28blMtlfT0IuDQbLgSpmv1lIYp6G2ri3l47e7VxdS&#10;UFCuVj04U8qjIXm1e/liO/rCbKCDvjYoGMRRMfpSdiH4IstId2ZQtAJvHG82gIMK/IltVqMaGX3o&#10;s816/TYbAWuPoA0Rd2/nTblL+E1jdPjSNGSC6EvJ3EJaMa1VXLPdVhUtKt9ZfaKh/oHFoKzjR89Q&#10;tyoosUf7DGqwGoGgCSsNQwZNY7VJGlhNvv5LzUOnvEla2BzyZ5vo/8Hqz4cH/xVFmN7DxAEmEeTv&#10;QX8n4eCmU64114gwdkbV/HAeLctGT8XparSaCoog1fgJag5Z7QMkoKnBIbrCOgWjcwDHs+lmCkJz&#10;8827y5yTlELzXp5fvr5IqWSqWG57pPDBwCBiUUrkUBO6OtxTiGxUsRyJjzm4s32fgu3dHw0+GDuJ&#10;fSQ8Uw9TNQlbl3ITpUUxFdRHloMwjwuPNxcd4E8pRh6VUtKPvUIjRf/RsSVxrpYCl6JaCuU0Xy1l&#10;kGIub8I8f3uPtu0YeTbdwTXb1tik6InFiS7Hn4SeRjXO1+/f6dTTD7X7BQAA//8DAFBLAwQUAAYA&#10;CAAAACEADIPZWN8AAAAKAQAADwAAAGRycy9kb3ducmV2LnhtbEyPzU7DMBCE70i8g7WVuFGnPwok&#10;jVNVCE5IiDQcODrJNrEar0PstuHt2Z7ocb8Zzc5k28n24oyjN44ULOYRCKTaNYZaBV/l2+MzCB80&#10;Nbp3hAp+0cM2v7/LdNq4CxV43odWcAj5VCvoQhhSKX3dodV+7gYk1g5utDrwObayGfWFw20vl1EU&#10;S6sN8YdOD/jSYX3cn6yC3TcVr+bno/osDoUpyySi9/io1MNs2m1ABJzCvxmu9bk65NypcidqvOgV&#10;8JDAdPW0jkGwniyWjKorSlZrkHkmbyfkfwAAAP//AwBQSwECLQAUAAYACAAAACEAtoM4kv4AAADh&#10;AQAAEwAAAAAAAAAAAAAAAAAAAAAAW0NvbnRlbnRfVHlwZXNdLnhtbFBLAQItABQABgAIAAAAIQA4&#10;/SH/1gAAAJQBAAALAAAAAAAAAAAAAAAAAC8BAABfcmVscy8ucmVsc1BLAQItABQABgAIAAAAIQB5&#10;SaPD2QEAAJgDAAAOAAAAAAAAAAAAAAAAAC4CAABkcnMvZTJvRG9jLnhtbFBLAQItABQABgAIAAAA&#10;IQAMg9lY3wAAAAoBAAAPAAAAAAAAAAAAAAAAADMEAABkcnMvZG93bnJldi54bWxQSwUGAAAAAAQA&#10;BADzAAAAPwUAAAAA&#10;" filled="f" stroked="f">
                <v:textbox inset="0,0,0,0">
                  <w:txbxContent>
                    <w:p w14:paraId="51688722" w14:textId="77777777" w:rsidR="006C3177" w:rsidRDefault="001059FC">
                      <w:pPr>
                        <w:spacing w:line="194" w:lineRule="auto"/>
                        <w:ind w:left="144"/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Podnájemce je povinen bez zbytečného odkladu oznámit pronajímateli potřebu oprav, 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které je povinen na svůj náklad provést </w:t>
      </w:r>
      <w:r w:rsidR="007E2B6C">
        <w:rPr>
          <w:rFonts w:ascii="Verdana" w:hAnsi="Verdana"/>
          <w:color w:val="000000"/>
          <w:spacing w:val="-3"/>
          <w:sz w:val="20"/>
          <w:lang w:val="cs-CZ"/>
        </w:rPr>
        <w:t>pronajímatel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 a </w:t>
      </w:r>
      <w:r w:rsidR="007E2B6C">
        <w:rPr>
          <w:rFonts w:ascii="Verdana" w:hAnsi="Verdana"/>
          <w:color w:val="000000"/>
          <w:spacing w:val="-3"/>
          <w:sz w:val="20"/>
          <w:lang w:val="cs-CZ"/>
        </w:rPr>
        <w:t>současně</w:t>
      </w:r>
      <w:r>
        <w:rPr>
          <w:rFonts w:ascii="Verdana" w:hAnsi="Verdana"/>
          <w:color w:val="000000"/>
          <w:spacing w:val="-3"/>
          <w:sz w:val="20"/>
          <w:lang w:val="cs-CZ"/>
        </w:rPr>
        <w:t xml:space="preserve"> i umožnit jejich provedení.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V opačném případě podnájemce odpovídá za škodu, která </w:t>
      </w:r>
      <w:r w:rsidR="007E2B6C">
        <w:rPr>
          <w:rFonts w:ascii="Verdana" w:hAnsi="Verdana"/>
          <w:color w:val="000000"/>
          <w:spacing w:val="-2"/>
          <w:sz w:val="20"/>
          <w:lang w:val="cs-CZ"/>
        </w:rPr>
        <w:t>nesplněním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 této povinnosti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pronajímateli vznikla. </w:t>
      </w:r>
      <w:r w:rsidR="007E2B6C">
        <w:rPr>
          <w:rFonts w:ascii="Verdana" w:hAnsi="Verdana"/>
          <w:color w:val="000000"/>
          <w:spacing w:val="-1"/>
          <w:sz w:val="20"/>
          <w:lang w:val="cs-CZ"/>
        </w:rPr>
        <w:t>Současně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 je podnájemce povinen oznámit pronajímateli veške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ré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změny, které nastaly v předmětu nebo na předmětu nájmu, bez ohledu na příčinu jejich </w:t>
      </w:r>
      <w:r>
        <w:rPr>
          <w:rFonts w:ascii="Verdana" w:hAnsi="Verdana"/>
          <w:color w:val="000000"/>
          <w:sz w:val="20"/>
          <w:lang w:val="cs-CZ"/>
        </w:rPr>
        <w:t>vzniku.</w:t>
      </w:r>
    </w:p>
    <w:p w14:paraId="3201D4CE" w14:textId="77777777" w:rsidR="006C3177" w:rsidRDefault="001059FC">
      <w:pPr>
        <w:numPr>
          <w:ilvl w:val="0"/>
          <w:numId w:val="5"/>
        </w:numPr>
        <w:tabs>
          <w:tab w:val="clear" w:pos="288"/>
          <w:tab w:val="decimal" w:pos="360"/>
        </w:tabs>
        <w:spacing w:before="72" w:line="290" w:lineRule="auto"/>
        <w:ind w:left="0" w:right="72" w:firstLine="72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Pro případ vzniku nebezpečí škody na předmětu nájmu se podnájemce zavazuje udržovat </w:t>
      </w:r>
      <w:r>
        <w:rPr>
          <w:rFonts w:ascii="Verdana" w:hAnsi="Verdana"/>
          <w:color w:val="000000"/>
          <w:spacing w:val="-3"/>
          <w:sz w:val="20"/>
          <w:lang w:val="cs-CZ"/>
        </w:rPr>
        <w:t>s pronajímatelem stálé telefonické spojení.</w:t>
      </w:r>
    </w:p>
    <w:p w14:paraId="0B4DACB8" w14:textId="77777777" w:rsidR="006C3177" w:rsidRDefault="001059FC">
      <w:pPr>
        <w:numPr>
          <w:ilvl w:val="0"/>
          <w:numId w:val="5"/>
        </w:numPr>
        <w:tabs>
          <w:tab w:val="clear" w:pos="288"/>
          <w:tab w:val="decimal" w:pos="360"/>
        </w:tabs>
        <w:spacing w:line="276" w:lineRule="auto"/>
        <w:ind w:left="0" w:right="360" w:firstLine="72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Přístup k předmětu nájmu je podn</w:t>
      </w:r>
      <w:r>
        <w:rPr>
          <w:rFonts w:ascii="Verdana" w:hAnsi="Verdana"/>
          <w:color w:val="000000"/>
          <w:spacing w:val="-8"/>
          <w:sz w:val="20"/>
          <w:lang w:val="cs-CZ"/>
        </w:rPr>
        <w:t>ájemci umožněn vstupní branou do areálu Liberec —</w:t>
      </w:r>
      <w:r>
        <w:rPr>
          <w:rFonts w:ascii="Verdana" w:hAnsi="Verdana"/>
          <w:color w:val="000000"/>
          <w:sz w:val="20"/>
          <w:lang w:val="cs-CZ"/>
        </w:rPr>
        <w:t>Máchova ulice.</w:t>
      </w:r>
    </w:p>
    <w:p w14:paraId="3DE7C611" w14:textId="77777777" w:rsidR="006C3177" w:rsidRDefault="001059FC">
      <w:pPr>
        <w:numPr>
          <w:ilvl w:val="0"/>
          <w:numId w:val="5"/>
        </w:numPr>
        <w:tabs>
          <w:tab w:val="clear" w:pos="288"/>
          <w:tab w:val="decimal" w:pos="360"/>
        </w:tabs>
        <w:spacing w:before="72" w:line="285" w:lineRule="auto"/>
        <w:ind w:left="0" w:right="144" w:firstLine="72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 xml:space="preserve">Podnájemce se zavazuje, že nebude na součástech předmětu nájmu umisťovat ochranou </w:t>
      </w:r>
      <w:r>
        <w:rPr>
          <w:rFonts w:ascii="Verdana" w:hAnsi="Verdana"/>
          <w:color w:val="000000"/>
          <w:spacing w:val="-2"/>
          <w:sz w:val="20"/>
          <w:lang w:val="cs-CZ"/>
        </w:rPr>
        <w:t>známku a obchodní jméno.</w:t>
      </w:r>
    </w:p>
    <w:p w14:paraId="7FA64EFE" w14:textId="77777777" w:rsidR="006C3177" w:rsidRDefault="001059FC">
      <w:pPr>
        <w:numPr>
          <w:ilvl w:val="0"/>
          <w:numId w:val="5"/>
        </w:numPr>
        <w:tabs>
          <w:tab w:val="clear" w:pos="288"/>
          <w:tab w:val="decimal" w:pos="360"/>
        </w:tabs>
        <w:spacing w:line="278" w:lineRule="auto"/>
        <w:ind w:left="0" w:right="360" w:firstLine="72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 xml:space="preserve">Podnájemce je povinen platit nájemné ve výši a ve lhůtách splatností podle ustanovení </w:t>
      </w:r>
      <w:r>
        <w:rPr>
          <w:rFonts w:ascii="Verdana" w:hAnsi="Verdana"/>
          <w:color w:val="000000"/>
          <w:sz w:val="20"/>
          <w:lang w:val="cs-CZ"/>
        </w:rPr>
        <w:t>této smlouvy.</w:t>
      </w:r>
    </w:p>
    <w:p w14:paraId="2A3157CB" w14:textId="77777777" w:rsidR="006C3177" w:rsidRDefault="001059FC">
      <w:pPr>
        <w:numPr>
          <w:ilvl w:val="0"/>
          <w:numId w:val="5"/>
        </w:numPr>
        <w:tabs>
          <w:tab w:val="clear" w:pos="288"/>
          <w:tab w:val="decimal" w:pos="360"/>
        </w:tabs>
        <w:spacing w:line="288" w:lineRule="auto"/>
        <w:ind w:left="360" w:hanging="288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Podnájemce se zavazuje, že po celou dobu účinnosti této rámcové smlouvy bude mít 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uzavřenu smlouvu na pojištění odpovědnosti za škodu způsobenou třetím osobám, a to </w:t>
      </w:r>
      <w:r>
        <w:rPr>
          <w:rFonts w:ascii="Verdana" w:hAnsi="Verdana"/>
          <w:color w:val="000000"/>
          <w:spacing w:val="-8"/>
          <w:sz w:val="20"/>
          <w:lang w:val="cs-CZ"/>
        </w:rPr>
        <w:t xml:space="preserve">v rozsahu, který je přiměřený činnosti, kterou bude podnájemce v pronajatých prostorách </w:t>
      </w:r>
      <w:r>
        <w:rPr>
          <w:rFonts w:ascii="Verdana" w:hAnsi="Verdana"/>
          <w:color w:val="000000"/>
          <w:sz w:val="20"/>
          <w:lang w:val="cs-CZ"/>
        </w:rPr>
        <w:t>vykonávat.</w:t>
      </w:r>
    </w:p>
    <w:p w14:paraId="4201C16A" w14:textId="77777777" w:rsidR="006C3177" w:rsidRDefault="001059FC">
      <w:pPr>
        <w:spacing w:before="216" w:line="285" w:lineRule="auto"/>
        <w:jc w:val="center"/>
        <w:rPr>
          <w:rFonts w:ascii="Arial" w:hAnsi="Arial"/>
          <w:b/>
          <w:color w:val="000000"/>
          <w:sz w:val="29"/>
          <w:lang w:val="cs-CZ"/>
        </w:rPr>
      </w:pPr>
      <w:r>
        <w:rPr>
          <w:rFonts w:ascii="Arial" w:hAnsi="Arial"/>
          <w:b/>
          <w:color w:val="000000"/>
          <w:sz w:val="29"/>
          <w:lang w:val="cs-CZ"/>
        </w:rPr>
        <w:t xml:space="preserve">Vl. </w:t>
      </w:r>
      <w:r>
        <w:rPr>
          <w:rFonts w:ascii="Arial" w:hAnsi="Arial"/>
          <w:b/>
          <w:color w:val="000000"/>
          <w:sz w:val="29"/>
          <w:lang w:val="cs-CZ"/>
        </w:rPr>
        <w:br/>
        <w:t>Ostatní ujednání</w:t>
      </w:r>
    </w:p>
    <w:p w14:paraId="5865E1F6" w14:textId="77777777" w:rsidR="006C3177" w:rsidRDefault="001059FC">
      <w:pPr>
        <w:numPr>
          <w:ilvl w:val="0"/>
          <w:numId w:val="6"/>
        </w:numPr>
        <w:tabs>
          <w:tab w:val="clear" w:pos="288"/>
          <w:tab w:val="decimal" w:pos="360"/>
        </w:tabs>
        <w:spacing w:before="360"/>
        <w:ind w:left="72"/>
        <w:rPr>
          <w:rFonts w:ascii="Arial" w:hAnsi="Arial"/>
          <w:b/>
          <w:color w:val="000000"/>
          <w:spacing w:val="10"/>
          <w:sz w:val="21"/>
          <w:lang w:val="cs-CZ"/>
        </w:rPr>
      </w:pPr>
      <w:r>
        <w:rPr>
          <w:rFonts w:ascii="Arial" w:hAnsi="Arial"/>
          <w:b/>
          <w:color w:val="000000"/>
          <w:spacing w:val="10"/>
          <w:sz w:val="21"/>
          <w:lang w:val="cs-CZ"/>
        </w:rPr>
        <w:t>Podnájem</w:t>
      </w:r>
    </w:p>
    <w:p w14:paraId="579A8E21" w14:textId="77777777" w:rsidR="006C3177" w:rsidRDefault="001059FC">
      <w:pPr>
        <w:spacing w:before="36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Podnájemce není oprávn</w:t>
      </w:r>
      <w:r>
        <w:rPr>
          <w:rFonts w:ascii="Verdana" w:hAnsi="Verdana"/>
          <w:color w:val="000000"/>
          <w:spacing w:val="-2"/>
          <w:sz w:val="20"/>
          <w:lang w:val="cs-CZ"/>
        </w:rPr>
        <w:t>ěn přenechat předmět nájmu do podnájmu jinému</w:t>
      </w:r>
    </w:p>
    <w:p w14:paraId="5F4B7A2D" w14:textId="77777777" w:rsidR="006C3177" w:rsidRDefault="001059FC">
      <w:pPr>
        <w:numPr>
          <w:ilvl w:val="0"/>
          <w:numId w:val="6"/>
        </w:numPr>
        <w:tabs>
          <w:tab w:val="clear" w:pos="288"/>
          <w:tab w:val="decimal" w:pos="360"/>
        </w:tabs>
        <w:spacing w:before="72"/>
        <w:ind w:left="72"/>
        <w:rPr>
          <w:rFonts w:ascii="Arial" w:hAnsi="Arial"/>
          <w:b/>
          <w:color w:val="000000"/>
          <w:spacing w:val="14"/>
          <w:sz w:val="21"/>
          <w:lang w:val="cs-CZ"/>
        </w:rPr>
      </w:pPr>
      <w:r>
        <w:rPr>
          <w:rFonts w:ascii="Arial" w:hAnsi="Arial"/>
          <w:b/>
          <w:color w:val="000000"/>
          <w:spacing w:val="14"/>
          <w:sz w:val="21"/>
          <w:lang w:val="cs-CZ"/>
        </w:rPr>
        <w:t>Zvláštní ujednání</w:t>
      </w:r>
    </w:p>
    <w:p w14:paraId="6D9B09A7" w14:textId="77777777" w:rsidR="006C3177" w:rsidRDefault="001059FC">
      <w:pPr>
        <w:spacing w:before="36" w:line="295" w:lineRule="auto"/>
        <w:ind w:right="72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 xml:space="preserve">Podnájemce je oprávněn nad rámec účelu podnájmu vyvíjet jinou činnost pouze na základě </w:t>
      </w:r>
      <w:r>
        <w:rPr>
          <w:rFonts w:ascii="Verdana" w:hAnsi="Verdana"/>
          <w:color w:val="000000"/>
          <w:spacing w:val="-2"/>
          <w:sz w:val="20"/>
          <w:lang w:val="cs-CZ"/>
        </w:rPr>
        <w:t>předchozího prokazatelného souhlasu pronajímatele.</w:t>
      </w:r>
    </w:p>
    <w:p w14:paraId="6FCE4ECA" w14:textId="77777777" w:rsidR="006C3177" w:rsidRDefault="001059FC">
      <w:pPr>
        <w:numPr>
          <w:ilvl w:val="0"/>
          <w:numId w:val="6"/>
        </w:numPr>
        <w:tabs>
          <w:tab w:val="clear" w:pos="288"/>
          <w:tab w:val="decimal" w:pos="360"/>
        </w:tabs>
        <w:ind w:left="72"/>
        <w:rPr>
          <w:rFonts w:ascii="Arial" w:hAnsi="Arial"/>
          <w:b/>
          <w:color w:val="000000"/>
          <w:spacing w:val="18"/>
          <w:sz w:val="21"/>
          <w:lang w:val="cs-CZ"/>
        </w:rPr>
      </w:pPr>
      <w:r>
        <w:rPr>
          <w:rFonts w:ascii="Arial" w:hAnsi="Arial"/>
          <w:b/>
          <w:color w:val="000000"/>
          <w:spacing w:val="18"/>
          <w:sz w:val="21"/>
          <w:lang w:val="cs-CZ"/>
        </w:rPr>
        <w:t>Náhrada škody</w:t>
      </w:r>
    </w:p>
    <w:p w14:paraId="58B196CA" w14:textId="77777777" w:rsidR="006C3177" w:rsidRDefault="001059FC">
      <w:pPr>
        <w:spacing w:before="36" w:line="300" w:lineRule="auto"/>
        <w:ind w:right="720"/>
        <w:rPr>
          <w:rFonts w:ascii="Verdana" w:hAnsi="Verdana"/>
          <w:color w:val="000000"/>
          <w:spacing w:val="-2"/>
          <w:sz w:val="19"/>
          <w:lang w:val="cs-CZ"/>
        </w:rPr>
      </w:pPr>
      <w:r>
        <w:rPr>
          <w:rFonts w:ascii="Verdana" w:hAnsi="Verdana"/>
          <w:color w:val="000000"/>
          <w:spacing w:val="-2"/>
          <w:sz w:val="19"/>
          <w:lang w:val="cs-CZ"/>
        </w:rPr>
        <w:t xml:space="preserve">Podnájemce uhradí pronajímateli veškeré </w:t>
      </w:r>
      <w:r>
        <w:rPr>
          <w:rFonts w:ascii="Verdana" w:hAnsi="Verdana"/>
          <w:color w:val="000000"/>
          <w:spacing w:val="-2"/>
          <w:sz w:val="19"/>
          <w:lang w:val="cs-CZ"/>
        </w:rPr>
        <w:t xml:space="preserve">škody na pronajatém majetku způsobeném </w:t>
      </w:r>
      <w:r>
        <w:rPr>
          <w:rFonts w:ascii="Verdana" w:hAnsi="Verdana"/>
          <w:color w:val="000000"/>
          <w:sz w:val="19"/>
          <w:lang w:val="cs-CZ"/>
        </w:rPr>
        <w:t xml:space="preserve">vlastním provozem s </w:t>
      </w:r>
      <w:r>
        <w:rPr>
          <w:rFonts w:ascii="Verdana" w:hAnsi="Verdana"/>
          <w:color w:val="000000"/>
          <w:sz w:val="20"/>
          <w:lang w:val="cs-CZ"/>
        </w:rPr>
        <w:t xml:space="preserve">výjimkou běžného opotřebení tohoto majetku. Pronajímatel </w:t>
      </w:r>
      <w:r>
        <w:rPr>
          <w:rFonts w:ascii="Verdana" w:hAnsi="Verdana"/>
          <w:color w:val="000000"/>
          <w:spacing w:val="-3"/>
          <w:sz w:val="20"/>
          <w:lang w:val="cs-CZ"/>
        </w:rPr>
        <w:t>neodpovídá za škody způsobené třetím osobám činností podnájemce.</w:t>
      </w:r>
    </w:p>
    <w:p w14:paraId="2FF2A384" w14:textId="77777777" w:rsidR="006C3177" w:rsidRDefault="001059FC">
      <w:pPr>
        <w:spacing w:before="396" w:line="280" w:lineRule="auto"/>
        <w:jc w:val="center"/>
        <w:rPr>
          <w:rFonts w:ascii="Arial" w:hAnsi="Arial"/>
          <w:b/>
          <w:color w:val="000000"/>
          <w:sz w:val="29"/>
          <w:lang w:val="cs-CZ"/>
        </w:rPr>
      </w:pPr>
      <w:r>
        <w:rPr>
          <w:rFonts w:ascii="Arial" w:hAnsi="Arial"/>
          <w:b/>
          <w:color w:val="000000"/>
          <w:sz w:val="29"/>
          <w:lang w:val="cs-CZ"/>
        </w:rPr>
        <w:t xml:space="preserve">VII. </w:t>
      </w:r>
      <w:r>
        <w:rPr>
          <w:rFonts w:ascii="Arial" w:hAnsi="Arial"/>
          <w:b/>
          <w:color w:val="000000"/>
          <w:sz w:val="29"/>
          <w:lang w:val="cs-CZ"/>
        </w:rPr>
        <w:br/>
        <w:t>Změny smlouvy</w:t>
      </w:r>
    </w:p>
    <w:p w14:paraId="0A77DA85" w14:textId="77777777" w:rsidR="006C3177" w:rsidRDefault="001059FC">
      <w:pPr>
        <w:spacing w:before="324" w:line="290" w:lineRule="auto"/>
        <w:ind w:right="720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>Jakékoli zm</w:t>
      </w:r>
      <w:r>
        <w:rPr>
          <w:rFonts w:ascii="Verdana" w:hAnsi="Verdana"/>
          <w:color w:val="000000"/>
          <w:spacing w:val="-7"/>
          <w:sz w:val="20"/>
          <w:lang w:val="cs-CZ"/>
        </w:rPr>
        <w:t xml:space="preserve">ěny nebo doplňky této smlouvy je možno provádět jen na základě dohody </w:t>
      </w:r>
      <w:r>
        <w:rPr>
          <w:rFonts w:ascii="Verdana" w:hAnsi="Verdana"/>
          <w:color w:val="000000"/>
          <w:spacing w:val="-3"/>
          <w:sz w:val="20"/>
          <w:lang w:val="cs-CZ"/>
        </w:rPr>
        <w:t>smluvních stran, a to ve formě písemného dodatku.</w:t>
      </w:r>
    </w:p>
    <w:p w14:paraId="3306D272" w14:textId="77777777" w:rsidR="006C3177" w:rsidRDefault="006C3177">
      <w:pPr>
        <w:sectPr w:rsidR="006C3177">
          <w:pgSz w:w="11918" w:h="16854"/>
          <w:pgMar w:top="1492" w:right="1358" w:bottom="1286" w:left="1380" w:header="720" w:footer="720" w:gutter="0"/>
          <w:cols w:space="708"/>
        </w:sectPr>
      </w:pPr>
    </w:p>
    <w:p w14:paraId="27C426BF" w14:textId="77777777" w:rsidR="006C3177" w:rsidRDefault="001059FC">
      <w:pPr>
        <w:spacing w:line="292" w:lineRule="auto"/>
        <w:ind w:left="432"/>
        <w:jc w:val="center"/>
        <w:rPr>
          <w:rFonts w:ascii="Arial" w:hAnsi="Arial"/>
          <w:b/>
          <w:color w:val="000000"/>
          <w:sz w:val="28"/>
          <w:lang w:val="cs-CZ"/>
        </w:rPr>
      </w:pPr>
      <w:r>
        <w:rPr>
          <w:rFonts w:ascii="Arial" w:hAnsi="Arial"/>
          <w:b/>
          <w:color w:val="000000"/>
          <w:sz w:val="28"/>
          <w:lang w:val="cs-CZ"/>
        </w:rPr>
        <w:lastRenderedPageBreak/>
        <w:t xml:space="preserve">VIII. </w:t>
      </w:r>
      <w:r>
        <w:rPr>
          <w:rFonts w:ascii="Arial" w:hAnsi="Arial"/>
          <w:b/>
          <w:color w:val="000000"/>
          <w:sz w:val="28"/>
          <w:lang w:val="cs-CZ"/>
        </w:rPr>
        <w:br/>
        <w:t>Závěrečná ujednání</w:t>
      </w:r>
    </w:p>
    <w:p w14:paraId="2B0F443B" w14:textId="77777777" w:rsidR="006C3177" w:rsidRDefault="001059FC">
      <w:pPr>
        <w:numPr>
          <w:ilvl w:val="0"/>
          <w:numId w:val="7"/>
        </w:numPr>
        <w:tabs>
          <w:tab w:val="clear" w:pos="216"/>
          <w:tab w:val="decimal" w:pos="288"/>
        </w:tabs>
        <w:spacing w:before="252" w:line="297" w:lineRule="auto"/>
        <w:ind w:left="0" w:right="72" w:firstLine="72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Tato smlouva je sepsána ve dvou vyhotoveních (každé vyhotovení obsahuje 4 strany), </w:t>
      </w:r>
      <w:r>
        <w:rPr>
          <w:rFonts w:ascii="Arial" w:hAnsi="Arial"/>
          <w:color w:val="000000"/>
          <w:spacing w:val="4"/>
          <w:sz w:val="21"/>
          <w:lang w:val="cs-CZ"/>
        </w:rPr>
        <w:t>z nichž nájemce i pronajímatel obdrží po jednom vyhotovení.</w:t>
      </w:r>
    </w:p>
    <w:p w14:paraId="03B952EB" w14:textId="77777777" w:rsidR="006C3177" w:rsidRDefault="001059FC">
      <w:pPr>
        <w:numPr>
          <w:ilvl w:val="0"/>
          <w:numId w:val="7"/>
        </w:numPr>
        <w:tabs>
          <w:tab w:val="clear" w:pos="216"/>
          <w:tab w:val="decimal" w:pos="288"/>
        </w:tabs>
        <w:spacing w:before="288" w:line="304" w:lineRule="auto"/>
        <w:ind w:left="0" w:right="360" w:firstLine="72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 xml:space="preserve">Smluvní strany prohlašují, že obsah této smlouvy jako celek i každé její ustanovení </w:t>
      </w:r>
      <w:r>
        <w:rPr>
          <w:rFonts w:ascii="Arial" w:hAnsi="Arial"/>
          <w:color w:val="000000"/>
          <w:spacing w:val="4"/>
          <w:sz w:val="21"/>
          <w:lang w:val="cs-CZ"/>
        </w:rPr>
        <w:t>samostatně je projevem jejich pravé, svobodné a vážné vůle.</w:t>
      </w:r>
    </w:p>
    <w:p w14:paraId="77AEBFC9" w14:textId="77777777" w:rsidR="006C3177" w:rsidRDefault="001059FC">
      <w:pPr>
        <w:spacing w:before="1404" w:after="252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V Liberci dne: 25.4.2022</w:t>
      </w:r>
    </w:p>
    <w:p w14:paraId="060067A0" w14:textId="77777777" w:rsidR="006C3177" w:rsidRDefault="006C3177">
      <w:pPr>
        <w:sectPr w:rsidR="006C3177">
          <w:pgSz w:w="11918" w:h="16854"/>
          <w:pgMar w:top="1592" w:right="1811" w:bottom="8032" w:left="1407" w:header="720" w:footer="720" w:gutter="0"/>
          <w:cols w:space="708"/>
        </w:sectPr>
      </w:pPr>
    </w:p>
    <w:p w14:paraId="46410971" w14:textId="76C9884B" w:rsidR="006C3177" w:rsidRDefault="001059FC">
      <w:pPr>
        <w:tabs>
          <w:tab w:val="left" w:pos="1683"/>
        </w:tabs>
        <w:spacing w:after="936" w:line="213" w:lineRule="auto"/>
        <w:ind w:firstLine="288"/>
        <w:rPr>
          <w:rFonts w:ascii="Times New Roman" w:hAnsi="Times New Roman"/>
          <w:i/>
          <w:color w:val="000000"/>
          <w:spacing w:val="-4"/>
          <w:sz w:val="21"/>
          <w:lang w:val="cs-CZ"/>
        </w:rPr>
      </w:pPr>
      <w:r>
        <w:rPr>
          <w:rFonts w:ascii="Times New Roman" w:hAnsi="Times New Roman"/>
          <w:color w:val="000000"/>
          <w:sz w:val="21"/>
          <w:lang w:val="cs-CZ"/>
        </w:rPr>
        <w:tab/>
      </w:r>
    </w:p>
    <w:p w14:paraId="481416BB" w14:textId="77777777" w:rsidR="006C3177" w:rsidRDefault="006C3177">
      <w:pPr>
        <w:sectPr w:rsidR="006C3177">
          <w:type w:val="continuous"/>
          <w:pgSz w:w="11918" w:h="16854"/>
          <w:pgMar w:top="1592" w:right="1615" w:bottom="8032" w:left="7703" w:header="720" w:footer="720" w:gutter="0"/>
          <w:cols w:space="708"/>
        </w:sectPr>
      </w:pPr>
    </w:p>
    <w:p w14:paraId="45B8E63D" w14:textId="13A33233" w:rsidR="006C3177" w:rsidRDefault="006C3177" w:rsidP="007E2B6C">
      <w:pPr>
        <w:spacing w:before="72"/>
        <w:rPr>
          <w:rFonts w:ascii="Arial" w:hAnsi="Arial"/>
          <w:color w:val="000000"/>
          <w:spacing w:val="-3"/>
          <w:sz w:val="21"/>
          <w:lang w:val="cs-CZ"/>
        </w:rPr>
      </w:pPr>
    </w:p>
    <w:sectPr w:rsidR="006C3177">
      <w:type w:val="continuous"/>
      <w:pgSz w:w="11918" w:h="16854"/>
      <w:pgMar w:top="1592" w:right="1861" w:bottom="8032" w:left="855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865"/>
    <w:multiLevelType w:val="multilevel"/>
    <w:tmpl w:val="221CE97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D446A"/>
    <w:multiLevelType w:val="multilevel"/>
    <w:tmpl w:val="8CAE943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67525"/>
    <w:multiLevelType w:val="multilevel"/>
    <w:tmpl w:val="B21C4CE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15989"/>
    <w:multiLevelType w:val="multilevel"/>
    <w:tmpl w:val="49BE676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E16DE2"/>
    <w:multiLevelType w:val="multilevel"/>
    <w:tmpl w:val="78B42AF4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072FE0"/>
    <w:multiLevelType w:val="multilevel"/>
    <w:tmpl w:val="CADE36C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96566"/>
    <w:multiLevelType w:val="multilevel"/>
    <w:tmpl w:val="6B68D366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0476583">
    <w:abstractNumId w:val="0"/>
  </w:num>
  <w:num w:numId="2" w16cid:durableId="821041315">
    <w:abstractNumId w:val="1"/>
  </w:num>
  <w:num w:numId="3" w16cid:durableId="1400786119">
    <w:abstractNumId w:val="5"/>
  </w:num>
  <w:num w:numId="4" w16cid:durableId="2092577271">
    <w:abstractNumId w:val="4"/>
  </w:num>
  <w:num w:numId="5" w16cid:durableId="639119673">
    <w:abstractNumId w:val="6"/>
  </w:num>
  <w:num w:numId="6" w16cid:durableId="1542667314">
    <w:abstractNumId w:val="2"/>
  </w:num>
  <w:num w:numId="7" w16cid:durableId="696808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77"/>
    <w:rsid w:val="001059FC"/>
    <w:rsid w:val="001E5BB3"/>
    <w:rsid w:val="006C3177"/>
    <w:rsid w:val="007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1CE1F30"/>
  <w15:docId w15:val="{704B5318-A3C7-4E97-BD29-6E1231E1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oskolahavl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2022-05-16T10:39:00Z</dcterms:created>
  <dcterms:modified xsi:type="dcterms:W3CDTF">2022-05-16T10:39:00Z</dcterms:modified>
</cp:coreProperties>
</file>