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uzavřená podle ust.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…………………………………..</w:t>
      </w:r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4380762" w14:textId="77777777" w:rsidR="00576FD2" w:rsidRDefault="00576FD2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447FF9FE" w14:textId="77777777" w:rsidR="00576FD2" w:rsidRDefault="00576FD2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Mgr. Miroslavem Chlubnou, starostou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00297577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F939308" w14:textId="2F7C2E3C" w:rsidR="00E318F9" w:rsidRPr="004C60DB" w:rsidRDefault="004C60DB">
      <w:pPr>
        <w:rPr>
          <w:rFonts w:ascii="Arial" w:hAnsi="Arial" w:cs="Arial"/>
          <w:b/>
          <w:bCs/>
          <w:sz w:val="22"/>
          <w:szCs w:val="22"/>
        </w:rPr>
      </w:pPr>
      <w:r w:rsidRPr="004C60DB">
        <w:rPr>
          <w:rFonts w:ascii="Arial" w:hAnsi="Arial" w:cs="Arial"/>
          <w:b/>
          <w:bCs/>
          <w:sz w:val="22"/>
          <w:szCs w:val="22"/>
        </w:rPr>
        <w:t>1. FBK Eagles Orlová, z.s.</w:t>
      </w:r>
    </w:p>
    <w:p w14:paraId="6B7C7DC9" w14:textId="77CDBF62" w:rsidR="00E318F9" w:rsidRPr="004C60DB" w:rsidRDefault="007F48E3">
      <w:pPr>
        <w:rPr>
          <w:rFonts w:ascii="Arial" w:hAnsi="Arial" w:cs="Arial"/>
          <w:sz w:val="22"/>
          <w:szCs w:val="22"/>
        </w:rPr>
      </w:pPr>
      <w:r w:rsidRPr="004C60DB">
        <w:rPr>
          <w:rFonts w:ascii="Arial" w:hAnsi="Arial" w:cs="Arial"/>
          <w:sz w:val="22"/>
          <w:szCs w:val="22"/>
        </w:rPr>
        <w:t xml:space="preserve">právní forma: </w:t>
      </w:r>
      <w:r w:rsidR="004C60DB" w:rsidRPr="004C60DB">
        <w:rPr>
          <w:rFonts w:ascii="Arial" w:hAnsi="Arial" w:cs="Arial"/>
          <w:sz w:val="22"/>
          <w:szCs w:val="22"/>
        </w:rPr>
        <w:t>spolek</w:t>
      </w:r>
    </w:p>
    <w:p w14:paraId="21F266BB" w14:textId="001C9A3F" w:rsidR="00E318F9" w:rsidRPr="004C60DB" w:rsidRDefault="007F48E3">
      <w:pPr>
        <w:rPr>
          <w:rFonts w:ascii="Arial" w:hAnsi="Arial" w:cs="Arial"/>
          <w:sz w:val="22"/>
          <w:szCs w:val="22"/>
        </w:rPr>
      </w:pPr>
      <w:r w:rsidRPr="004C60DB">
        <w:rPr>
          <w:rFonts w:ascii="Arial" w:hAnsi="Arial" w:cs="Arial"/>
          <w:sz w:val="22"/>
          <w:szCs w:val="22"/>
        </w:rPr>
        <w:t>zastoupen</w:t>
      </w:r>
      <w:r w:rsidR="004C60DB" w:rsidRPr="004C60DB">
        <w:rPr>
          <w:rFonts w:ascii="Arial" w:hAnsi="Arial" w:cs="Arial"/>
          <w:sz w:val="22"/>
          <w:szCs w:val="22"/>
        </w:rPr>
        <w:t>: Ing. Davidem Bernatíkem, vedoucím</w:t>
      </w:r>
    </w:p>
    <w:p w14:paraId="6B5BDE2F" w14:textId="63C2D0FE" w:rsidR="00E318F9" w:rsidRPr="004C60DB" w:rsidRDefault="007F48E3">
      <w:pPr>
        <w:rPr>
          <w:rFonts w:ascii="Arial" w:hAnsi="Arial" w:cs="Arial"/>
          <w:sz w:val="22"/>
          <w:szCs w:val="22"/>
        </w:rPr>
      </w:pPr>
      <w:r w:rsidRPr="004C60DB">
        <w:rPr>
          <w:rFonts w:ascii="Arial" w:hAnsi="Arial" w:cs="Arial"/>
          <w:sz w:val="22"/>
          <w:szCs w:val="22"/>
        </w:rPr>
        <w:t>adresa:</w:t>
      </w:r>
      <w:r w:rsidRPr="004C60DB">
        <w:rPr>
          <w:rStyle w:val="Siln"/>
          <w:rFonts w:ascii="Arial" w:hAnsi="Arial" w:cs="Arial"/>
          <w:sz w:val="22"/>
          <w:szCs w:val="22"/>
        </w:rPr>
        <w:t xml:space="preserve"> </w:t>
      </w:r>
      <w:r w:rsidR="004C60DB" w:rsidRPr="004C60DB">
        <w:rPr>
          <w:rFonts w:ascii="Arial" w:hAnsi="Arial" w:cs="Arial"/>
          <w:sz w:val="22"/>
          <w:szCs w:val="22"/>
        </w:rPr>
        <w:t>Na Vyhlídce 168, Lutyně, 735 14 Orlová</w:t>
      </w:r>
    </w:p>
    <w:p w14:paraId="3E67B180" w14:textId="62C31CDA" w:rsidR="00E318F9" w:rsidRPr="004C60DB" w:rsidRDefault="007F48E3">
      <w:pPr>
        <w:rPr>
          <w:rFonts w:ascii="Arial" w:hAnsi="Arial" w:cs="Arial"/>
          <w:bCs/>
          <w:sz w:val="22"/>
          <w:szCs w:val="22"/>
        </w:rPr>
      </w:pPr>
      <w:r w:rsidRPr="004C60DB">
        <w:rPr>
          <w:rFonts w:ascii="Arial" w:hAnsi="Arial" w:cs="Arial"/>
          <w:sz w:val="22"/>
          <w:szCs w:val="22"/>
        </w:rPr>
        <w:t xml:space="preserve">IČO: </w:t>
      </w:r>
      <w:r w:rsidR="004C60DB" w:rsidRPr="004C60DB">
        <w:rPr>
          <w:rFonts w:ascii="Arial" w:hAnsi="Arial" w:cs="Arial"/>
          <w:bCs/>
          <w:sz w:val="22"/>
          <w:szCs w:val="22"/>
        </w:rPr>
        <w:t>708 53 231</w:t>
      </w:r>
    </w:p>
    <w:p w14:paraId="2B11623A" w14:textId="192BDF32" w:rsidR="00E318F9" w:rsidRPr="004C60DB" w:rsidRDefault="007F48E3">
      <w:pPr>
        <w:rPr>
          <w:rFonts w:ascii="Arial" w:hAnsi="Arial" w:cs="Arial"/>
          <w:sz w:val="22"/>
          <w:szCs w:val="22"/>
        </w:rPr>
      </w:pPr>
      <w:r w:rsidRPr="004C60DB">
        <w:rPr>
          <w:rFonts w:ascii="Arial" w:hAnsi="Arial" w:cs="Arial"/>
          <w:sz w:val="22"/>
          <w:szCs w:val="22"/>
        </w:rPr>
        <w:t xml:space="preserve">bankovní spojení: </w:t>
      </w:r>
      <w:r w:rsidR="004C60DB" w:rsidRPr="004C60DB">
        <w:rPr>
          <w:rFonts w:ascii="Arial" w:hAnsi="Arial" w:cs="Arial"/>
          <w:sz w:val="22"/>
          <w:szCs w:val="22"/>
        </w:rPr>
        <w:t>Československá obchodní banka, a. s.</w:t>
      </w:r>
    </w:p>
    <w:p w14:paraId="54F22608" w14:textId="3A37B527" w:rsidR="00E318F9" w:rsidRPr="004C60DB" w:rsidRDefault="007F48E3">
      <w:pPr>
        <w:rPr>
          <w:rFonts w:ascii="Arial" w:hAnsi="Arial" w:cs="Arial"/>
          <w:sz w:val="22"/>
          <w:szCs w:val="22"/>
        </w:rPr>
      </w:pPr>
      <w:r w:rsidRPr="004C60DB">
        <w:rPr>
          <w:rFonts w:ascii="Arial" w:hAnsi="Arial" w:cs="Arial"/>
          <w:sz w:val="22"/>
          <w:szCs w:val="22"/>
        </w:rPr>
        <w:t xml:space="preserve">číslo účtu: </w:t>
      </w:r>
      <w:r w:rsidR="004C60DB" w:rsidRPr="004C60DB">
        <w:rPr>
          <w:rFonts w:ascii="Arial" w:hAnsi="Arial" w:cs="Arial"/>
          <w:sz w:val="22"/>
          <w:szCs w:val="22"/>
        </w:rPr>
        <w:t>167037120/0300</w:t>
      </w:r>
    </w:p>
    <w:p w14:paraId="68A9EE6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CA6525F" w14:textId="77777777" w:rsidR="00576FD2" w:rsidRDefault="00576FD2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B30332" w14:textId="77777777" w:rsidR="00576FD2" w:rsidRDefault="00576FD2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o rozpočtových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558E523B" w14:textId="77777777" w:rsidR="00576FD2" w:rsidRDefault="00576FD2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78132F2D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podle této smlouvy poskytne příjemci dotace neinvestiční účelovou dotaci ve</w:t>
      </w:r>
      <w:r w:rsidR="00601AAC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C60DB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4C60DB" w:rsidRPr="004C60DB">
        <w:rPr>
          <w:rFonts w:ascii="Arial" w:eastAsia="Calibri" w:hAnsi="Arial" w:cs="Arial"/>
          <w:b/>
          <w:sz w:val="22"/>
          <w:szCs w:val="22"/>
          <w:lang w:eastAsia="en-US"/>
        </w:rPr>
        <w:t>150 000</w:t>
      </w:r>
      <w:r w:rsidRPr="004C60DB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4C60DB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4C60DB" w:rsidRPr="004C60DB">
        <w:rPr>
          <w:rFonts w:ascii="Arial" w:eastAsia="Calibri" w:hAnsi="Arial" w:cs="Arial"/>
          <w:sz w:val="22"/>
          <w:szCs w:val="22"/>
          <w:lang w:eastAsia="en-US"/>
        </w:rPr>
        <w:t>sto padesát tisíc</w:t>
      </w:r>
      <w:r w:rsidRPr="004C60DB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D67E6A" w:rsidRPr="004C60DB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4C60DB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4C60DB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4C60DB" w:rsidRPr="004C60DB">
        <w:rPr>
          <w:rFonts w:ascii="Arial" w:eastAsia="Calibri" w:hAnsi="Arial" w:cs="Arial"/>
          <w:b/>
          <w:sz w:val="22"/>
          <w:szCs w:val="22"/>
          <w:lang w:eastAsia="en-US"/>
        </w:rPr>
        <w:t>1. FBK Eagles Orlová</w:t>
      </w:r>
      <w:r w:rsidRPr="004C60DB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4C60DB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4C60D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C60DB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D67E6A" w:rsidRPr="004C60DB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4C60DB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77777777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D67E6A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F57CB2" w14:textId="77777777" w:rsidR="00576FD2" w:rsidRDefault="00576FD2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7BD9BA6" w14:textId="77777777" w:rsidR="00576FD2" w:rsidRDefault="00576FD2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prohlašuje, že poskytnutí dotace podle této smlouvy je poskytnutím podpory de minimis ve smyslu Nařízení Komise (EU) č. 1407/2013 ze dne 18.12.2013,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minimis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Úředním věstníku Evropské unie dne 24.12.2013 v částce L 352). Za den poskytnutí podpory de minimis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prohlašuje, že nenastaly okolnosti, které by vylučovaly aplikaci pravidla de minimis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Nařízení Komise (EU) č. 1407/2013, zejména že poskytnutím této dotace nedojde k takové kumulaci s jinou veřejnou podporou ohledně týchž nákladů, která by způsobila překročení povolené míry podpory de minimis, a že v posledních 3 účetních obdobích příjemci, resp. subjektům, které jsou spolu s příjemcem dle čl. 2 odst. 2 Nařízení Komise (EU) č. 1407/2013 považovány za jeden podnik, nebyla poskytnuta podpora de minimis,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podporou de minimis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termínu do 31.03.202</w:t>
      </w:r>
      <w:r w:rsidR="00D67E6A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14:paraId="75EFA216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základě výzvy předkládat požadované informace poskytovateli dotace (finanční rozpočet klubu, členská základna, apod.),</w:t>
      </w:r>
    </w:p>
    <w:p w14:paraId="052A2A65" w14:textId="77777777" w:rsidR="00E318F9" w:rsidRPr="00576FD2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576FD2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23EFFBC5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řízení, které mohou být proti příjemci dotace zahájeny (např. přeměna, likvidace, insolvence,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 w:rsidP="00576FD2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ust. § 10a odst. 6 zákona o rozpočtových pravidlech. Odvod za tato porušení rozpočtové kázně se stanoví následujícím procentem:</w:t>
      </w:r>
    </w:p>
    <w:p w14:paraId="50E3AEAF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 w:rsidP="00576FD2">
      <w:pPr>
        <w:numPr>
          <w:ilvl w:val="0"/>
          <w:numId w:val="11"/>
        </w:num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Default="007F48E3" w:rsidP="00576FD2">
      <w:pPr>
        <w:numPr>
          <w:ilvl w:val="0"/>
          <w:numId w:val="11"/>
        </w:num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4 písm. a)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576FD2" w:rsidRDefault="007F48E3" w:rsidP="00576FD2">
      <w:pPr>
        <w:spacing w:after="200" w:line="276" w:lineRule="auto"/>
        <w:ind w:left="567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Default="00E318F9" w:rsidP="00576FD2">
      <w:p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Default="007F48E3" w:rsidP="00576FD2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>dotace, což jsou zejména postupy a</w:t>
      </w:r>
      <w:r w:rsidR="008B63AA" w:rsidRPr="00576FD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dotace.</w:t>
      </w:r>
    </w:p>
    <w:p w14:paraId="6008E0C1" w14:textId="77777777" w:rsidR="00576FD2" w:rsidRPr="00576FD2" w:rsidRDefault="00576FD2" w:rsidP="00576FD2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DD37D8" w14:textId="337B98A2" w:rsidR="00E318F9" w:rsidRPr="00576FD2" w:rsidRDefault="00576FD2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6FD2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 340/2015 Sb., o zvláštních podmínkách účinnosti některých smluv, uveřejňování těchto smluv a o registru smluv (zákon o registru smluv) (dále jen „zákon o registru smluv“), není-li stanovena účinnost pozdější, odvíjející se od lhůty stanovené v ust. § 5 odst. 2 zákona 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stranami.</w:t>
      </w:r>
    </w:p>
    <w:p w14:paraId="4916739B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 w:rsidP="00576FD2">
      <w:p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279B4716" w14:textId="77777777" w:rsidR="00576FD2" w:rsidRDefault="00576FD2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 w:rsidP="00576FD2">
      <w:p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 w:rsidP="00576FD2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 w:rsidP="00576FD2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50D4F140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 poskytnutí dotace a uzavření této smlouvy rozhodl</w:t>
      </w:r>
      <w:r w:rsidR="00576FD2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6FD2" w:rsidRPr="00576FD2">
        <w:rPr>
          <w:rFonts w:ascii="Arial" w:eastAsia="Calibri" w:hAnsi="Arial" w:cs="Arial"/>
          <w:sz w:val="22"/>
          <w:szCs w:val="22"/>
          <w:lang w:eastAsia="en-US"/>
        </w:rPr>
        <w:t>Zastupitelstvo města Orlová</w:t>
      </w:r>
      <w:r w:rsidRPr="00576F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576FD2">
        <w:rPr>
          <w:rFonts w:ascii="Arial" w:eastAsia="Calibri" w:hAnsi="Arial" w:cs="Arial"/>
          <w:sz w:val="22"/>
          <w:szCs w:val="22"/>
          <w:lang w:eastAsia="en-US"/>
        </w:rPr>
        <w:t>613/25.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r w:rsidR="00576FD2">
        <w:rPr>
          <w:rFonts w:ascii="Arial" w:eastAsia="Calibri" w:hAnsi="Arial" w:cs="Arial"/>
          <w:sz w:val="22"/>
          <w:szCs w:val="22"/>
          <w:lang w:eastAsia="en-US"/>
        </w:rPr>
        <w:t>25.04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67E6A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26B0468F" w14:textId="4D6CD12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 w:rsidR="0081672D">
        <w:rPr>
          <w:rFonts w:ascii="Arial" w:hAnsi="Arial" w:cs="Arial"/>
          <w:sz w:val="22"/>
          <w:szCs w:val="22"/>
        </w:rPr>
        <w:t>09.05.2022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81672D">
        <w:rPr>
          <w:rFonts w:ascii="Arial" w:hAnsi="Arial" w:cs="Arial"/>
          <w:sz w:val="22"/>
          <w:szCs w:val="22"/>
        </w:rPr>
        <w:t>13.05.2022</w:t>
      </w:r>
    </w:p>
    <w:p w14:paraId="538FA0E2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3542FF9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FC146BC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34C38E10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70539164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0FDA855" w14:textId="77777777"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14:paraId="2E2F9A39" w14:textId="77777777" w:rsidR="00E318F9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36150B8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5B4B7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0DBCB90B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37BE7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62A94FEE" w:rsidR="00E318F9" w:rsidRPr="004C60DB" w:rsidRDefault="007F48E3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Mgr. Miroslav Chlubna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C60DB" w:rsidRPr="004C60DB">
        <w:rPr>
          <w:rFonts w:ascii="Arial" w:hAnsi="Arial" w:cs="Arial"/>
          <w:b/>
          <w:sz w:val="22"/>
          <w:szCs w:val="22"/>
        </w:rPr>
        <w:t>Ing. David Bernatík</w:t>
      </w:r>
    </w:p>
    <w:p w14:paraId="6C2D31E7" w14:textId="1B74BE64" w:rsidR="00E318F9" w:rsidRPr="004C60DB" w:rsidRDefault="007F48E3">
      <w:r w:rsidRPr="004C60DB">
        <w:rPr>
          <w:rFonts w:ascii="Arial" w:hAnsi="Arial" w:cs="Arial"/>
          <w:sz w:val="22"/>
          <w:szCs w:val="22"/>
        </w:rPr>
        <w:t xml:space="preserve">starosta města                          </w:t>
      </w:r>
      <w:r w:rsidRPr="004C60DB">
        <w:rPr>
          <w:rFonts w:ascii="Arial" w:hAnsi="Arial" w:cs="Arial"/>
          <w:sz w:val="22"/>
          <w:szCs w:val="22"/>
        </w:rPr>
        <w:tab/>
      </w:r>
      <w:r w:rsidRPr="004C60DB">
        <w:rPr>
          <w:rFonts w:ascii="Arial" w:hAnsi="Arial" w:cs="Arial"/>
          <w:sz w:val="22"/>
          <w:szCs w:val="22"/>
        </w:rPr>
        <w:tab/>
      </w:r>
      <w:r w:rsidRPr="004C60DB">
        <w:rPr>
          <w:rFonts w:ascii="Arial" w:hAnsi="Arial" w:cs="Arial"/>
          <w:sz w:val="22"/>
          <w:szCs w:val="22"/>
        </w:rPr>
        <w:tab/>
      </w:r>
      <w:r w:rsidR="004C60DB" w:rsidRPr="004C60DB">
        <w:rPr>
          <w:rFonts w:ascii="Arial" w:hAnsi="Arial" w:cs="Arial"/>
          <w:sz w:val="22"/>
          <w:szCs w:val="22"/>
        </w:rPr>
        <w:t>vedoucí spolku</w:t>
      </w:r>
    </w:p>
    <w:sectPr w:rsidR="00E318F9" w:rsidRPr="004C60DB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E44A0" w14:textId="77777777" w:rsidR="00957303" w:rsidRDefault="00957303">
      <w:r>
        <w:separator/>
      </w:r>
    </w:p>
  </w:endnote>
  <w:endnote w:type="continuationSeparator" w:id="0">
    <w:p w14:paraId="094A4635" w14:textId="77777777" w:rsidR="00957303" w:rsidRDefault="0095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67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672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1FDE9" w14:textId="77777777" w:rsidR="00957303" w:rsidRDefault="00957303">
      <w:r>
        <w:separator/>
      </w:r>
    </w:p>
  </w:footnote>
  <w:footnote w:type="continuationSeparator" w:id="0">
    <w:p w14:paraId="72820DD4" w14:textId="77777777" w:rsidR="00957303" w:rsidRDefault="0095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77777777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75F91"/>
    <w:rsid w:val="000872AC"/>
    <w:rsid w:val="000D6033"/>
    <w:rsid w:val="00130B09"/>
    <w:rsid w:val="001311BE"/>
    <w:rsid w:val="00132A29"/>
    <w:rsid w:val="00140AEC"/>
    <w:rsid w:val="002231BC"/>
    <w:rsid w:val="002314EE"/>
    <w:rsid w:val="002B487C"/>
    <w:rsid w:val="002D752B"/>
    <w:rsid w:val="002F013D"/>
    <w:rsid w:val="00380705"/>
    <w:rsid w:val="0039282E"/>
    <w:rsid w:val="003F34A3"/>
    <w:rsid w:val="00414C49"/>
    <w:rsid w:val="004657E5"/>
    <w:rsid w:val="004B37B1"/>
    <w:rsid w:val="004B6E15"/>
    <w:rsid w:val="004C094C"/>
    <w:rsid w:val="004C60DB"/>
    <w:rsid w:val="004D65A0"/>
    <w:rsid w:val="00514063"/>
    <w:rsid w:val="00540AFB"/>
    <w:rsid w:val="00572622"/>
    <w:rsid w:val="00576FD2"/>
    <w:rsid w:val="005C2503"/>
    <w:rsid w:val="00601AAC"/>
    <w:rsid w:val="0066263F"/>
    <w:rsid w:val="00696A26"/>
    <w:rsid w:val="006C71C1"/>
    <w:rsid w:val="006D4724"/>
    <w:rsid w:val="006F41E3"/>
    <w:rsid w:val="00767610"/>
    <w:rsid w:val="007976FB"/>
    <w:rsid w:val="007A60C0"/>
    <w:rsid w:val="007B7E3B"/>
    <w:rsid w:val="007F48E3"/>
    <w:rsid w:val="00813AA4"/>
    <w:rsid w:val="0081672D"/>
    <w:rsid w:val="008B63AA"/>
    <w:rsid w:val="008D1B16"/>
    <w:rsid w:val="00957303"/>
    <w:rsid w:val="00A12E45"/>
    <w:rsid w:val="00A176E1"/>
    <w:rsid w:val="00A76840"/>
    <w:rsid w:val="00B41DB1"/>
    <w:rsid w:val="00B55948"/>
    <w:rsid w:val="00B777C8"/>
    <w:rsid w:val="00BD4FF8"/>
    <w:rsid w:val="00C80B3A"/>
    <w:rsid w:val="00D31200"/>
    <w:rsid w:val="00D41983"/>
    <w:rsid w:val="00D62BBA"/>
    <w:rsid w:val="00D67E6A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55B91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70301-CCB5-416F-90AC-7FE80538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1886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Kulpová Veronika</cp:lastModifiedBy>
  <cp:revision>3</cp:revision>
  <cp:lastPrinted>2021-12-14T08:29:00Z</cp:lastPrinted>
  <dcterms:created xsi:type="dcterms:W3CDTF">2022-05-04T11:09:00Z</dcterms:created>
  <dcterms:modified xsi:type="dcterms:W3CDTF">2022-05-16T08:27:00Z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