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B4" w:rsidRDefault="007032B4" w:rsidP="00F20D3F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>Smlouva o užívání sportoviště</w:t>
      </w:r>
    </w:p>
    <w:p w:rsidR="007032B4" w:rsidRDefault="007032B4" w:rsidP="007032B4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 xml:space="preserve">č. </w:t>
      </w:r>
      <w:r>
        <w:rPr>
          <w:rFonts w:cs="Calibri"/>
          <w:bCs/>
        </w:rPr>
        <w:t>22SMPU0100000015</w:t>
      </w:r>
    </w:p>
    <w:p w:rsidR="007032B4" w:rsidRDefault="007032B4" w:rsidP="007032B4">
      <w:pPr>
        <w:pStyle w:val="Bezmezer"/>
        <w:jc w:val="center"/>
        <w:rPr>
          <w:rFonts w:cs="Calibri"/>
        </w:rPr>
      </w:pPr>
      <w:r>
        <w:rPr>
          <w:rFonts w:cs="Calibri"/>
        </w:rPr>
        <w:t xml:space="preserve">dle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§ 1746, odst. 2. zákona č. 89/2012Sb. – občanský zákoník v platném znění</w:t>
      </w:r>
    </w:p>
    <w:p w:rsidR="007032B4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7032B4" w:rsidRDefault="007032B4" w:rsidP="007032B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Smluvní strany</w:t>
      </w:r>
    </w:p>
    <w:p w:rsidR="007032B4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cs="Arial"/>
          <w:b/>
        </w:rPr>
      </w:pPr>
      <w:r>
        <w:rPr>
          <w:rFonts w:cs="Arial"/>
          <w:b/>
        </w:rPr>
        <w:t>1. Provozovatel:</w:t>
      </w:r>
    </w:p>
    <w:p w:rsidR="007032B4" w:rsidRDefault="007032B4" w:rsidP="00F61237">
      <w:pPr>
        <w:tabs>
          <w:tab w:val="left" w:pos="2127"/>
        </w:tabs>
        <w:spacing w:after="0" w:line="240" w:lineRule="auto"/>
        <w:outlineLvl w:val="0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  <w:b/>
        </w:rPr>
        <w:t>Sportovní a rekreační zařízení města Ostravy, s.r.o.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ab/>
        <w:t>Krajský soud v Ostravě, oddíl C, vložka 17345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  <w:t>Čkalovova 6144/20, Ostrava - Poruba, 708 00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Zastoupen:</w:t>
      </w:r>
      <w:r>
        <w:rPr>
          <w:rFonts w:cs="Arial"/>
        </w:rPr>
        <w:tab/>
        <w:t>Ing. Jaroslav Kovář, jednatelem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  <w:t>Michaela Šajerová, vedoucí areálu Sportovní areál Poruba, tel.: 736 755 018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  <w:t>25385691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  <w:t>CZ25385691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 xml:space="preserve">Komerční banka a.s., </w:t>
      </w:r>
      <w:proofErr w:type="spellStart"/>
      <w:proofErr w:type="gramStart"/>
      <w:r>
        <w:rPr>
          <w:rFonts w:cs="Arial"/>
        </w:rPr>
        <w:t>č.ú</w:t>
      </w:r>
      <w:proofErr w:type="spellEnd"/>
      <w:r>
        <w:rPr>
          <w:rFonts w:cs="Arial"/>
        </w:rPr>
        <w:t>.: 27</w:t>
      </w:r>
      <w:proofErr w:type="gramEnd"/>
      <w:r>
        <w:rPr>
          <w:rFonts w:cs="Arial"/>
        </w:rPr>
        <w:t>-2480530287/0100</w:t>
      </w:r>
    </w:p>
    <w:p w:rsidR="007032B4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2. Uživatel:</w:t>
      </w:r>
      <w:r>
        <w:rPr>
          <w:rFonts w:asciiTheme="minorHAnsi" w:hAnsiTheme="minorHAnsi" w:cs="Arial"/>
          <w:b/>
        </w:rPr>
        <w:tab/>
      </w:r>
    </w:p>
    <w:p w:rsidR="007032B4" w:rsidRDefault="007032B4" w:rsidP="00F61237">
      <w:pPr>
        <w:pStyle w:val="Bezmezer"/>
        <w:tabs>
          <w:tab w:val="left" w:pos="2127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Název: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  <w:b/>
        </w:rPr>
        <w:t xml:space="preserve">1. FC </w:t>
      </w:r>
      <w:proofErr w:type="gramStart"/>
      <w:r>
        <w:rPr>
          <w:rStyle w:val="BezmezerCalibriChar"/>
          <w:rFonts w:asciiTheme="minorHAnsi" w:eastAsia="Calibri" w:hAnsiTheme="minorHAnsi" w:cs="Arial"/>
          <w:b/>
        </w:rPr>
        <w:t xml:space="preserve">Poruba, </w:t>
      </w:r>
      <w:proofErr w:type="spellStart"/>
      <w:r>
        <w:rPr>
          <w:rStyle w:val="BezmezerCalibriChar"/>
          <w:rFonts w:asciiTheme="minorHAnsi" w:eastAsia="Calibri" w:hAnsiTheme="minorHAnsi" w:cs="Arial"/>
          <w:b/>
        </w:rPr>
        <w:t>z.s</w:t>
      </w:r>
      <w:proofErr w:type="spellEnd"/>
      <w:r>
        <w:rPr>
          <w:rStyle w:val="BezmezerCalibriChar"/>
          <w:rFonts w:asciiTheme="minorHAnsi" w:eastAsia="Calibri" w:hAnsiTheme="minorHAnsi" w:cs="Arial"/>
          <w:b/>
        </w:rPr>
        <w:t>.</w:t>
      </w:r>
      <w:proofErr w:type="gramEnd"/>
    </w:p>
    <w:p w:rsidR="007032B4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Oddíl L. vložka 15870 vedená u Krajského soudu v Ostravě </w:t>
      </w:r>
      <w:r>
        <w:rPr>
          <w:rFonts w:asciiTheme="minorHAnsi" w:hAnsiTheme="minorHAnsi" w:cs="Arial"/>
        </w:rPr>
        <w:tab/>
        <w:t xml:space="preserve">  </w:t>
      </w:r>
    </w:p>
    <w:p w:rsidR="007032B4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</w:rPr>
        <w:t>Petřkovická 386/7  Ostrava – Lhotka, 725 28</w:t>
      </w:r>
    </w:p>
    <w:p w:rsidR="00B55755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Zastoupen: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>Pavla Bilíková, předseda</w:t>
      </w:r>
    </w:p>
    <w:p w:rsidR="007032B4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  <w:t>05989167</w:t>
      </w:r>
    </w:p>
    <w:p w:rsidR="007032B4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DIČ: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</w:rPr>
        <w:t>Neplátce DPH</w:t>
      </w:r>
    </w:p>
    <w:p w:rsidR="007032B4" w:rsidRDefault="007032B4" w:rsidP="00F61237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  <w:t xml:space="preserve">FIO Banka </w:t>
      </w:r>
      <w:proofErr w:type="spellStart"/>
      <w:proofErr w:type="gramStart"/>
      <w:r>
        <w:rPr>
          <w:rFonts w:asciiTheme="minorHAnsi" w:hAnsiTheme="minorHAnsi" w:cs="Arial"/>
        </w:rPr>
        <w:t>č.ú</w:t>
      </w:r>
      <w:proofErr w:type="spellEnd"/>
      <w:r>
        <w:rPr>
          <w:rFonts w:asciiTheme="minorHAnsi" w:hAnsiTheme="minorHAnsi" w:cs="Arial"/>
        </w:rPr>
        <w:t>. 2601200680/2010</w:t>
      </w:r>
      <w:proofErr w:type="gramEnd"/>
    </w:p>
    <w:p w:rsidR="007032B4" w:rsidRDefault="007032B4" w:rsidP="00F20D3F">
      <w:pPr>
        <w:pStyle w:val="Bezmezer"/>
        <w:spacing w:before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Smluvní strany prohlašují, že jsou oprávněny ke sjednání této smlouvy a k plnění závazků z ní vyplývajících podle platných právních předpisů. </w:t>
      </w:r>
    </w:p>
    <w:p w:rsidR="007032B4" w:rsidRDefault="007032B4" w:rsidP="00F61237">
      <w:pPr>
        <w:pStyle w:val="Bezmezer"/>
        <w:spacing w:before="240"/>
        <w:ind w:left="3545" w:firstLine="709"/>
        <w:rPr>
          <w:rFonts w:cs="Calibri"/>
          <w:b/>
        </w:rPr>
      </w:pPr>
      <w:r>
        <w:rPr>
          <w:rFonts w:cs="Calibri"/>
          <w:b/>
        </w:rPr>
        <w:t>Čl. II</w:t>
      </w:r>
    </w:p>
    <w:p w:rsidR="007032B4" w:rsidRDefault="007032B4" w:rsidP="00F61237">
      <w:pPr>
        <w:pStyle w:val="Bezmezer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Předmět smlouvy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1.</w:t>
      </w:r>
      <w:r>
        <w:rPr>
          <w:rFonts w:cs="Calibri"/>
        </w:rPr>
        <w:t xml:space="preserve"> Předmětem této smlouvy je užívání sportoviště  provozovatele</w:t>
      </w:r>
      <w:r w:rsidR="00F32827">
        <w:rPr>
          <w:rFonts w:cs="Calibri"/>
        </w:rPr>
        <w:t xml:space="preserve">. Jedná se o </w:t>
      </w:r>
      <w:r w:rsidR="00F32827" w:rsidRPr="00F32827">
        <w:rPr>
          <w:rFonts w:cs="Calibri"/>
          <w:b/>
        </w:rPr>
        <w:t>fotbalové hřiště</w:t>
      </w:r>
      <w:r w:rsidRPr="00F32827">
        <w:rPr>
          <w:rFonts w:cs="Calibri"/>
          <w:b/>
        </w:rPr>
        <w:t xml:space="preserve">- umělá tráva </w:t>
      </w:r>
      <w:r>
        <w:rPr>
          <w:rFonts w:cs="Calibri"/>
        </w:rPr>
        <w:t xml:space="preserve">na Sportovním areálu Poruba, parcela č. 825/1, KÚ Poruba.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Provozovatel se zavazuje umožnit uživateli užívání sportoviště  pro konání tréninků a zápasů  a plnit podmínky sjednané touto smlouvou.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3.</w:t>
      </w:r>
      <w:r>
        <w:rPr>
          <w:rFonts w:cs="Calibri"/>
        </w:rPr>
        <w:t xml:space="preserve"> Uživatel se zavazuje zaplatit provozovateli za užívání sjednanou cenu.</w:t>
      </w:r>
    </w:p>
    <w:p w:rsidR="00184A33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</w:t>
      </w:r>
      <w:r w:rsidR="00F61237">
        <w:rPr>
          <w:rFonts w:cs="Calibri"/>
          <w:b/>
        </w:rPr>
        <w:t xml:space="preserve"> </w:t>
      </w:r>
      <w:r>
        <w:rPr>
          <w:rFonts w:cs="Calibri"/>
          <w:b/>
        </w:rPr>
        <w:t>III</w:t>
      </w:r>
    </w:p>
    <w:p w:rsidR="007032B4" w:rsidRPr="00184A33" w:rsidRDefault="007032B4" w:rsidP="00184A33">
      <w:pPr>
        <w:pStyle w:val="Bezmezer"/>
        <w:jc w:val="center"/>
        <w:rPr>
          <w:rFonts w:cs="Calibri"/>
          <w:b/>
        </w:rPr>
      </w:pPr>
      <w:r>
        <w:rPr>
          <w:rFonts w:cs="Calibri"/>
          <w:b/>
          <w:bCs/>
        </w:rPr>
        <w:t>Termín a podmínky užívání sportoviště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1.</w:t>
      </w:r>
      <w:r>
        <w:rPr>
          <w:rFonts w:cs="Calibri"/>
        </w:rPr>
        <w:t xml:space="preserve"> Termín užívání se sjednává od 1.</w:t>
      </w:r>
      <w:r w:rsidR="00F20D3F">
        <w:rPr>
          <w:rFonts w:cs="Calibri"/>
        </w:rPr>
        <w:t xml:space="preserve"> </w:t>
      </w:r>
      <w:r>
        <w:rPr>
          <w:rFonts w:cs="Calibri"/>
        </w:rPr>
        <w:t>5.</w:t>
      </w:r>
      <w:r w:rsidR="00F20D3F">
        <w:rPr>
          <w:rFonts w:cs="Calibri"/>
        </w:rPr>
        <w:t xml:space="preserve"> </w:t>
      </w:r>
      <w:r>
        <w:rPr>
          <w:rFonts w:cs="Calibri"/>
        </w:rPr>
        <w:t>2022 na dobu neurčitou s výpovědní lhůtou tři měsíce. Tato lhůta počíná běžet prvního dne měsíce následujícího po písemně doručené výpovědi kterékoliv ze smluvních stran.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Provozovatel se zavazuje předat uživateli sportoviště dle požadavků uživatele  a uživatel se zavazuje hřiště převzít. Užívání sportoviště bude probíhat dle schváleného harmonogramu.</w:t>
      </w:r>
    </w:p>
    <w:p w:rsidR="000E5D85" w:rsidRDefault="000E5D85" w:rsidP="00F61237">
      <w:pPr>
        <w:pStyle w:val="Bezmezer"/>
        <w:spacing w:before="240"/>
        <w:jc w:val="center"/>
        <w:rPr>
          <w:rFonts w:cs="Calibri"/>
          <w:b/>
        </w:rPr>
      </w:pPr>
    </w:p>
    <w:p w:rsidR="000E5D85" w:rsidRDefault="000E5D85" w:rsidP="00F61237">
      <w:pPr>
        <w:pStyle w:val="Bezmezer"/>
        <w:spacing w:before="240"/>
        <w:jc w:val="center"/>
        <w:rPr>
          <w:rFonts w:cs="Calibri"/>
          <w:b/>
        </w:rPr>
      </w:pP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Čl. IV</w:t>
      </w:r>
    </w:p>
    <w:p w:rsidR="007032B4" w:rsidRDefault="007032B4" w:rsidP="007032B4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Cenové a platební podmínky</w:t>
      </w:r>
    </w:p>
    <w:p w:rsidR="007032B4" w:rsidRPr="00CF4128" w:rsidRDefault="00CF4128" w:rsidP="00F61237">
      <w:pPr>
        <w:pStyle w:val="Bezmezer"/>
        <w:spacing w:before="120"/>
        <w:jc w:val="both"/>
        <w:rPr>
          <w:rFonts w:cs="Calibri"/>
        </w:rPr>
      </w:pPr>
      <w:r w:rsidRPr="00CF4128">
        <w:rPr>
          <w:rFonts w:cs="Calibri"/>
          <w:b/>
        </w:rPr>
        <w:t>1.</w:t>
      </w:r>
      <w:r>
        <w:rPr>
          <w:rFonts w:cs="Calibri"/>
        </w:rPr>
        <w:t xml:space="preserve"> </w:t>
      </w:r>
      <w:r w:rsidR="00F32827" w:rsidRPr="00CF4128">
        <w:rPr>
          <w:rFonts w:cs="Calibri"/>
        </w:rPr>
        <w:t xml:space="preserve">Cena za užívání </w:t>
      </w:r>
      <w:r w:rsidR="008B3CEB" w:rsidRPr="00CF4128">
        <w:rPr>
          <w:rFonts w:cs="Calibri"/>
          <w:b/>
        </w:rPr>
        <w:t>fotbalové</w:t>
      </w:r>
      <w:r w:rsidR="00F32827" w:rsidRPr="00CF4128">
        <w:rPr>
          <w:rFonts w:cs="Calibri"/>
          <w:b/>
        </w:rPr>
        <w:t>ho hřiště</w:t>
      </w:r>
      <w:r w:rsidR="008B3CEB" w:rsidRPr="00CF4128">
        <w:rPr>
          <w:rFonts w:cs="Calibri"/>
          <w:b/>
        </w:rPr>
        <w:t xml:space="preserve"> </w:t>
      </w:r>
      <w:r w:rsidR="007032B4" w:rsidRPr="00CF4128">
        <w:rPr>
          <w:rFonts w:cs="Calibri"/>
          <w:b/>
        </w:rPr>
        <w:t>– umělá tráva</w:t>
      </w:r>
      <w:r w:rsidR="007032B4" w:rsidRPr="00CF4128">
        <w:rPr>
          <w:rFonts w:cs="Calibri"/>
        </w:rPr>
        <w:t xml:space="preserve"> se sjednává na </w:t>
      </w:r>
      <w:proofErr w:type="spellStart"/>
      <w:r w:rsidR="00B55755">
        <w:rPr>
          <w:rFonts w:cs="Calibri"/>
        </w:rPr>
        <w:t>xxxxx</w:t>
      </w:r>
      <w:proofErr w:type="spellEnd"/>
      <w:r w:rsidR="003F7FD2" w:rsidRPr="00CF4128">
        <w:rPr>
          <w:rFonts w:cs="Calibri"/>
          <w:b/>
        </w:rPr>
        <w:t xml:space="preserve"> Kč </w:t>
      </w:r>
      <w:r w:rsidRPr="00CF4128">
        <w:rPr>
          <w:rFonts w:cs="Calibri"/>
          <w:b/>
        </w:rPr>
        <w:t>bez</w:t>
      </w:r>
      <w:r w:rsidR="007032B4" w:rsidRPr="00CF4128">
        <w:rPr>
          <w:rFonts w:cs="Calibri"/>
          <w:b/>
        </w:rPr>
        <w:t xml:space="preserve"> DPH /jednu hodinu</w:t>
      </w:r>
      <w:r w:rsidRPr="00CF4128">
        <w:rPr>
          <w:rFonts w:cs="Calibri"/>
        </w:rPr>
        <w:t>,</w:t>
      </w:r>
      <w:r w:rsidR="002964B6" w:rsidRPr="00CF4128">
        <w:rPr>
          <w:rFonts w:cs="Calibri"/>
        </w:rPr>
        <w:t xml:space="preserve"> za užívání </w:t>
      </w:r>
      <w:r w:rsidR="002964B6" w:rsidRPr="00CF4128">
        <w:rPr>
          <w:rFonts w:cs="Calibri"/>
          <w:b/>
        </w:rPr>
        <w:t>fotbalového hřiště – umělá tráva  s osvětlením</w:t>
      </w:r>
      <w:r w:rsidR="002964B6" w:rsidRPr="00CF4128">
        <w:rPr>
          <w:rFonts w:cs="Calibri"/>
        </w:rPr>
        <w:t xml:space="preserve"> na </w:t>
      </w:r>
      <w:r w:rsidR="00B55755">
        <w:rPr>
          <w:rFonts w:cs="Calibri"/>
        </w:rPr>
        <w:t>xxxxxx</w:t>
      </w:r>
      <w:bookmarkStart w:id="0" w:name="_GoBack"/>
      <w:bookmarkEnd w:id="0"/>
      <w:r w:rsidR="002964B6" w:rsidRPr="00CF4128">
        <w:rPr>
          <w:rFonts w:cs="Calibri"/>
          <w:b/>
        </w:rPr>
        <w:t xml:space="preserve"> Kč </w:t>
      </w:r>
      <w:r w:rsidRPr="00CF4128">
        <w:rPr>
          <w:rFonts w:cs="Calibri"/>
          <w:b/>
        </w:rPr>
        <w:t>bez</w:t>
      </w:r>
      <w:r w:rsidR="002964B6" w:rsidRPr="00CF4128">
        <w:rPr>
          <w:rFonts w:cs="Calibri"/>
          <w:b/>
        </w:rPr>
        <w:t xml:space="preserve"> DPH/jednu hodinu</w:t>
      </w:r>
      <w:r w:rsidR="002964B6" w:rsidRPr="00CF4128">
        <w:rPr>
          <w:rFonts w:cs="Calibri"/>
        </w:rPr>
        <w:t>.</w:t>
      </w:r>
      <w:r w:rsidRPr="00CF4128">
        <w:rPr>
          <w:rFonts w:cs="Calibri"/>
        </w:rPr>
        <w:t xml:space="preserve"> </w:t>
      </w:r>
      <w:r w:rsidR="007032B4" w:rsidRPr="00CF4128">
        <w:rPr>
          <w:rFonts w:cs="Calibri"/>
        </w:rPr>
        <w:t>Tyto služby budou vyúčtovány poslední den v měsíci dle skutečnosti.</w:t>
      </w:r>
      <w:r>
        <w:rPr>
          <w:rFonts w:cs="Calibri"/>
        </w:rPr>
        <w:t xml:space="preserve"> </w:t>
      </w:r>
      <w:r w:rsidRPr="00CF4128">
        <w:rPr>
          <w:rFonts w:cs="Calibri"/>
        </w:rPr>
        <w:t>K cenám bude připočteno DPH ve výši dle platného znění zákona o DPH ke dni uskutečnění zdanitelného plnění.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Uživatel se zavazuje uhradit platbu v plné výši 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uživateli  smluvní pokutu  ve výši 0,1 % z dlužné částky za každý započatý den prodlení. Smluvní pokuta je splatná okamžikem porušení závazku ze strany uživatele. Právo na náhradu škody tím není dotčeno.</w:t>
      </w:r>
    </w:p>
    <w:p w:rsidR="007032B4" w:rsidRDefault="007032B4" w:rsidP="007032B4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3.</w:t>
      </w:r>
      <w:r>
        <w:rPr>
          <w:rFonts w:cs="Calibri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 V</w:t>
      </w:r>
    </w:p>
    <w:p w:rsidR="007032B4" w:rsidRDefault="007032B4" w:rsidP="007032B4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Práva a povinnosti smluvních stran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 xml:space="preserve">1. </w:t>
      </w:r>
      <w:r>
        <w:rPr>
          <w:rFonts w:cs="Calibri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Uživatel se zavazuje předat provozovateli písemně přesný harmonogram tréninkových jednotek a utkání. Uživatel odpovídá za veškeré škody způsobené na majetku provozovatele činností svou, svých pracovníků a osob plnících jeho pokyny. Veškeré takto způsobené škody je uživatel povinen odstranit na vlastní náklady.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 xml:space="preserve">3. </w:t>
      </w:r>
      <w:r>
        <w:rPr>
          <w:rFonts w:cs="Calibri"/>
        </w:rPr>
        <w:t xml:space="preserve">Provozovatel prohlašuje, že objekt Sportovní areál Poruba je pojištěn proti živelním událostem. Pojištění nezahrnuje pojištění osob a majetku pro případ ostatních škodných událostí.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4.</w:t>
      </w:r>
      <w:r>
        <w:rPr>
          <w:rFonts w:cs="Calibri"/>
        </w:rPr>
        <w:t xml:space="preserve"> Provozovatel nepřebírá odpovědnost za škody způsobené na majetku uživatele.</w:t>
      </w: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 VI</w:t>
      </w:r>
    </w:p>
    <w:p w:rsidR="007032B4" w:rsidRDefault="007032B4" w:rsidP="00F61237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Změny v plnění smlouvy a odstoupení od smlouvy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  <w:bCs/>
        </w:rPr>
        <w:t>1.</w:t>
      </w:r>
      <w:r>
        <w:rPr>
          <w:rFonts w:cs="Calibri"/>
          <w:bCs/>
        </w:rPr>
        <w:t xml:space="preserve"> Smluvní strany se dohodly, že v případě potřeby změn v plnění této smlouvy, </w:t>
      </w:r>
      <w:r>
        <w:rPr>
          <w:rFonts w:cs="Calibri"/>
        </w:rPr>
        <w:t>projednají své požadavky a vzájemně si je odsouhlasí. Jakékoliv změny nebo doplnění této smlouvy je možno provést pouze písemnými dodatky podepsanými oběma smluvními stranami.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</w:t>
      </w:r>
      <w:r>
        <w:rPr>
          <w:rFonts w:cs="Calibri"/>
        </w:rPr>
        <w:t>. Smluvní strany se dohodly, že tuto smlouvu lze ukončit písemnou dohodou smluvních stran.</w:t>
      </w:r>
    </w:p>
    <w:p w:rsidR="000E5D85" w:rsidRDefault="000E5D85" w:rsidP="00F61237">
      <w:pPr>
        <w:pStyle w:val="Bezmezer"/>
        <w:spacing w:before="240"/>
        <w:ind w:left="3540" w:firstLine="708"/>
        <w:jc w:val="both"/>
        <w:rPr>
          <w:rFonts w:asciiTheme="minorHAnsi" w:hAnsiTheme="minorHAnsi" w:cstheme="minorHAnsi"/>
          <w:b/>
        </w:rPr>
      </w:pPr>
    </w:p>
    <w:p w:rsidR="007032B4" w:rsidRDefault="007032B4" w:rsidP="00F61237">
      <w:pPr>
        <w:pStyle w:val="Bezmezer"/>
        <w:spacing w:before="240"/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Čl. VII</w:t>
      </w:r>
    </w:p>
    <w:p w:rsidR="007032B4" w:rsidRDefault="007032B4" w:rsidP="00F61237">
      <w:pPr>
        <w:pStyle w:val="Bezmezer"/>
        <w:ind w:left="2832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Závěrečná ustanovení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1.</w:t>
      </w:r>
      <w:r w:rsidR="000E5D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</w:t>
      </w:r>
      <w:r w:rsidR="000E5D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2022, kdy započne užívání podle této smlouvy.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>
        <w:rPr>
          <w:rFonts w:asciiTheme="minorHAnsi" w:hAnsiTheme="minorHAnsi" w:cstheme="minorHAnsi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:rsidR="007032B4" w:rsidRPr="000E5D85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0E5D85">
        <w:rPr>
          <w:rFonts w:asciiTheme="minorHAnsi" w:hAnsiTheme="minorHAnsi" w:cstheme="minorHAnsi"/>
          <w:b/>
        </w:rPr>
        <w:t>4.</w:t>
      </w:r>
      <w:r w:rsidRPr="000E5D85">
        <w:rPr>
          <w:rFonts w:asciiTheme="minorHAnsi" w:hAnsiTheme="minorHAnsi" w:cstheme="minorHAnsi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0E5D85">
          <w:rPr>
            <w:rFonts w:asciiTheme="minorHAnsi" w:hAnsiTheme="minorHAnsi" w:cstheme="minorHAnsi"/>
          </w:rPr>
          <w:t>sekretariat@sareza.cz</w:t>
        </w:r>
      </w:hyperlink>
      <w:r w:rsidRPr="000E5D85">
        <w:rPr>
          <w:rFonts w:asciiTheme="minorHAnsi" w:hAnsiTheme="minorHAnsi" w:cstheme="minorHAnsi"/>
        </w:rPr>
        <w:t xml:space="preserve"> na e-mailovou adresu uživatele: </w:t>
      </w:r>
      <w:hyperlink r:id="rId8" w:history="1">
        <w:r w:rsidRPr="000E5D85">
          <w:rPr>
            <w:rFonts w:asciiTheme="minorHAnsi" w:hAnsiTheme="minorHAnsi" w:cstheme="minorHAnsi"/>
          </w:rPr>
          <w:t>sekretariat@1fcporuba.cz</w:t>
        </w:r>
      </w:hyperlink>
      <w:r w:rsidRPr="000E5D85">
        <w:rPr>
          <w:rFonts w:asciiTheme="minorHAnsi" w:hAnsiTheme="minorHAnsi" w:cstheme="minorHAnsi"/>
        </w:rPr>
        <w:t>.  Uživatel je oprávněn si vytisknout faktury provozovatele a nakládat s nimi s platností originálu faktury. Uživatel se zavazuje provozovat uvedenou e-mailovou adresu po celou dobu nájemní smlouvy mezi provozovatelem a uživatelem. Změna e-mailové adresy uživatele je umožněna pouze po dohodě mezi provozovatelem a uživatelem  a současně po předchozím písemném oznámení provozovatel ve lhůtě 10 dní před nabytím platnosti nové e-mailové adresy uživatele. Potvrzení o doručení uživateli nebude provozovatelem vyžadováno.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:rsidR="007032B4" w:rsidRPr="000E5D85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Theme="minorHAnsi" w:hAnsiTheme="minorHAnsi" w:cstheme="minorHAnsi"/>
          <w:bCs/>
        </w:rPr>
      </w:pPr>
      <w:r w:rsidRPr="000E5D85">
        <w:rPr>
          <w:rFonts w:asciiTheme="minorHAnsi" w:hAnsiTheme="minorHAnsi" w:cstheme="minorHAnsi"/>
          <w:b/>
          <w:bCs/>
        </w:rPr>
        <w:t>5.</w:t>
      </w:r>
      <w:r w:rsidRPr="000E5D85">
        <w:rPr>
          <w:rFonts w:asciiTheme="minorHAnsi" w:hAnsiTheme="minorHAnsi" w:cstheme="minorHAnsi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0E5D85" w:rsidRDefault="007032B4" w:rsidP="00F20D3F">
      <w:pPr>
        <w:spacing w:before="120" w:after="0" w:line="240" w:lineRule="auto"/>
        <w:jc w:val="both"/>
        <w:rPr>
          <w:rFonts w:cs="Calibri"/>
        </w:rPr>
      </w:pPr>
      <w:r w:rsidRPr="000E5D85">
        <w:rPr>
          <w:rFonts w:asciiTheme="minorHAnsi" w:hAnsiTheme="minorHAnsi" w:cstheme="minorHAnsi"/>
          <w:b/>
        </w:rPr>
        <w:t>6</w:t>
      </w:r>
      <w:r w:rsidRPr="000E5D85">
        <w:rPr>
          <w:rFonts w:asciiTheme="minorHAnsi" w:hAnsiTheme="minorHAnsi" w:cstheme="minorHAnsi"/>
        </w:rPr>
        <w:t>. Tato smlouva nabývá účinnosti dnem 1. 5. 2022, nejdříve však dnem uveřejnění v registru smluv dle zákona č.</w:t>
      </w:r>
      <w:r>
        <w:rPr>
          <w:rFonts w:cs="Calibri"/>
        </w:rPr>
        <w:t xml:space="preserve"> 340/2015 Sb., o zvláštních podmínkách účinnosti některých smluv, uveřejňování těchto smluv a o registru smluv.</w:t>
      </w:r>
    </w:p>
    <w:p w:rsidR="007032B4" w:rsidRDefault="000E5D85" w:rsidP="000E5D85">
      <w:pPr>
        <w:pStyle w:val="Bezmezer"/>
        <w:tabs>
          <w:tab w:val="left" w:pos="5670"/>
        </w:tabs>
        <w:spacing w:before="120"/>
        <w:rPr>
          <w:rFonts w:cs="Calibri"/>
        </w:rPr>
      </w:pPr>
      <w:r>
        <w:rPr>
          <w:rFonts w:cs="Calibri"/>
        </w:rPr>
        <w:t>V Ostravě dne:</w:t>
      </w:r>
      <w:r>
        <w:rPr>
          <w:rFonts w:cs="Calibri"/>
        </w:rPr>
        <w:tab/>
        <w:t>V Ostravě dne:</w:t>
      </w:r>
    </w:p>
    <w:p w:rsidR="007032B4" w:rsidRDefault="007032B4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32B4">
        <w:rPr>
          <w:rFonts w:ascii="Arial" w:hAnsi="Arial" w:cs="Arial"/>
        </w:rPr>
        <w:t>..........................................….</w:t>
      </w:r>
      <w:r w:rsidR="007032B4">
        <w:rPr>
          <w:rFonts w:ascii="Arial" w:hAnsi="Arial" w:cs="Arial"/>
        </w:rPr>
        <w:tab/>
        <w:t>.........................................……</w:t>
      </w:r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  <w:b/>
        </w:rPr>
      </w:pPr>
      <w:r>
        <w:rPr>
          <w:rFonts w:ascii="Arial" w:hAnsi="Arial" w:cs="Arial"/>
        </w:rPr>
        <w:tab/>
      </w:r>
      <w:r w:rsidR="007032B4">
        <w:rPr>
          <w:rFonts w:cs="Arial"/>
          <w:b/>
        </w:rPr>
        <w:t>Ing. Jaroslav Kovář</w:t>
      </w:r>
      <w:r>
        <w:rPr>
          <w:rFonts w:cs="Arial"/>
          <w:b/>
        </w:rPr>
        <w:tab/>
      </w:r>
      <w:r w:rsidR="007032B4">
        <w:rPr>
          <w:rFonts w:cs="Arial"/>
          <w:b/>
        </w:rPr>
        <w:t>Pavla Bilíková</w:t>
      </w:r>
    </w:p>
    <w:p w:rsidR="007032B4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</w:rPr>
      </w:pPr>
      <w:r>
        <w:rPr>
          <w:rFonts w:cs="Arial"/>
          <w:b/>
        </w:rPr>
        <w:tab/>
      </w:r>
      <w:r w:rsidR="007032B4">
        <w:rPr>
          <w:rFonts w:cs="Arial"/>
        </w:rPr>
        <w:t>jednatel společnosti</w:t>
      </w:r>
      <w:r>
        <w:rPr>
          <w:rFonts w:cs="Arial"/>
        </w:rPr>
        <w:tab/>
      </w:r>
      <w:r w:rsidR="007032B4">
        <w:rPr>
          <w:rFonts w:cs="Arial"/>
        </w:rPr>
        <w:t>předseda zapsaného spolku</w:t>
      </w:r>
      <w:r>
        <w:rPr>
          <w:rFonts w:cs="Arial"/>
        </w:rPr>
        <w:tab/>
      </w:r>
      <w:r w:rsidR="007032B4">
        <w:rPr>
          <w:rFonts w:cs="Arial"/>
        </w:rPr>
        <w:t>Sportovní a rekreační</w:t>
      </w:r>
      <w:r>
        <w:rPr>
          <w:rFonts w:cs="Arial"/>
        </w:rPr>
        <w:tab/>
        <w:t>1.</w:t>
      </w:r>
      <w:r w:rsidR="000E5D85">
        <w:rPr>
          <w:rFonts w:cs="Arial"/>
        </w:rPr>
        <w:t xml:space="preserve"> </w:t>
      </w:r>
      <w:r>
        <w:rPr>
          <w:rFonts w:cs="Arial"/>
        </w:rPr>
        <w:t xml:space="preserve">FC </w:t>
      </w:r>
      <w:proofErr w:type="gramStart"/>
      <w:r>
        <w:rPr>
          <w:rFonts w:cs="Arial"/>
        </w:rPr>
        <w:t xml:space="preserve">Poruba,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proofErr w:type="gramEnd"/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</w:rPr>
      </w:pPr>
      <w:r>
        <w:rPr>
          <w:rFonts w:cs="Arial"/>
        </w:rPr>
        <w:tab/>
        <w:t>zařízení města Ostravy s.r.o.</w:t>
      </w:r>
    </w:p>
    <w:sectPr w:rsidR="00F20D3F" w:rsidSect="000E5D85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3F" w:rsidRDefault="00F20D3F" w:rsidP="0044201A">
      <w:pPr>
        <w:spacing w:after="0" w:line="240" w:lineRule="auto"/>
      </w:pPr>
      <w:r>
        <w:separator/>
      </w:r>
    </w:p>
  </w:endnote>
  <w:endnote w:type="continuationSeparator" w:id="0">
    <w:p w:rsidR="00F20D3F" w:rsidRDefault="00F20D3F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3F" w:rsidRDefault="00F20D3F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3F" w:rsidRDefault="00F20D3F" w:rsidP="0044201A">
      <w:pPr>
        <w:spacing w:after="0" w:line="240" w:lineRule="auto"/>
      </w:pPr>
      <w:r>
        <w:separator/>
      </w:r>
    </w:p>
  </w:footnote>
  <w:footnote w:type="continuationSeparator" w:id="0">
    <w:p w:rsidR="00F20D3F" w:rsidRDefault="00F20D3F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3F" w:rsidRDefault="00F20D3F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5069A"/>
    <w:rsid w:val="00052A7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7F"/>
    <w:rsid w:val="00072789"/>
    <w:rsid w:val="000727DB"/>
    <w:rsid w:val="000729BC"/>
    <w:rsid w:val="00072CB7"/>
    <w:rsid w:val="000735C4"/>
    <w:rsid w:val="00074A8E"/>
    <w:rsid w:val="00077FD0"/>
    <w:rsid w:val="00080C74"/>
    <w:rsid w:val="0008124E"/>
    <w:rsid w:val="00081469"/>
    <w:rsid w:val="000815D7"/>
    <w:rsid w:val="00083909"/>
    <w:rsid w:val="000848BD"/>
    <w:rsid w:val="00084AED"/>
    <w:rsid w:val="00087520"/>
    <w:rsid w:val="00090D2E"/>
    <w:rsid w:val="00090DF5"/>
    <w:rsid w:val="00092DD9"/>
    <w:rsid w:val="000943D4"/>
    <w:rsid w:val="00094623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39AA"/>
    <w:rsid w:val="003E6AED"/>
    <w:rsid w:val="003E797E"/>
    <w:rsid w:val="003F0AAE"/>
    <w:rsid w:val="003F41F7"/>
    <w:rsid w:val="003F4D3E"/>
    <w:rsid w:val="003F6C0E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28FE"/>
    <w:rsid w:val="0047391C"/>
    <w:rsid w:val="0047446C"/>
    <w:rsid w:val="00474F93"/>
    <w:rsid w:val="004829C2"/>
    <w:rsid w:val="00483A1A"/>
    <w:rsid w:val="004870B0"/>
    <w:rsid w:val="004901E4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3566"/>
    <w:rsid w:val="006544C3"/>
    <w:rsid w:val="006552DF"/>
    <w:rsid w:val="006609BF"/>
    <w:rsid w:val="006618F2"/>
    <w:rsid w:val="0066191E"/>
    <w:rsid w:val="006622E6"/>
    <w:rsid w:val="006653FA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5438"/>
    <w:rsid w:val="0084641B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5DAB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DDE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3CE7"/>
    <w:rsid w:val="00915999"/>
    <w:rsid w:val="00917396"/>
    <w:rsid w:val="00917973"/>
    <w:rsid w:val="00917DD7"/>
    <w:rsid w:val="00920A86"/>
    <w:rsid w:val="009219E0"/>
    <w:rsid w:val="00921C23"/>
    <w:rsid w:val="00923C05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5755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3255"/>
    <w:rsid w:val="00C03783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DF8"/>
    <w:rsid w:val="00E328C5"/>
    <w:rsid w:val="00E35D73"/>
    <w:rsid w:val="00E3621F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7056B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FBE17C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B1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fcporub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Kovaříková Renata</cp:lastModifiedBy>
  <cp:revision>22</cp:revision>
  <cp:lastPrinted>2022-04-29T09:01:00Z</cp:lastPrinted>
  <dcterms:created xsi:type="dcterms:W3CDTF">2017-07-24T20:21:00Z</dcterms:created>
  <dcterms:modified xsi:type="dcterms:W3CDTF">2022-05-13T12:08:00Z</dcterms:modified>
</cp:coreProperties>
</file>