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B1" w:rsidRPr="00952993" w:rsidRDefault="006D6AB1" w:rsidP="006D6AB1">
      <w:pPr>
        <w:pStyle w:val="Style2"/>
        <w:shd w:val="clear" w:color="auto" w:fill="auto"/>
        <w:spacing w:line="240" w:lineRule="auto"/>
        <w:ind w:left="23" w:right="278" w:firstLine="0"/>
        <w:jc w:val="center"/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</w:pPr>
      <w:bookmarkStart w:id="0" w:name="_GoBack"/>
      <w:bookmarkEnd w:id="0"/>
      <w:r w:rsidRPr="00952993"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  <w:t xml:space="preserve">Dodatek </w:t>
      </w:r>
      <w:r w:rsidRPr="00952993">
        <w:rPr>
          <w:rStyle w:val="CharStyle4"/>
          <w:rFonts w:ascii="Calibri" w:hAnsi="Calibri" w:cs="Calibri"/>
          <w:bCs/>
          <w:color w:val="000000"/>
          <w:sz w:val="32"/>
          <w:szCs w:val="32"/>
        </w:rPr>
        <w:t>č.</w:t>
      </w:r>
      <w:r w:rsidRPr="00952993"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  <w:t xml:space="preserve"> 2 </w:t>
      </w:r>
    </w:p>
    <w:p w:rsidR="006D6AB1" w:rsidRPr="00952993" w:rsidRDefault="006D6AB1" w:rsidP="006F431A">
      <w:pPr>
        <w:pStyle w:val="Style2"/>
        <w:shd w:val="clear" w:color="auto" w:fill="auto"/>
        <w:spacing w:after="400" w:line="240" w:lineRule="auto"/>
        <w:ind w:left="23" w:right="278" w:firstLine="0"/>
        <w:jc w:val="center"/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</w:pPr>
      <w:r w:rsidRPr="00952993"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  <w:t xml:space="preserve">ke Smlouvě </w:t>
      </w:r>
      <w:r w:rsidR="00017449" w:rsidRPr="00952993"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  <w:t xml:space="preserve">O DÍLO </w:t>
      </w:r>
      <w:r w:rsidR="00017449" w:rsidRPr="00952993">
        <w:rPr>
          <w:rStyle w:val="CharStyle4"/>
          <w:rFonts w:ascii="Calibri" w:hAnsi="Calibri" w:cs="Calibri"/>
          <w:bCs/>
          <w:color w:val="000000"/>
          <w:sz w:val="32"/>
          <w:szCs w:val="32"/>
        </w:rPr>
        <w:t>č</w:t>
      </w:r>
      <w:r w:rsidR="00017449" w:rsidRPr="00952993">
        <w:rPr>
          <w:rStyle w:val="CharStyle4"/>
          <w:rFonts w:ascii="Calibri" w:hAnsi="Calibri" w:cs="Calibri"/>
          <w:bCs/>
          <w:caps/>
          <w:color w:val="000000"/>
          <w:sz w:val="32"/>
          <w:szCs w:val="32"/>
        </w:rPr>
        <w:t>. Z 664/KAN/05</w:t>
      </w:r>
    </w:p>
    <w:p w:rsidR="00017449" w:rsidRPr="00233C2B" w:rsidRDefault="006D6AB1" w:rsidP="00233C2B">
      <w:pPr>
        <w:pStyle w:val="Style2"/>
        <w:shd w:val="clear" w:color="auto" w:fill="auto"/>
        <w:spacing w:after="400"/>
        <w:ind w:left="23" w:right="278" w:hanging="23"/>
        <w:jc w:val="both"/>
        <w:rPr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ve znění dodatku č. 1/2013 ze dne 20. 2. 2013 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uzavřen</w:t>
      </w:r>
      <w:r w:rsidR="00AB383B">
        <w:rPr>
          <w:rStyle w:val="CharStyle3"/>
          <w:rFonts w:ascii="Calibri" w:hAnsi="Calibri" w:cs="Calibri"/>
          <w:color w:val="000000"/>
          <w:sz w:val="24"/>
          <w:szCs w:val="24"/>
        </w:rPr>
        <w:t>ého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v souladu s </w:t>
      </w:r>
      <w:r w:rsidR="00233C2B" w:rsidRPr="00233C2B">
        <w:rPr>
          <w:rStyle w:val="CharStyle3"/>
          <w:rFonts w:ascii="Calibri" w:hAnsi="Calibri" w:cs="Calibri"/>
          <w:color w:val="000000"/>
          <w:sz w:val="24"/>
          <w:szCs w:val="24"/>
        </w:rPr>
        <w:t>ustanovením § 2586 a následujících zákona č. 89/2012 Sb., občanský zákoník v</w:t>
      </w:r>
      <w:r w:rsidR="00AB383B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e znění pozdějších předpisů 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mezi těmito smluvními stranami:</w:t>
      </w:r>
    </w:p>
    <w:p w:rsidR="00017449" w:rsidRPr="00E03A0D" w:rsidRDefault="00017449" w:rsidP="006101BB">
      <w:pPr>
        <w:pStyle w:val="Nadpis1"/>
        <w:rPr>
          <w:rStyle w:val="CharStyle6"/>
          <w:rFonts w:cs="Calibri"/>
          <w:bCs w:val="0"/>
          <w:sz w:val="28"/>
          <w:szCs w:val="28"/>
        </w:rPr>
      </w:pPr>
      <w:bookmarkStart w:id="1" w:name="bookmark0"/>
      <w:r w:rsidRPr="00CC4E10">
        <w:rPr>
          <w:rStyle w:val="CharStyle6"/>
          <w:rFonts w:ascii="Times New Roman" w:hAnsi="Times New Roman"/>
          <w:b/>
          <w:sz w:val="28"/>
          <w:szCs w:val="28"/>
        </w:rPr>
        <w:t>1</w:t>
      </w:r>
      <w:r w:rsidRPr="006D6AB1">
        <w:rPr>
          <w:rStyle w:val="CharStyle6"/>
          <w:rFonts w:ascii="Times New Roman" w:hAnsi="Times New Roman"/>
          <w:b/>
          <w:sz w:val="28"/>
          <w:szCs w:val="28"/>
        </w:rPr>
        <w:t xml:space="preserve">. </w:t>
      </w:r>
      <w:r w:rsidRPr="00952993">
        <w:rPr>
          <w:rStyle w:val="CharStyle6"/>
          <w:rFonts w:ascii="Calibri" w:hAnsi="Calibri" w:cs="Calibri"/>
          <w:b/>
          <w:sz w:val="28"/>
          <w:szCs w:val="28"/>
        </w:rPr>
        <w:t>SMLUVNÍ STRANY</w:t>
      </w:r>
      <w:bookmarkEnd w:id="1"/>
    </w:p>
    <w:p w:rsidR="006D6AB1" w:rsidRPr="00952993" w:rsidRDefault="006D6AB1" w:rsidP="006D6AB1">
      <w:pPr>
        <w:pStyle w:val="Style2"/>
        <w:shd w:val="clear" w:color="auto" w:fill="auto"/>
        <w:spacing w:line="240" w:lineRule="exact"/>
        <w:ind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Název: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Brněnské vodárny a kanalizace, a.s.</w:t>
      </w:r>
    </w:p>
    <w:p w:rsidR="00017449" w:rsidRPr="00952993" w:rsidRDefault="006D6AB1" w:rsidP="006D6AB1">
      <w:pPr>
        <w:pStyle w:val="Style2"/>
        <w:shd w:val="clear" w:color="auto" w:fill="auto"/>
        <w:spacing w:line="240" w:lineRule="exact"/>
        <w:ind w:firstLine="0"/>
        <w:rPr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Sídlo: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Pisárecká 555/1a, Pisárky, 603 00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Brno</w:t>
      </w:r>
    </w:p>
    <w:p w:rsidR="00017449" w:rsidRPr="00952993" w:rsidRDefault="00017449" w:rsidP="003D7F06">
      <w:pPr>
        <w:pStyle w:val="Style2"/>
        <w:shd w:val="clear" w:color="auto" w:fill="auto"/>
        <w:spacing w:line="240" w:lineRule="exact"/>
        <w:ind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Zastoupen</w:t>
      </w:r>
      <w:r w:rsidR="006D6AB1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á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:</w:t>
      </w:r>
      <w:r w:rsidR="006D6AB1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3D7F06">
        <w:rPr>
          <w:rStyle w:val="CharStyle3"/>
          <w:rFonts w:ascii="Calibri" w:hAnsi="Calibri" w:cs="Calibri"/>
          <w:color w:val="000000"/>
          <w:sz w:val="24"/>
          <w:szCs w:val="24"/>
        </w:rPr>
        <w:t>xxxxx</w:t>
      </w:r>
    </w:p>
    <w:p w:rsidR="006F431A" w:rsidRPr="00952993" w:rsidRDefault="006F431A" w:rsidP="006F431A">
      <w:pPr>
        <w:pStyle w:val="Style2"/>
        <w:shd w:val="clear" w:color="auto" w:fill="auto"/>
        <w:spacing w:line="240" w:lineRule="exact"/>
        <w:ind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Kontaktní osoba: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3D7F06">
        <w:rPr>
          <w:rStyle w:val="CharStyle3"/>
          <w:rFonts w:ascii="Calibri" w:hAnsi="Calibri" w:cs="Calibri"/>
          <w:color w:val="000000"/>
          <w:sz w:val="24"/>
          <w:szCs w:val="24"/>
        </w:rPr>
        <w:t>xxxxx</w:t>
      </w:r>
    </w:p>
    <w:p w:rsidR="006F431A" w:rsidRPr="00952993" w:rsidRDefault="00E03A0D" w:rsidP="006F431A">
      <w:pPr>
        <w:pStyle w:val="Style2"/>
        <w:shd w:val="clear" w:color="auto" w:fill="auto"/>
        <w:spacing w:line="240" w:lineRule="exact"/>
        <w:ind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3D7F06">
        <w:rPr>
          <w:rStyle w:val="CharStyle3"/>
          <w:rFonts w:ascii="Calibri" w:hAnsi="Calibri" w:cs="Calibri"/>
          <w:color w:val="000000"/>
          <w:sz w:val="24"/>
          <w:szCs w:val="24"/>
        </w:rPr>
        <w:t>xxxxx</w:t>
      </w:r>
    </w:p>
    <w:p w:rsidR="00017449" w:rsidRPr="00952993" w:rsidRDefault="00017449" w:rsidP="00A60B83">
      <w:pPr>
        <w:pStyle w:val="Style2"/>
        <w:shd w:val="clear" w:color="auto" w:fill="auto"/>
        <w:spacing w:before="120" w:line="240" w:lineRule="exact"/>
        <w:ind w:firstLine="0"/>
        <w:rPr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IČ</w:t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O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:</w:t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46347275</w:t>
      </w:r>
    </w:p>
    <w:p w:rsidR="00017449" w:rsidRPr="00952993" w:rsidRDefault="00017449" w:rsidP="006D6AB1">
      <w:pPr>
        <w:pStyle w:val="Style2"/>
        <w:shd w:val="clear" w:color="auto" w:fill="auto"/>
        <w:spacing w:line="240" w:lineRule="exact"/>
        <w:ind w:firstLine="0"/>
        <w:rPr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DIČ:</w:t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CZ</w:t>
      </w:r>
      <w:r w:rsidR="00CC4E10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46347275</w:t>
      </w:r>
    </w:p>
    <w:p w:rsidR="00017449" w:rsidRPr="00952993" w:rsidRDefault="00017449" w:rsidP="006D6AB1">
      <w:pPr>
        <w:pStyle w:val="Style2"/>
        <w:shd w:val="clear" w:color="auto" w:fill="auto"/>
        <w:spacing w:line="240" w:lineRule="exact"/>
        <w:ind w:firstLine="0"/>
        <w:rPr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Bankovní spojení</w:t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:</w:t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KB</w:t>
      </w:r>
      <w:r w:rsidR="00A60B83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Brno – město</w:t>
      </w:r>
      <w:r w:rsidR="00A60B83" w:rsidRPr="00952993">
        <w:rPr>
          <w:rFonts w:ascii="Calibri" w:hAnsi="Calibri" w:cs="Calibri"/>
          <w:sz w:val="24"/>
          <w:szCs w:val="24"/>
        </w:rPr>
        <w:t>, č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íslo účtu: 5501621/0100</w:t>
      </w:r>
    </w:p>
    <w:p w:rsidR="00A60B83" w:rsidRPr="00952993" w:rsidRDefault="00A60B83" w:rsidP="00A60B83">
      <w:pPr>
        <w:pStyle w:val="Style2"/>
        <w:shd w:val="clear" w:color="auto" w:fill="auto"/>
        <w:spacing w:line="240" w:lineRule="exact"/>
        <w:ind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Zapsán v OR: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  <w:t>Krajským soudem v Brně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, 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sp. zn. odd. B, vložka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783</w:t>
      </w:r>
    </w:p>
    <w:p w:rsidR="006D6AB1" w:rsidRPr="00952993" w:rsidRDefault="006D6AB1" w:rsidP="00A60B83">
      <w:pPr>
        <w:pStyle w:val="Style2"/>
        <w:shd w:val="clear" w:color="auto" w:fill="auto"/>
        <w:spacing w:line="240" w:lineRule="exact"/>
        <w:ind w:firstLine="0"/>
        <w:rPr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(dále jen „objednatel“)</w:t>
      </w:r>
    </w:p>
    <w:p w:rsidR="006D6AB1" w:rsidRPr="00952993" w:rsidRDefault="00A60B83" w:rsidP="006D6AB1">
      <w:pPr>
        <w:pStyle w:val="Style2"/>
        <w:shd w:val="clear" w:color="auto" w:fill="auto"/>
        <w:spacing w:line="240" w:lineRule="exact"/>
        <w:ind w:right="280" w:firstLine="0"/>
        <w:jc w:val="center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a</w:t>
      </w:r>
    </w:p>
    <w:p w:rsidR="00A60B83" w:rsidRPr="00952993" w:rsidRDefault="00A60B83" w:rsidP="00384400">
      <w:pPr>
        <w:pStyle w:val="Style2"/>
        <w:shd w:val="clear" w:color="auto" w:fill="auto"/>
        <w:spacing w:before="160" w:line="240" w:lineRule="exact"/>
        <w:ind w:right="278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Název: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SETRA spol. s r.o.</w:t>
      </w:r>
    </w:p>
    <w:p w:rsidR="00A60B83" w:rsidRPr="00952993" w:rsidRDefault="00A60B83" w:rsidP="00A60B83">
      <w:pPr>
        <w:pStyle w:val="Style2"/>
        <w:shd w:val="clear" w:color="auto" w:fill="auto"/>
        <w:spacing w:line="240" w:lineRule="exact"/>
        <w:ind w:right="278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Sídlo: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Zvonařka 16,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Trnitá, 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617 00 Brno</w:t>
      </w:r>
    </w:p>
    <w:p w:rsidR="00113B89" w:rsidRPr="00952993" w:rsidRDefault="00A60B83" w:rsidP="006F431A">
      <w:pPr>
        <w:pStyle w:val="Style2"/>
        <w:shd w:val="clear" w:color="auto" w:fill="auto"/>
        <w:spacing w:line="240" w:lineRule="exact"/>
        <w:ind w:right="278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Zastoupená: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113B8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Ing. Mojmír Novotný, jednatel</w:t>
      </w:r>
    </w:p>
    <w:p w:rsidR="006F431A" w:rsidRPr="00952993" w:rsidRDefault="006F431A" w:rsidP="006F431A">
      <w:pPr>
        <w:pStyle w:val="Style2"/>
        <w:shd w:val="clear" w:color="auto" w:fill="auto"/>
        <w:spacing w:line="240" w:lineRule="exact"/>
        <w:ind w:right="278" w:firstLine="0"/>
        <w:rPr>
          <w:rStyle w:val="CharStyle3"/>
          <w:rFonts w:ascii="Calibri" w:hAnsi="Calibri" w:cs="Calibri"/>
          <w:color w:val="000000"/>
          <w:sz w:val="24"/>
          <w:szCs w:val="24"/>
          <w:highlight w:val="yellow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Kontaktní osoba: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3D7F06">
        <w:rPr>
          <w:rStyle w:val="CharStyle3"/>
          <w:rFonts w:ascii="Calibri" w:hAnsi="Calibri" w:cs="Calibri"/>
          <w:color w:val="000000"/>
          <w:sz w:val="24"/>
          <w:szCs w:val="24"/>
        </w:rPr>
        <w:t>xxxx</w:t>
      </w:r>
    </w:p>
    <w:p w:rsidR="005D6A27" w:rsidRDefault="005D6A27" w:rsidP="006D6AB1">
      <w:pPr>
        <w:pStyle w:val="Style2"/>
        <w:shd w:val="clear" w:color="auto" w:fill="auto"/>
        <w:spacing w:line="240" w:lineRule="exact"/>
        <w:ind w:right="280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3D7F06">
        <w:rPr>
          <w:rStyle w:val="CharStyle3"/>
          <w:rFonts w:ascii="Calibri" w:hAnsi="Calibri" w:cs="Calibri"/>
          <w:color w:val="000000"/>
          <w:sz w:val="24"/>
          <w:szCs w:val="24"/>
        </w:rPr>
        <w:t>xxxx</w:t>
      </w:r>
      <w:r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</w:t>
      </w:r>
    </w:p>
    <w:p w:rsidR="00113B89" w:rsidRPr="00952993" w:rsidRDefault="00113B89" w:rsidP="006D6AB1">
      <w:pPr>
        <w:pStyle w:val="Style2"/>
        <w:shd w:val="clear" w:color="auto" w:fill="auto"/>
        <w:spacing w:line="240" w:lineRule="exact"/>
        <w:ind w:right="280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IČO: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00220159</w:t>
      </w:r>
    </w:p>
    <w:p w:rsidR="00113B89" w:rsidRPr="00952993" w:rsidRDefault="00017449" w:rsidP="006D6AB1">
      <w:pPr>
        <w:pStyle w:val="Style2"/>
        <w:shd w:val="clear" w:color="auto" w:fill="auto"/>
        <w:spacing w:line="240" w:lineRule="exact"/>
        <w:ind w:right="280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DIČ:</w:t>
      </w:r>
      <w:r w:rsidR="00113B8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113B8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="00113B8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CZ</w:t>
      </w:r>
      <w:r w:rsidR="00CC4E10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00220159</w:t>
      </w:r>
    </w:p>
    <w:p w:rsidR="00113B89" w:rsidRPr="00952993" w:rsidRDefault="00017449" w:rsidP="006D6AB1">
      <w:pPr>
        <w:pStyle w:val="Style2"/>
        <w:shd w:val="clear" w:color="auto" w:fill="auto"/>
        <w:spacing w:line="240" w:lineRule="exact"/>
        <w:ind w:right="280"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Bankovní spojení:</w:t>
      </w:r>
      <w:r w:rsidR="00113B8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KB Brno</w:t>
      </w:r>
      <w:r w:rsidR="00113B8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– město, č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íslo účtu: 420043621/0100</w:t>
      </w:r>
    </w:p>
    <w:p w:rsidR="00017449" w:rsidRPr="00952993" w:rsidRDefault="00113B89" w:rsidP="00113B89">
      <w:pPr>
        <w:pStyle w:val="Style2"/>
        <w:shd w:val="clear" w:color="auto" w:fill="auto"/>
        <w:spacing w:line="240" w:lineRule="exact"/>
        <w:ind w:right="280" w:firstLine="0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Zápis v OR: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ab/>
      </w:r>
      <w:r w:rsidRPr="00952993">
        <w:rPr>
          <w:rFonts w:ascii="Calibri" w:hAnsi="Calibri" w:cs="Calibri"/>
          <w:sz w:val="24"/>
          <w:szCs w:val="24"/>
        </w:rPr>
        <w:t>Krajským soudem v Brně, sp. zn. odd. C</w:t>
      </w:r>
      <w:r w:rsidR="00017449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, vložce 333</w:t>
      </w:r>
    </w:p>
    <w:p w:rsidR="006D6AB1" w:rsidRPr="00952993" w:rsidRDefault="006D6AB1" w:rsidP="00471D47">
      <w:pPr>
        <w:pStyle w:val="Style2"/>
        <w:shd w:val="clear" w:color="auto" w:fill="auto"/>
        <w:spacing w:after="400" w:line="240" w:lineRule="exact"/>
        <w:ind w:firstLine="0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(dále jen „zhotovitel“)</w:t>
      </w:r>
    </w:p>
    <w:p w:rsidR="00BD5E41" w:rsidRPr="00952993" w:rsidRDefault="00384400" w:rsidP="006F431A">
      <w:pPr>
        <w:pStyle w:val="Style2"/>
        <w:shd w:val="clear" w:color="auto" w:fill="auto"/>
        <w:spacing w:after="100" w:line="240" w:lineRule="exact"/>
        <w:ind w:firstLine="0"/>
        <w:rPr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Smluvní strany se dohodly, že smlouva o dílo č. Z 664/KAN/05 ve znění dodatku č. 1/2013 se upřesňuj</w:t>
      </w:r>
      <w:r w:rsidR="00AB383B">
        <w:rPr>
          <w:rStyle w:val="CharStyle3"/>
          <w:rFonts w:ascii="Calibri" w:hAnsi="Calibri" w:cs="Calibri"/>
          <w:color w:val="000000"/>
          <w:sz w:val="24"/>
          <w:szCs w:val="24"/>
        </w:rPr>
        <w:t>e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a jej</w:t>
      </w:r>
      <w:r w:rsidR="00AB383B">
        <w:rPr>
          <w:rStyle w:val="CharStyle3"/>
          <w:rFonts w:ascii="Calibri" w:hAnsi="Calibri" w:cs="Calibri"/>
          <w:color w:val="000000"/>
          <w:sz w:val="24"/>
          <w:szCs w:val="24"/>
        </w:rPr>
        <w:t>í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nové znění zní následovně:</w:t>
      </w:r>
    </w:p>
    <w:p w:rsidR="00017449" w:rsidRPr="00952993" w:rsidRDefault="00017449" w:rsidP="006F431A">
      <w:pPr>
        <w:pStyle w:val="Nadpis1"/>
        <w:spacing w:before="300"/>
        <w:rPr>
          <w:rFonts w:ascii="Calibri" w:hAnsi="Calibri" w:cs="Calibri"/>
          <w:sz w:val="28"/>
          <w:szCs w:val="28"/>
        </w:rPr>
      </w:pPr>
      <w:bookmarkStart w:id="2" w:name="bookmark1"/>
      <w:r w:rsidRPr="00952993">
        <w:rPr>
          <w:rStyle w:val="CharStyle6"/>
          <w:rFonts w:ascii="Calibri" w:hAnsi="Calibri" w:cs="Calibri"/>
          <w:b/>
          <w:sz w:val="28"/>
          <w:szCs w:val="28"/>
        </w:rPr>
        <w:t>2. OBECNÁ USTANOVENÍ</w:t>
      </w:r>
      <w:bookmarkEnd w:id="2"/>
    </w:p>
    <w:p w:rsidR="00017449" w:rsidRPr="00952993" w:rsidRDefault="007643D7" w:rsidP="002D183E">
      <w:pPr>
        <w:pStyle w:val="Style2"/>
        <w:numPr>
          <w:ilvl w:val="1"/>
          <w:numId w:val="18"/>
        </w:numPr>
        <w:shd w:val="clear" w:color="auto" w:fill="auto"/>
        <w:tabs>
          <w:tab w:val="left" w:pos="734"/>
        </w:tabs>
        <w:spacing w:after="100" w:line="240" w:lineRule="exact"/>
        <w:ind w:left="709" w:right="278" w:hanging="425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Zhotovitel prohlašuje, že je osobou oprávněnou k nakládání s odpady dle zákona č. 185/2001 Sb., o odpadech v</w:t>
      </w:r>
      <w:r w:rsidR="00AB383B">
        <w:rPr>
          <w:rStyle w:val="CharStyle3"/>
          <w:rFonts w:ascii="Calibri" w:hAnsi="Calibri" w:cs="Calibri"/>
          <w:color w:val="000000"/>
          <w:sz w:val="24"/>
          <w:szCs w:val="24"/>
        </w:rPr>
        <w:t>e znění pozdějších předpisů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a je provozovatelem těchto </w:t>
      </w:r>
      <w:r w:rsidR="00566A5F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stacionárních 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zařízení</w:t>
      </w:r>
      <w:r w:rsidR="00566A5F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k využívání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, odstra</w:t>
      </w:r>
      <w:r w:rsidR="00566A5F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ňování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sběru </w:t>
      </w:r>
      <w:r w:rsidR="00566A5F"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nebo výkupu 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odpad</w:t>
      </w:r>
      <w:r w:rsidR="00566A5F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ů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na základě rozhodnutí místně příslušného </w:t>
      </w:r>
      <w:r w:rsidR="00384400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k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rajského úřadu</w:t>
      </w:r>
      <w:r w:rsidR="00566A5F" w:rsidRPr="00952993">
        <w:rPr>
          <w:rStyle w:val="CharStyle3"/>
          <w:rFonts w:ascii="Calibri" w:hAnsi="Calibri" w:cs="Calibri"/>
          <w:color w:val="000000"/>
          <w:sz w:val="24"/>
          <w:szCs w:val="24"/>
        </w:rPr>
        <w:t>: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§ 14 odst. 1 zákona o odpadech:</w:t>
      </w:r>
    </w:p>
    <w:p w:rsidR="00BA2D23" w:rsidRPr="00566A5F" w:rsidRDefault="002D183E" w:rsidP="006F431A">
      <w:pPr>
        <w:pStyle w:val="x"/>
        <w:tabs>
          <w:tab w:val="clear" w:pos="734"/>
          <w:tab w:val="left" w:pos="1418"/>
        </w:tabs>
        <w:ind w:left="1418" w:hanging="709"/>
      </w:pPr>
      <w:r w:rsidRPr="00566A5F">
        <w:t>Zařízení</w:t>
      </w:r>
      <w:r w:rsidR="00BA2D23" w:rsidRPr="00566A5F">
        <w:t xml:space="preserve"> na adrese Vinohradská, 618 00 Brno, Identifikační číslo zařízení (</w:t>
      </w:r>
      <w:r w:rsidR="00384400">
        <w:t>dále jen „</w:t>
      </w:r>
      <w:r w:rsidR="00BA2D23" w:rsidRPr="00566A5F">
        <w:t>I</w:t>
      </w:r>
      <w:r w:rsidR="00566A5F" w:rsidRPr="00566A5F">
        <w:t>Č</w:t>
      </w:r>
      <w:r w:rsidR="00BA2D23" w:rsidRPr="00566A5F">
        <w:t>Z</w:t>
      </w:r>
      <w:r w:rsidR="00384400">
        <w:t>“</w:t>
      </w:r>
      <w:r w:rsidR="00BA2D23" w:rsidRPr="00566A5F">
        <w:t>)</w:t>
      </w:r>
      <w:r w:rsidRPr="00566A5F">
        <w:t>:</w:t>
      </w:r>
      <w:r w:rsidR="00BA2D23" w:rsidRPr="00566A5F">
        <w:t xml:space="preserve"> CZB01108, Základní územní jednotka (</w:t>
      </w:r>
      <w:r w:rsidR="00384400">
        <w:t>dále jen „</w:t>
      </w:r>
      <w:r w:rsidR="00BA2D23" w:rsidRPr="00566A5F">
        <w:t>ZÚJ</w:t>
      </w:r>
      <w:r w:rsidR="00384400">
        <w:t>“</w:t>
      </w:r>
      <w:r w:rsidR="00BA2D23" w:rsidRPr="00566A5F">
        <w:t>)</w:t>
      </w:r>
      <w:r w:rsidRPr="00566A5F">
        <w:t>:</w:t>
      </w:r>
      <w:r w:rsidR="00BA2D23" w:rsidRPr="00566A5F">
        <w:t xml:space="preserve"> </w:t>
      </w:r>
      <w:r w:rsidR="00384400">
        <w:t>551066 Brno-Černovice</w:t>
      </w:r>
      <w:r w:rsidR="00BA2D23" w:rsidRPr="00566A5F">
        <w:t>,</w:t>
      </w:r>
    </w:p>
    <w:p w:rsidR="002D183E" w:rsidRPr="00952993" w:rsidRDefault="002D183E" w:rsidP="002D183E">
      <w:pPr>
        <w:pStyle w:val="Style2"/>
        <w:numPr>
          <w:ilvl w:val="2"/>
          <w:numId w:val="19"/>
        </w:numPr>
        <w:shd w:val="clear" w:color="auto" w:fill="auto"/>
        <w:tabs>
          <w:tab w:val="left" w:pos="734"/>
        </w:tabs>
        <w:spacing w:after="100" w:line="240" w:lineRule="exact"/>
        <w:ind w:left="1418" w:right="278" w:hanging="709"/>
        <w:jc w:val="both"/>
        <w:rPr>
          <w:rFonts w:ascii="Calibri" w:hAnsi="Calibri" w:cs="Calibri"/>
          <w:sz w:val="24"/>
          <w:szCs w:val="24"/>
        </w:rPr>
      </w:pPr>
      <w:r w:rsidRPr="00952993">
        <w:rPr>
          <w:rFonts w:ascii="Calibri" w:hAnsi="Calibri" w:cs="Calibri"/>
          <w:sz w:val="24"/>
          <w:szCs w:val="24"/>
        </w:rPr>
        <w:t>Zařízení na adrese Smolín, 691 23 Pohořelice, IČZ: CZB01585, ZÚJ: 584801.</w:t>
      </w:r>
    </w:p>
    <w:p w:rsidR="00984644" w:rsidRPr="00952993" w:rsidRDefault="00984644">
      <w:pPr>
        <w:widowControl/>
        <w:rPr>
          <w:rFonts w:ascii="Calibri" w:hAnsi="Calibri" w:cs="Calibri"/>
          <w:color w:val="auto"/>
        </w:rPr>
      </w:pPr>
      <w:r w:rsidRPr="00952993">
        <w:rPr>
          <w:rFonts w:ascii="Calibri" w:hAnsi="Calibri" w:cs="Calibri"/>
        </w:rPr>
        <w:br w:type="page"/>
      </w:r>
    </w:p>
    <w:p w:rsidR="006101BB" w:rsidRPr="00952993" w:rsidRDefault="006101BB" w:rsidP="00384400">
      <w:pPr>
        <w:pStyle w:val="Nadpis1"/>
        <w:numPr>
          <w:ilvl w:val="0"/>
          <w:numId w:val="6"/>
        </w:numPr>
        <w:spacing w:before="0" w:after="100"/>
        <w:ind w:left="357" w:hanging="357"/>
        <w:rPr>
          <w:rStyle w:val="CharStyle6"/>
          <w:rFonts w:ascii="Calibri" w:hAnsi="Calibri" w:cs="Calibri"/>
          <w:b/>
          <w:caps/>
          <w:sz w:val="28"/>
          <w:szCs w:val="28"/>
        </w:rPr>
      </w:pPr>
      <w:r w:rsidRPr="00952993">
        <w:rPr>
          <w:rStyle w:val="CharStyle6"/>
          <w:rFonts w:ascii="Calibri" w:hAnsi="Calibri" w:cs="Calibri"/>
          <w:b/>
          <w:caps/>
          <w:sz w:val="28"/>
          <w:szCs w:val="28"/>
        </w:rPr>
        <w:lastRenderedPageBreak/>
        <w:t>Předmět plnění</w:t>
      </w:r>
    </w:p>
    <w:p w:rsidR="006101BB" w:rsidRPr="00952993" w:rsidRDefault="006101BB" w:rsidP="001B6494">
      <w:pPr>
        <w:pStyle w:val="Style2"/>
        <w:numPr>
          <w:ilvl w:val="0"/>
          <w:numId w:val="9"/>
        </w:numPr>
        <w:shd w:val="clear" w:color="auto" w:fill="auto"/>
        <w:tabs>
          <w:tab w:val="left" w:pos="734"/>
        </w:tabs>
        <w:spacing w:after="100" w:line="240" w:lineRule="exact"/>
        <w:ind w:left="714" w:hanging="357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sz w:val="24"/>
          <w:szCs w:val="24"/>
        </w:rPr>
        <w:t xml:space="preserve">Zhotovitel se zavazuje přejímat odpady </w:t>
      </w:r>
      <w:r w:rsidR="00447491" w:rsidRPr="00952993">
        <w:rPr>
          <w:rStyle w:val="CharStyle3"/>
          <w:rFonts w:ascii="Calibri" w:hAnsi="Calibri" w:cs="Calibri"/>
          <w:sz w:val="24"/>
          <w:szCs w:val="24"/>
        </w:rPr>
        <w:t>dle</w:t>
      </w:r>
      <w:r w:rsidRPr="00952993">
        <w:rPr>
          <w:rStyle w:val="CharStyle3"/>
          <w:rFonts w:ascii="Calibri" w:hAnsi="Calibri" w:cs="Calibri"/>
          <w:sz w:val="24"/>
          <w:szCs w:val="24"/>
        </w:rPr>
        <w:t xml:space="preserve"> této smlouvy a zaji</w:t>
      </w:r>
      <w:r w:rsidR="00F2792D" w:rsidRPr="00952993">
        <w:rPr>
          <w:rStyle w:val="CharStyle3"/>
          <w:rFonts w:ascii="Calibri" w:hAnsi="Calibri" w:cs="Calibri"/>
          <w:sz w:val="24"/>
          <w:szCs w:val="24"/>
        </w:rPr>
        <w:t>stit nakládání s n</w:t>
      </w:r>
      <w:r w:rsidR="008A7F53" w:rsidRPr="00952993">
        <w:rPr>
          <w:rStyle w:val="CharStyle3"/>
          <w:rFonts w:ascii="Calibri" w:hAnsi="Calibri" w:cs="Calibri"/>
          <w:sz w:val="24"/>
          <w:szCs w:val="24"/>
        </w:rPr>
        <w:t>imi</w:t>
      </w:r>
      <w:r w:rsidRPr="00952993">
        <w:rPr>
          <w:rStyle w:val="CharStyle3"/>
          <w:rFonts w:ascii="Calibri" w:hAnsi="Calibri" w:cs="Calibri"/>
          <w:sz w:val="24"/>
          <w:szCs w:val="24"/>
        </w:rPr>
        <w:t xml:space="preserve"> v souladu s plat</w:t>
      </w:r>
      <w:r w:rsidR="00F2792D" w:rsidRPr="00952993">
        <w:rPr>
          <w:rStyle w:val="CharStyle3"/>
          <w:rFonts w:ascii="Calibri" w:hAnsi="Calibri" w:cs="Calibri"/>
          <w:sz w:val="24"/>
          <w:szCs w:val="24"/>
        </w:rPr>
        <w:t>nými právními předpisy</w:t>
      </w:r>
      <w:r w:rsidRPr="00952993">
        <w:rPr>
          <w:rStyle w:val="CharStyle3"/>
          <w:rFonts w:ascii="Calibri" w:hAnsi="Calibri" w:cs="Calibri"/>
          <w:sz w:val="24"/>
          <w:szCs w:val="24"/>
        </w:rPr>
        <w:t>.</w:t>
      </w:r>
    </w:p>
    <w:p w:rsidR="006101BB" w:rsidRPr="00952993" w:rsidRDefault="006101BB" w:rsidP="001B6494">
      <w:pPr>
        <w:pStyle w:val="Style2"/>
        <w:numPr>
          <w:ilvl w:val="0"/>
          <w:numId w:val="10"/>
        </w:numPr>
        <w:shd w:val="clear" w:color="auto" w:fill="auto"/>
        <w:tabs>
          <w:tab w:val="left" w:pos="734"/>
        </w:tabs>
        <w:spacing w:after="100" w:line="240" w:lineRule="exact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sz w:val="24"/>
          <w:szCs w:val="24"/>
        </w:rPr>
        <w:t>Předmětem této smlouvy je:</w:t>
      </w:r>
    </w:p>
    <w:p w:rsidR="006101BB" w:rsidRPr="00952993" w:rsidRDefault="006101BB" w:rsidP="001B6494">
      <w:pPr>
        <w:pStyle w:val="x"/>
        <w:numPr>
          <w:ilvl w:val="0"/>
          <w:numId w:val="0"/>
        </w:numPr>
        <w:spacing w:after="200"/>
        <w:ind w:left="1276" w:hanging="567"/>
        <w:rPr>
          <w:rStyle w:val="CharStyle3"/>
          <w:sz w:val="24"/>
        </w:rPr>
      </w:pPr>
      <w:r w:rsidRPr="00952993">
        <w:rPr>
          <w:rStyle w:val="CharStyle3"/>
          <w:sz w:val="24"/>
        </w:rPr>
        <w:t>3.2.1 Př</w:t>
      </w:r>
      <w:r w:rsidR="008A7F53" w:rsidRPr="00952993">
        <w:rPr>
          <w:rStyle w:val="CharStyle3"/>
          <w:sz w:val="24"/>
        </w:rPr>
        <w:t>i</w:t>
      </w:r>
      <w:r w:rsidRPr="00952993">
        <w:rPr>
          <w:rStyle w:val="CharStyle3"/>
          <w:sz w:val="24"/>
        </w:rPr>
        <w:t xml:space="preserve">jímání </w:t>
      </w:r>
      <w:r w:rsidR="008A7F53" w:rsidRPr="00952993">
        <w:rPr>
          <w:rStyle w:val="CharStyle3"/>
          <w:sz w:val="24"/>
        </w:rPr>
        <w:t xml:space="preserve">od objednatele </w:t>
      </w:r>
      <w:r w:rsidR="00984644" w:rsidRPr="00952993">
        <w:rPr>
          <w:rStyle w:val="CharStyle3"/>
          <w:sz w:val="24"/>
        </w:rPr>
        <w:t xml:space="preserve">níže uvedených </w:t>
      </w:r>
      <w:r w:rsidR="008A7F53" w:rsidRPr="00952993">
        <w:rPr>
          <w:rStyle w:val="CharStyle3"/>
          <w:sz w:val="24"/>
        </w:rPr>
        <w:t xml:space="preserve">druhů </w:t>
      </w:r>
      <w:r w:rsidR="00984644" w:rsidRPr="00952993">
        <w:rPr>
          <w:rStyle w:val="CharStyle3"/>
          <w:sz w:val="24"/>
        </w:rPr>
        <w:t xml:space="preserve">odpadů </w:t>
      </w:r>
      <w:r w:rsidRPr="00952993">
        <w:rPr>
          <w:rStyle w:val="CharStyle3"/>
          <w:sz w:val="24"/>
        </w:rPr>
        <w:t xml:space="preserve">k recyklaci </w:t>
      </w:r>
      <w:r w:rsidR="00984644" w:rsidRPr="00952993">
        <w:rPr>
          <w:rStyle w:val="CharStyle3"/>
          <w:sz w:val="24"/>
        </w:rPr>
        <w:t xml:space="preserve">do </w:t>
      </w:r>
      <w:r w:rsidR="008A7F53" w:rsidRPr="00952993">
        <w:rPr>
          <w:rStyle w:val="CharStyle3"/>
          <w:sz w:val="24"/>
        </w:rPr>
        <w:t xml:space="preserve">svého </w:t>
      </w:r>
      <w:r w:rsidR="00984644" w:rsidRPr="00952993">
        <w:rPr>
          <w:rStyle w:val="CharStyle3"/>
          <w:sz w:val="24"/>
        </w:rPr>
        <w:t xml:space="preserve">zařízení na adrese </w:t>
      </w:r>
      <w:r w:rsidR="00984644" w:rsidRPr="00952993">
        <w:t>Vinohradská, 618 00 Brno, IČZ: CZB01108</w:t>
      </w:r>
      <w:r w:rsidRPr="00952993">
        <w:rPr>
          <w:rStyle w:val="CharStyle3"/>
          <w:sz w:val="24"/>
        </w:rPr>
        <w:t>:</w:t>
      </w:r>
    </w:p>
    <w:tbl>
      <w:tblPr>
        <w:tblW w:w="808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386"/>
        <w:gridCol w:w="1418"/>
      </w:tblGrid>
      <w:tr w:rsidR="00984644" w:rsidRPr="00952993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B03D32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Kód odpadu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B03D32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7F53" w:rsidRPr="0085225F" w:rsidRDefault="00984644" w:rsidP="008A7F53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Množství</w:t>
            </w:r>
          </w:p>
          <w:p w:rsidR="00984644" w:rsidRPr="0085225F" w:rsidRDefault="00984644" w:rsidP="008A7F53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tun</w:t>
            </w:r>
            <w:r w:rsidR="008A7F53"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y</w:t>
            </w: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/rok</w:t>
            </w:r>
          </w:p>
        </w:tc>
      </w:tr>
      <w:tr w:rsidR="00984644" w:rsidRPr="00952993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B03D32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17 01 07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8A7F53">
            <w:pPr>
              <w:pStyle w:val="Style4"/>
              <w:shd w:val="clear" w:color="auto" w:fill="auto"/>
              <w:spacing w:line="240" w:lineRule="exact"/>
              <w:ind w:left="60" w:firstLine="0"/>
              <w:rPr>
                <w:rFonts w:asciiTheme="minorHAnsi" w:hAnsiTheme="minorHAnsi" w:cs="Calibri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Směsi nebo oddělené frakce betonu, cihel, tašek a keramických výrobků neuvedených pod čís</w:t>
            </w:r>
            <w:r w:rsidR="00B03D32"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lem</w:t>
            </w:r>
            <w:r w:rsidR="008A7F53"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 xml:space="preserve"> 17</w:t>
            </w: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4644" w:rsidRPr="0085225F" w:rsidRDefault="00ED108A" w:rsidP="0098464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100</w:t>
            </w:r>
            <w:r w:rsidR="00AB383B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0</w:t>
            </w:r>
          </w:p>
        </w:tc>
      </w:tr>
      <w:tr w:rsidR="00984644" w:rsidRPr="00952993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092F57">
            <w:pPr>
              <w:pStyle w:val="Style4"/>
              <w:shd w:val="clear" w:color="auto" w:fill="auto"/>
              <w:spacing w:line="220" w:lineRule="exact"/>
              <w:ind w:left="60"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17 01 01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984644">
            <w:pPr>
              <w:pStyle w:val="Style4"/>
              <w:shd w:val="clear" w:color="auto" w:fill="auto"/>
              <w:spacing w:line="220" w:lineRule="exact"/>
              <w:ind w:left="60"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Beton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4644" w:rsidRPr="0085225F" w:rsidRDefault="00984644" w:rsidP="0098464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500</w:t>
            </w:r>
          </w:p>
        </w:tc>
      </w:tr>
      <w:tr w:rsidR="00984644" w:rsidRPr="00952993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092F57">
            <w:pPr>
              <w:pStyle w:val="Style4"/>
              <w:shd w:val="clear" w:color="auto" w:fill="auto"/>
              <w:spacing w:line="220" w:lineRule="exact"/>
              <w:ind w:left="60"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17 01 02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984644">
            <w:pPr>
              <w:pStyle w:val="Style4"/>
              <w:shd w:val="clear" w:color="auto" w:fill="auto"/>
              <w:spacing w:line="220" w:lineRule="exact"/>
              <w:ind w:left="60"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Cihly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4644" w:rsidRPr="0085225F" w:rsidRDefault="00984644" w:rsidP="0098464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100</w:t>
            </w:r>
          </w:p>
        </w:tc>
      </w:tr>
      <w:tr w:rsidR="00984644" w:rsidRPr="00952993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092F57">
            <w:pPr>
              <w:pStyle w:val="Style4"/>
              <w:shd w:val="clear" w:color="auto" w:fill="auto"/>
              <w:spacing w:line="220" w:lineRule="exact"/>
              <w:ind w:left="60"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17 03 02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4644" w:rsidRPr="0085225F" w:rsidRDefault="00984644" w:rsidP="00092F57">
            <w:pPr>
              <w:pStyle w:val="Style4"/>
              <w:shd w:val="clear" w:color="auto" w:fill="auto"/>
              <w:spacing w:line="245" w:lineRule="exact"/>
              <w:ind w:left="60"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Asfaltové směsi neuvedené pod číslem 170301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4644" w:rsidRPr="0085225F" w:rsidRDefault="00ED108A" w:rsidP="00AB383B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</w:t>
            </w:r>
            <w:r w:rsidR="00AB383B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4</w:t>
            </w: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00</w:t>
            </w:r>
          </w:p>
        </w:tc>
      </w:tr>
    </w:tbl>
    <w:p w:rsidR="006F6655" w:rsidRPr="00952993" w:rsidRDefault="006F6655" w:rsidP="006F6655">
      <w:pPr>
        <w:pStyle w:val="Style6"/>
        <w:shd w:val="clear" w:color="auto" w:fill="auto"/>
        <w:spacing w:line="220" w:lineRule="exact"/>
        <w:ind w:left="260" w:firstLine="460"/>
        <w:rPr>
          <w:rFonts w:ascii="Calibri" w:hAnsi="Calibri" w:cs="Calibri"/>
        </w:rPr>
      </w:pPr>
      <w:r w:rsidRPr="00952993">
        <w:rPr>
          <w:rStyle w:val="CharStyle7"/>
          <w:rFonts w:ascii="Calibri" w:hAnsi="Calibri" w:cs="Calibri"/>
          <w:color w:val="000000"/>
        </w:rPr>
        <w:t xml:space="preserve">Stanovené procento příměsí ve stavebních sutích na </w:t>
      </w:r>
      <w:r w:rsidR="00B03D32" w:rsidRPr="00952993">
        <w:rPr>
          <w:rStyle w:val="CharStyle7"/>
          <w:rFonts w:ascii="Calibri" w:hAnsi="Calibri" w:cs="Calibri"/>
          <w:color w:val="000000"/>
        </w:rPr>
        <w:t>jednu</w:t>
      </w:r>
      <w:r w:rsidRPr="00952993">
        <w:rPr>
          <w:rStyle w:val="CharStyle7"/>
          <w:rFonts w:ascii="Calibri" w:hAnsi="Calibri" w:cs="Calibri"/>
          <w:color w:val="000000"/>
        </w:rPr>
        <w:t xml:space="preserve"> tunu:</w:t>
      </w:r>
      <w:r w:rsidR="00B03D32" w:rsidRPr="00952993">
        <w:rPr>
          <w:rStyle w:val="CharStyle7"/>
          <w:rFonts w:ascii="Calibri" w:hAnsi="Calibri" w:cs="Calibri"/>
          <w:color w:val="000000"/>
        </w:rPr>
        <w:t xml:space="preserve"> odpadu</w:t>
      </w:r>
      <w:r w:rsidR="008A7F53" w:rsidRPr="00952993">
        <w:rPr>
          <w:rStyle w:val="CharStyle7"/>
          <w:rFonts w:ascii="Calibri" w:hAnsi="Calibri" w:cs="Calibri"/>
          <w:color w:val="000000"/>
        </w:rPr>
        <w:t xml:space="preserve"> je</w:t>
      </w:r>
      <w:r w:rsidRPr="00952993">
        <w:rPr>
          <w:rStyle w:val="CharStyle7"/>
          <w:rFonts w:ascii="Calibri" w:hAnsi="Calibri" w:cs="Calibri"/>
          <w:color w:val="000000"/>
        </w:rPr>
        <w:t xml:space="preserve"> do 5 %</w:t>
      </w:r>
      <w:r w:rsidR="00B03D32" w:rsidRPr="00952993">
        <w:rPr>
          <w:rStyle w:val="CharStyle7"/>
          <w:rFonts w:ascii="Calibri" w:hAnsi="Calibri" w:cs="Calibri"/>
          <w:color w:val="000000"/>
        </w:rPr>
        <w:t xml:space="preserve"> (</w:t>
      </w:r>
      <w:r w:rsidR="00B03D32" w:rsidRPr="00B03D32">
        <w:rPr>
          <w:rStyle w:val="CharStyle7"/>
          <w:rFonts w:ascii="Calibri" w:hAnsi="Calibri" w:cs="Calibri"/>
          <w:color w:val="000000"/>
        </w:rPr>
        <w:t>dřevo, železo</w:t>
      </w:r>
      <w:r w:rsidR="00B03D32">
        <w:rPr>
          <w:rStyle w:val="CharStyle7"/>
          <w:rFonts w:ascii="Calibri" w:hAnsi="Calibri" w:cs="Calibri"/>
          <w:color w:val="000000"/>
        </w:rPr>
        <w:t>)</w:t>
      </w:r>
      <w:r w:rsidRPr="00952993">
        <w:rPr>
          <w:rStyle w:val="CharStyle7"/>
          <w:rFonts w:ascii="Calibri" w:hAnsi="Calibri" w:cs="Calibri"/>
          <w:color w:val="000000"/>
        </w:rPr>
        <w:t>.</w:t>
      </w:r>
    </w:p>
    <w:p w:rsidR="006F6655" w:rsidRPr="00952993" w:rsidRDefault="006F6655" w:rsidP="001B6494">
      <w:pPr>
        <w:pStyle w:val="Style2"/>
        <w:shd w:val="clear" w:color="auto" w:fill="auto"/>
        <w:spacing w:before="160" w:after="100" w:line="240" w:lineRule="exact"/>
        <w:ind w:left="1276" w:right="278" w:hanging="567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Fonts w:ascii="Calibri" w:hAnsi="Calibri" w:cs="Calibri"/>
          <w:sz w:val="24"/>
          <w:szCs w:val="24"/>
        </w:rPr>
        <w:t xml:space="preserve">3.2.2 </w:t>
      </w:r>
      <w:r w:rsidR="005E1916" w:rsidRPr="00952993">
        <w:rPr>
          <w:rStyle w:val="CharStyle3"/>
          <w:rFonts w:ascii="Calibri" w:hAnsi="Calibri" w:cs="Calibri"/>
          <w:sz w:val="24"/>
          <w:szCs w:val="24"/>
        </w:rPr>
        <w:t xml:space="preserve">Přijímání </w:t>
      </w:r>
      <w:r w:rsidR="008A7F53" w:rsidRPr="00952993">
        <w:rPr>
          <w:rStyle w:val="CharStyle3"/>
          <w:rFonts w:ascii="Calibri" w:hAnsi="Calibri" w:cs="Calibri"/>
          <w:sz w:val="24"/>
          <w:szCs w:val="24"/>
        </w:rPr>
        <w:t xml:space="preserve">od objednatele </w:t>
      </w:r>
      <w:r w:rsidR="005E1916" w:rsidRPr="00952993">
        <w:rPr>
          <w:rStyle w:val="CharStyle3"/>
          <w:rFonts w:ascii="Calibri" w:hAnsi="Calibri" w:cs="Calibri"/>
          <w:sz w:val="24"/>
          <w:szCs w:val="24"/>
        </w:rPr>
        <w:t xml:space="preserve">níže uvedeného </w:t>
      </w:r>
      <w:r w:rsidR="008A7F53" w:rsidRPr="00952993">
        <w:rPr>
          <w:rStyle w:val="CharStyle3"/>
          <w:rFonts w:ascii="Calibri" w:hAnsi="Calibri" w:cs="Calibri"/>
          <w:sz w:val="24"/>
          <w:szCs w:val="24"/>
        </w:rPr>
        <w:t xml:space="preserve">druhu </w:t>
      </w:r>
      <w:r w:rsidR="005E1916" w:rsidRPr="00952993">
        <w:rPr>
          <w:rStyle w:val="CharStyle3"/>
          <w:rFonts w:ascii="Calibri" w:hAnsi="Calibri" w:cs="Calibri"/>
          <w:sz w:val="24"/>
          <w:szCs w:val="24"/>
        </w:rPr>
        <w:t xml:space="preserve">odpadu do </w:t>
      </w:r>
      <w:r w:rsidR="008A7F53" w:rsidRPr="00952993">
        <w:rPr>
          <w:rStyle w:val="CharStyle3"/>
          <w:rFonts w:ascii="Calibri" w:hAnsi="Calibri" w:cs="Calibri"/>
          <w:sz w:val="24"/>
          <w:szCs w:val="24"/>
        </w:rPr>
        <w:t xml:space="preserve">svého </w:t>
      </w:r>
      <w:r w:rsidR="005E1916" w:rsidRPr="00952993">
        <w:rPr>
          <w:rStyle w:val="CharStyle3"/>
          <w:rFonts w:ascii="Calibri" w:hAnsi="Calibri" w:cs="Calibri"/>
          <w:sz w:val="24"/>
          <w:szCs w:val="24"/>
        </w:rPr>
        <w:t>zařízení na adrese Smolín, 691 23 Pohořelice, IČZ: CZB01585: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386"/>
        <w:gridCol w:w="1418"/>
      </w:tblGrid>
      <w:tr w:rsidR="005E1916" w:rsidRPr="005E1916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276" w:type="dxa"/>
            <w:shd w:val="clear" w:color="auto" w:fill="FFFFFF"/>
            <w:vAlign w:val="center"/>
          </w:tcPr>
          <w:p w:rsidR="005E1916" w:rsidRPr="0085225F" w:rsidRDefault="005E1916" w:rsidP="00092F57">
            <w:pPr>
              <w:pStyle w:val="Style4"/>
              <w:shd w:val="clear" w:color="auto" w:fill="auto"/>
              <w:spacing w:line="245" w:lineRule="exact"/>
              <w:ind w:left="60"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Kód odpadu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5E1916" w:rsidRPr="0085225F" w:rsidRDefault="005E1916" w:rsidP="005E1916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Název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1916" w:rsidRPr="0085225F" w:rsidRDefault="005E1916" w:rsidP="00092F57">
            <w:pPr>
              <w:pStyle w:val="Style4"/>
              <w:shd w:val="clear" w:color="auto" w:fill="auto"/>
              <w:spacing w:line="245" w:lineRule="exact"/>
              <w:ind w:firstLine="0"/>
              <w:jc w:val="center"/>
              <w:rPr>
                <w:rStyle w:val="CharStyle9"/>
                <w:rFonts w:asciiTheme="minorHAnsi" w:hAnsiTheme="minorHAnsi" w:cs="Calibri"/>
                <w:color w:val="000000"/>
                <w:sz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Množství tun</w:t>
            </w:r>
            <w:r w:rsidR="008A7F53"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y</w:t>
            </w: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/rok</w:t>
            </w:r>
          </w:p>
        </w:tc>
      </w:tr>
      <w:tr w:rsidR="005E1916" w:rsidRPr="00952993" w:rsidTr="008A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1276" w:type="dxa"/>
            <w:shd w:val="clear" w:color="auto" w:fill="FFFFFF"/>
            <w:vAlign w:val="center"/>
          </w:tcPr>
          <w:p w:rsidR="005E1916" w:rsidRPr="0085225F" w:rsidRDefault="005E1916" w:rsidP="001B6494">
            <w:pPr>
              <w:pStyle w:val="Style4"/>
              <w:shd w:val="clear" w:color="auto" w:fill="auto"/>
              <w:spacing w:line="245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17 05 04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5E1916" w:rsidRPr="0085225F" w:rsidRDefault="005E1916" w:rsidP="001B6494">
            <w:pPr>
              <w:pStyle w:val="Style4"/>
              <w:shd w:val="clear" w:color="auto" w:fill="auto"/>
              <w:spacing w:line="245" w:lineRule="exact"/>
              <w:ind w:firstLine="0"/>
              <w:rPr>
                <w:rFonts w:asciiTheme="minorHAnsi" w:hAnsiTheme="minorHAnsi" w:cs="Calibri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Zemina a kamení neuvedené pod číslem 170503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1916" w:rsidRPr="0085225F" w:rsidRDefault="00AB383B" w:rsidP="001B6494">
            <w:pPr>
              <w:pStyle w:val="Style4"/>
              <w:shd w:val="clear" w:color="auto" w:fill="auto"/>
              <w:spacing w:line="245" w:lineRule="exact"/>
              <w:ind w:firstLine="0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10000</w:t>
            </w:r>
          </w:p>
        </w:tc>
      </w:tr>
    </w:tbl>
    <w:p w:rsidR="00E94975" w:rsidRPr="00952993" w:rsidRDefault="00E94975" w:rsidP="00952993">
      <w:pPr>
        <w:pStyle w:val="Style2"/>
        <w:shd w:val="clear" w:color="auto" w:fill="auto"/>
        <w:tabs>
          <w:tab w:val="left" w:pos="734"/>
        </w:tabs>
        <w:spacing w:before="240" w:after="100" w:line="240" w:lineRule="exact"/>
        <w:ind w:left="709" w:hanging="352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ascii="Calibri" w:hAnsi="Calibri" w:cs="Calibri"/>
          <w:sz w:val="24"/>
          <w:szCs w:val="24"/>
        </w:rPr>
        <w:t>3.3 Smluvní strany se dohodly, že objednatel má právo dodat předmět plnění v jiném než v dohodnutém množství, a to za stejných cenových podmínek.</w:t>
      </w:r>
    </w:p>
    <w:p w:rsidR="007C30E5" w:rsidRPr="00952993" w:rsidRDefault="007C30E5" w:rsidP="00952993">
      <w:pPr>
        <w:spacing w:after="200" w:line="240" w:lineRule="exact"/>
        <w:ind w:left="709" w:hanging="283"/>
        <w:jc w:val="both"/>
        <w:rPr>
          <w:rStyle w:val="CharStyle3"/>
          <w:rFonts w:ascii="Calibri" w:hAnsi="Calibri" w:cs="Calibri"/>
          <w:color w:val="auto"/>
          <w:sz w:val="24"/>
        </w:rPr>
      </w:pPr>
      <w:r w:rsidRPr="00952993">
        <w:rPr>
          <w:rStyle w:val="CharStyle3"/>
          <w:rFonts w:ascii="Calibri" w:hAnsi="Calibri" w:cs="Calibri"/>
          <w:color w:val="auto"/>
          <w:sz w:val="24"/>
        </w:rPr>
        <w:t xml:space="preserve">3.4 Zhotovitel prohlašuje, že od objednatele obdržel </w:t>
      </w:r>
      <w:r w:rsidR="00E03A0D" w:rsidRPr="00952993">
        <w:rPr>
          <w:rStyle w:val="CharStyle3"/>
          <w:rFonts w:ascii="Calibri" w:hAnsi="Calibri" w:cs="Calibri"/>
          <w:color w:val="auto"/>
          <w:sz w:val="24"/>
        </w:rPr>
        <w:t>výsledky koncentrace škodlivin a výsledky ekotoxikologických testů (</w:t>
      </w:r>
      <w:r w:rsidRPr="00952993">
        <w:rPr>
          <w:rStyle w:val="CharStyle3"/>
          <w:rFonts w:ascii="Calibri" w:hAnsi="Calibri" w:cs="Calibri"/>
          <w:color w:val="auto"/>
          <w:sz w:val="24"/>
        </w:rPr>
        <w:t>protokoly o zkoušce</w:t>
      </w:r>
      <w:r w:rsidR="00E03A0D" w:rsidRPr="00952993">
        <w:rPr>
          <w:rStyle w:val="CharStyle3"/>
          <w:rFonts w:ascii="Calibri" w:hAnsi="Calibri" w:cs="Calibri"/>
          <w:color w:val="auto"/>
          <w:sz w:val="24"/>
        </w:rPr>
        <w:t>)</w:t>
      </w:r>
      <w:r w:rsidRPr="00952993">
        <w:rPr>
          <w:rStyle w:val="CharStyle3"/>
          <w:rFonts w:ascii="Calibri" w:hAnsi="Calibri" w:cs="Calibri"/>
          <w:color w:val="auto"/>
          <w:sz w:val="24"/>
        </w:rPr>
        <w:t xml:space="preserve"> k odpadu s katalogovým číslem 17 05 04, a že zjištěné hodnoty jsou v souladu s jeho provozním řádem zařízení, </w:t>
      </w:r>
      <w:r w:rsidR="00E03A0D" w:rsidRPr="00952993">
        <w:rPr>
          <w:rStyle w:val="CharStyle3"/>
          <w:rFonts w:ascii="Calibri" w:hAnsi="Calibri" w:cs="Calibri"/>
          <w:color w:val="auto"/>
          <w:sz w:val="24"/>
        </w:rPr>
        <w:t xml:space="preserve">a tudíž může </w:t>
      </w:r>
      <w:r w:rsidRPr="00952993">
        <w:rPr>
          <w:rStyle w:val="CharStyle3"/>
          <w:rFonts w:ascii="Calibri" w:hAnsi="Calibri" w:cs="Calibri"/>
          <w:color w:val="auto"/>
          <w:sz w:val="24"/>
        </w:rPr>
        <w:t xml:space="preserve">odpad </w:t>
      </w:r>
      <w:r w:rsidR="00E03A0D" w:rsidRPr="00952993">
        <w:rPr>
          <w:rStyle w:val="CharStyle3"/>
          <w:rFonts w:ascii="Calibri" w:hAnsi="Calibri" w:cs="Calibri"/>
          <w:color w:val="auto"/>
          <w:sz w:val="24"/>
        </w:rPr>
        <w:t xml:space="preserve">do zařízení </w:t>
      </w:r>
      <w:r w:rsidRPr="00952993">
        <w:rPr>
          <w:rStyle w:val="CharStyle3"/>
          <w:rFonts w:ascii="Calibri" w:hAnsi="Calibri" w:cs="Calibri"/>
          <w:color w:val="auto"/>
          <w:sz w:val="24"/>
        </w:rPr>
        <w:t>přij</w:t>
      </w:r>
      <w:r w:rsidR="00E03A0D" w:rsidRPr="00952993">
        <w:rPr>
          <w:rStyle w:val="CharStyle3"/>
          <w:rFonts w:ascii="Calibri" w:hAnsi="Calibri" w:cs="Calibri"/>
          <w:color w:val="auto"/>
          <w:sz w:val="24"/>
        </w:rPr>
        <w:t>mout</w:t>
      </w:r>
      <w:r w:rsidRPr="00952993">
        <w:rPr>
          <w:rStyle w:val="CharStyle3"/>
          <w:rFonts w:ascii="Calibri" w:hAnsi="Calibri" w:cs="Calibri"/>
          <w:color w:val="auto"/>
          <w:sz w:val="24"/>
        </w:rPr>
        <w:t>.</w:t>
      </w:r>
    </w:p>
    <w:p w:rsidR="006101BB" w:rsidRPr="00952993" w:rsidRDefault="006F6655" w:rsidP="001B6494">
      <w:pPr>
        <w:pStyle w:val="Nadpis1"/>
        <w:numPr>
          <w:ilvl w:val="0"/>
          <w:numId w:val="6"/>
        </w:numPr>
        <w:spacing w:before="160"/>
        <w:ind w:left="357" w:hanging="357"/>
        <w:rPr>
          <w:rFonts w:ascii="Calibri" w:hAnsi="Calibri" w:cs="Calibri"/>
          <w:caps/>
          <w:sz w:val="28"/>
          <w:szCs w:val="28"/>
        </w:rPr>
      </w:pPr>
      <w:r w:rsidRPr="00952993">
        <w:rPr>
          <w:rFonts w:ascii="Calibri" w:hAnsi="Calibri" w:cs="Calibri"/>
          <w:caps/>
          <w:sz w:val="28"/>
          <w:szCs w:val="28"/>
        </w:rPr>
        <w:t>Cena plnění a platební podmínky</w:t>
      </w:r>
    </w:p>
    <w:p w:rsidR="006F6655" w:rsidRPr="00952993" w:rsidRDefault="007C30E5" w:rsidP="00952993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before="60" w:after="200" w:line="240" w:lineRule="exact"/>
        <w:ind w:left="850" w:hanging="425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cs="Calibri"/>
          <w:sz w:val="24"/>
          <w:szCs w:val="24"/>
        </w:rPr>
        <w:t xml:space="preserve"> </w:t>
      </w:r>
      <w:r w:rsidR="00BD62D0" w:rsidRPr="00952993">
        <w:rPr>
          <w:rStyle w:val="CharStyle3"/>
          <w:rFonts w:ascii="Calibri" w:hAnsi="Calibri" w:cs="Calibri"/>
          <w:sz w:val="24"/>
          <w:szCs w:val="24"/>
        </w:rPr>
        <w:t>C</w:t>
      </w:r>
      <w:r w:rsidR="006F6655" w:rsidRPr="00952993">
        <w:rPr>
          <w:rStyle w:val="CharStyle3"/>
          <w:rFonts w:ascii="Calibri" w:hAnsi="Calibri" w:cs="Calibri"/>
          <w:sz w:val="24"/>
          <w:szCs w:val="24"/>
        </w:rPr>
        <w:t>en</w:t>
      </w:r>
      <w:r w:rsidR="00ED108A" w:rsidRPr="00952993">
        <w:rPr>
          <w:rStyle w:val="CharStyle3"/>
          <w:rFonts w:ascii="Calibri" w:hAnsi="Calibri" w:cs="Calibri"/>
          <w:sz w:val="24"/>
          <w:szCs w:val="24"/>
        </w:rPr>
        <w:t>a</w:t>
      </w:r>
      <w:r w:rsidR="006F6655" w:rsidRPr="00952993">
        <w:rPr>
          <w:rStyle w:val="CharStyle3"/>
          <w:rFonts w:ascii="Calibri" w:hAnsi="Calibri" w:cs="Calibri"/>
          <w:sz w:val="24"/>
          <w:szCs w:val="24"/>
        </w:rPr>
        <w:t xml:space="preserve"> za převzetí a zneškodnění odpadů dle </w:t>
      </w:r>
      <w:r w:rsidR="00ED108A" w:rsidRPr="00952993">
        <w:rPr>
          <w:rStyle w:val="CharStyle3"/>
          <w:rFonts w:ascii="Calibri" w:hAnsi="Calibri" w:cs="Calibri"/>
          <w:sz w:val="24"/>
          <w:szCs w:val="24"/>
        </w:rPr>
        <w:t>článku 3</w:t>
      </w:r>
      <w:r w:rsidR="006F6655" w:rsidRPr="00952993">
        <w:rPr>
          <w:rStyle w:val="CharStyle3"/>
          <w:rFonts w:ascii="Calibri" w:hAnsi="Calibri" w:cs="Calibri"/>
          <w:sz w:val="24"/>
          <w:szCs w:val="24"/>
        </w:rPr>
        <w:t xml:space="preserve"> </w:t>
      </w:r>
      <w:r w:rsidR="00ED108A" w:rsidRPr="00952993">
        <w:rPr>
          <w:rStyle w:val="CharStyle3"/>
          <w:rFonts w:ascii="Calibri" w:hAnsi="Calibri" w:cs="Calibri"/>
          <w:sz w:val="24"/>
          <w:szCs w:val="24"/>
        </w:rPr>
        <w:t xml:space="preserve">této smlouvy </w:t>
      </w:r>
      <w:r w:rsidR="00D44DEC" w:rsidRPr="00952993">
        <w:rPr>
          <w:rStyle w:val="CharStyle3"/>
          <w:rFonts w:ascii="Calibri" w:hAnsi="Calibri" w:cs="Calibri"/>
          <w:sz w:val="24"/>
          <w:szCs w:val="24"/>
        </w:rPr>
        <w:t xml:space="preserve">je </w:t>
      </w:r>
      <w:r w:rsidR="006F6655" w:rsidRPr="00952993">
        <w:rPr>
          <w:rStyle w:val="CharStyle3"/>
          <w:rFonts w:ascii="Calibri" w:hAnsi="Calibri" w:cs="Calibri"/>
          <w:sz w:val="24"/>
          <w:szCs w:val="24"/>
        </w:rPr>
        <w:t>stanovena dohodou smluvních stran</w:t>
      </w:r>
      <w:r w:rsidR="00ED108A" w:rsidRPr="00952993">
        <w:rPr>
          <w:rStyle w:val="CharStyle3"/>
          <w:rFonts w:ascii="Calibri" w:hAnsi="Calibri" w:cs="Calibri"/>
          <w:sz w:val="24"/>
          <w:szCs w:val="24"/>
        </w:rPr>
        <w:t>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386"/>
        <w:gridCol w:w="1418"/>
      </w:tblGrid>
      <w:tr w:rsidR="00D44DEC" w:rsidRPr="00952993" w:rsidTr="00AB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127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Kód odpadu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Název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62D0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Cena</w:t>
            </w:r>
            <w:r w:rsidR="00BD62D0"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 xml:space="preserve"> bez DPH</w:t>
            </w:r>
          </w:p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(Kč/tunu)</w:t>
            </w:r>
          </w:p>
        </w:tc>
      </w:tr>
      <w:tr w:rsidR="00D44DEC" w:rsidRPr="00952993" w:rsidTr="00AB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127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4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17 01</w:t>
            </w:r>
            <w:r w:rsidR="001B6494"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 xml:space="preserve"> </w:t>
            </w: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07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Směsi nebo oddělené frakce betonu, cihel, tašek a keramických výrobků neuvedených pod číslem 170106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250,00</w:t>
            </w:r>
          </w:p>
        </w:tc>
      </w:tr>
      <w:tr w:rsidR="00D44DEC" w:rsidRPr="00952993" w:rsidTr="00AB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27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4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17 01 01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Beton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140,00</w:t>
            </w:r>
          </w:p>
        </w:tc>
      </w:tr>
      <w:tr w:rsidR="00D44DEC" w:rsidRPr="00952993" w:rsidTr="00AB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7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4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17 01 02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Cihly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185,00</w:t>
            </w:r>
          </w:p>
        </w:tc>
      </w:tr>
      <w:tr w:rsidR="00D44DEC" w:rsidRPr="00952993" w:rsidTr="00AB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127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4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17 03 02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Asfaltové směsi neuvedené pod číslem 17 03 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DEC" w:rsidRPr="0085225F" w:rsidRDefault="00D44DEC" w:rsidP="001B6494">
            <w:pPr>
              <w:pStyle w:val="Style4"/>
              <w:shd w:val="clear" w:color="auto" w:fill="auto"/>
              <w:spacing w:line="220" w:lineRule="exact"/>
              <w:ind w:firstLine="0"/>
              <w:jc w:val="center"/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</w:pPr>
            <w:r w:rsidRPr="0085225F">
              <w:rPr>
                <w:rStyle w:val="CharStyle3"/>
                <w:rFonts w:asciiTheme="minorHAnsi" w:hAnsiTheme="minorHAnsi" w:cs="Calibri"/>
                <w:spacing w:val="0"/>
                <w:sz w:val="24"/>
                <w:szCs w:val="24"/>
              </w:rPr>
              <w:t>140,00</w:t>
            </w:r>
          </w:p>
        </w:tc>
      </w:tr>
    </w:tbl>
    <w:p w:rsidR="00D44DEC" w:rsidRPr="00952993" w:rsidRDefault="006F6655" w:rsidP="00AB383B">
      <w:pPr>
        <w:pStyle w:val="Style6"/>
        <w:shd w:val="clear" w:color="auto" w:fill="auto"/>
        <w:spacing w:before="100" w:line="240" w:lineRule="exact"/>
        <w:ind w:left="709" w:firstLine="11"/>
        <w:jc w:val="both"/>
        <w:rPr>
          <w:rFonts w:ascii="Calibri" w:hAnsi="Calibri" w:cs="Calibri"/>
        </w:rPr>
      </w:pPr>
      <w:r w:rsidRPr="00952993">
        <w:rPr>
          <w:rStyle w:val="CharStyle7"/>
          <w:rFonts w:ascii="Calibri" w:hAnsi="Calibri" w:cs="Calibri"/>
          <w:color w:val="000000"/>
        </w:rPr>
        <w:t xml:space="preserve">Cena je stanovena dohodou smluvních stran bez dopravy </w:t>
      </w:r>
      <w:r w:rsidR="00D44DEC" w:rsidRPr="00952993">
        <w:rPr>
          <w:rStyle w:val="CharStyle7"/>
          <w:rFonts w:ascii="Calibri" w:hAnsi="Calibri" w:cs="Calibri"/>
          <w:color w:val="000000"/>
        </w:rPr>
        <w:t>do zařízení zhotovitele</w:t>
      </w:r>
      <w:r w:rsidR="00706DF7">
        <w:rPr>
          <w:rStyle w:val="CharStyle7"/>
          <w:rFonts w:ascii="Calibri" w:hAnsi="Calibri" w:cs="Calibri"/>
          <w:color w:val="000000"/>
        </w:rPr>
        <w:t xml:space="preserve"> dle smlouvy</w:t>
      </w:r>
      <w:r w:rsidR="00D44DEC" w:rsidRPr="00952993">
        <w:rPr>
          <w:rFonts w:ascii="Calibri" w:hAnsi="Calibri" w:cs="Calibri"/>
        </w:rPr>
        <w:t>. Dopravu zajišťuje objednatel.</w:t>
      </w:r>
    </w:p>
    <w:p w:rsidR="00D44DEC" w:rsidRDefault="00D44DEC">
      <w:pPr>
        <w:widowControl/>
        <w:rPr>
          <w:color w:val="auto"/>
          <w:spacing w:val="-10"/>
          <w:sz w:val="22"/>
          <w:szCs w:val="22"/>
        </w:rPr>
      </w:pPr>
      <w:r>
        <w:br w:type="page"/>
      </w:r>
    </w:p>
    <w:p w:rsidR="006F6655" w:rsidRPr="00952993" w:rsidRDefault="006F6655" w:rsidP="00952993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before="60" w:after="200" w:line="240" w:lineRule="exact"/>
        <w:ind w:left="850" w:hanging="425"/>
        <w:jc w:val="both"/>
        <w:rPr>
          <w:rStyle w:val="CharStyle3"/>
          <w:rFonts w:ascii="Calibri" w:hAnsi="Calibri" w:cs="Calibri"/>
          <w:sz w:val="24"/>
          <w:szCs w:val="24"/>
        </w:rPr>
      </w:pPr>
      <w:r w:rsidRPr="00952993">
        <w:rPr>
          <w:rStyle w:val="CharStyle3"/>
          <w:rFonts w:cs="Calibri"/>
          <w:sz w:val="24"/>
          <w:szCs w:val="24"/>
        </w:rPr>
        <w:lastRenderedPageBreak/>
        <w:t xml:space="preserve"> </w:t>
      </w:r>
      <w:r w:rsidR="00BD62D0" w:rsidRPr="00952993">
        <w:rPr>
          <w:rStyle w:val="CharStyle3"/>
          <w:rFonts w:ascii="Calibri" w:hAnsi="Calibri" w:cs="Calibri"/>
          <w:sz w:val="24"/>
          <w:szCs w:val="24"/>
        </w:rPr>
        <w:t>C</w:t>
      </w:r>
      <w:r w:rsidRPr="00952993">
        <w:rPr>
          <w:rStyle w:val="CharStyle3"/>
          <w:rFonts w:ascii="Calibri" w:hAnsi="Calibri" w:cs="Calibri"/>
          <w:sz w:val="24"/>
          <w:szCs w:val="24"/>
        </w:rPr>
        <w:t xml:space="preserve">ena za převzetí a zneškodnění odpadu dle </w:t>
      </w:r>
      <w:r w:rsidR="00D44DEC" w:rsidRPr="00952993">
        <w:rPr>
          <w:rStyle w:val="CharStyle3"/>
          <w:rFonts w:ascii="Calibri" w:hAnsi="Calibri" w:cs="Calibri"/>
          <w:sz w:val="24"/>
          <w:szCs w:val="24"/>
        </w:rPr>
        <w:t>článku 3 této smlouvy</w:t>
      </w:r>
      <w:r w:rsidRPr="00952993">
        <w:rPr>
          <w:rStyle w:val="CharStyle3"/>
          <w:rFonts w:ascii="Calibri" w:hAnsi="Calibri" w:cs="Calibri"/>
          <w:sz w:val="24"/>
          <w:szCs w:val="24"/>
        </w:rPr>
        <w:t xml:space="preserve"> </w:t>
      </w:r>
      <w:r w:rsidR="00D44DEC" w:rsidRPr="00952993">
        <w:rPr>
          <w:rStyle w:val="CharStyle3"/>
          <w:rFonts w:ascii="Calibri" w:hAnsi="Calibri" w:cs="Calibri"/>
          <w:sz w:val="24"/>
          <w:szCs w:val="24"/>
        </w:rPr>
        <w:t xml:space="preserve">je </w:t>
      </w:r>
      <w:r w:rsidRPr="00952993">
        <w:rPr>
          <w:rStyle w:val="CharStyle3"/>
          <w:rFonts w:ascii="Calibri" w:hAnsi="Calibri" w:cs="Calibri"/>
          <w:sz w:val="24"/>
          <w:szCs w:val="24"/>
        </w:rPr>
        <w:t>stanovena dohodou smluvních stran: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386"/>
        <w:gridCol w:w="1418"/>
      </w:tblGrid>
      <w:tr w:rsidR="00D44DEC" w:rsidRPr="00952993" w:rsidTr="00706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1276" w:type="dxa"/>
            <w:shd w:val="clear" w:color="auto" w:fill="FFFFFF"/>
            <w:vAlign w:val="center"/>
          </w:tcPr>
          <w:p w:rsidR="00D44DEC" w:rsidRPr="00952993" w:rsidRDefault="00D44DEC" w:rsidP="00D44DEC">
            <w:pPr>
              <w:pStyle w:val="Style2"/>
              <w:shd w:val="clear" w:color="auto" w:fill="auto"/>
              <w:spacing w:line="210" w:lineRule="exact"/>
              <w:ind w:firstLine="0"/>
              <w:jc w:val="center"/>
              <w:rPr>
                <w:rStyle w:val="CharStyle3"/>
                <w:rFonts w:cs="Calibri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sz w:val="24"/>
                <w:szCs w:val="24"/>
              </w:rPr>
              <w:t>Kód odpadu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952993" w:rsidRDefault="00D44DEC" w:rsidP="00D44DEC">
            <w:pPr>
              <w:pStyle w:val="Style2"/>
              <w:shd w:val="clear" w:color="auto" w:fill="auto"/>
              <w:spacing w:line="21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sz w:val="24"/>
                <w:szCs w:val="24"/>
              </w:rPr>
              <w:t>Název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62D0" w:rsidRPr="00952993" w:rsidRDefault="00D44DEC" w:rsidP="00BD62D0">
            <w:pPr>
              <w:pStyle w:val="Style2"/>
              <w:shd w:val="clear" w:color="auto" w:fill="auto"/>
              <w:spacing w:line="210" w:lineRule="exact"/>
              <w:ind w:firstLine="0"/>
              <w:jc w:val="center"/>
              <w:rPr>
                <w:rStyle w:val="CharStyle3"/>
                <w:rFonts w:ascii="Calibri" w:hAnsi="Calibri" w:cs="Calibri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sz w:val="24"/>
                <w:szCs w:val="24"/>
              </w:rPr>
              <w:t>Cena</w:t>
            </w:r>
            <w:r w:rsidR="00BD62D0" w:rsidRPr="00952993">
              <w:rPr>
                <w:rStyle w:val="CharStyle3"/>
                <w:rFonts w:ascii="Calibri" w:hAnsi="Calibri" w:cs="Calibri"/>
                <w:sz w:val="24"/>
                <w:szCs w:val="24"/>
              </w:rPr>
              <w:t xml:space="preserve"> bez DPH</w:t>
            </w:r>
          </w:p>
          <w:p w:rsidR="00D44DEC" w:rsidRPr="00952993" w:rsidRDefault="00D44DEC" w:rsidP="00BD62D0">
            <w:pPr>
              <w:pStyle w:val="Style2"/>
              <w:shd w:val="clear" w:color="auto" w:fill="auto"/>
              <w:spacing w:line="210" w:lineRule="exact"/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sz w:val="24"/>
                <w:szCs w:val="24"/>
              </w:rPr>
              <w:t>(Kč/tunu)</w:t>
            </w:r>
          </w:p>
        </w:tc>
      </w:tr>
      <w:tr w:rsidR="00D44DEC" w:rsidRPr="00952993" w:rsidTr="00706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1276" w:type="dxa"/>
            <w:shd w:val="clear" w:color="auto" w:fill="FFFFFF"/>
            <w:vAlign w:val="center"/>
          </w:tcPr>
          <w:p w:rsidR="00D44DEC" w:rsidRPr="00952993" w:rsidRDefault="00D44DEC" w:rsidP="00D44DEC">
            <w:pPr>
              <w:pStyle w:val="Style2"/>
              <w:shd w:val="clear" w:color="auto" w:fill="auto"/>
              <w:spacing w:line="210" w:lineRule="exact"/>
              <w:ind w:firstLine="0"/>
              <w:jc w:val="center"/>
              <w:rPr>
                <w:rStyle w:val="CharStyle3"/>
                <w:rFonts w:cs="Calibri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sz w:val="24"/>
                <w:szCs w:val="24"/>
              </w:rPr>
              <w:t>17 05 04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D44DEC" w:rsidRPr="00952993" w:rsidRDefault="00D44DEC" w:rsidP="00706DF7">
            <w:pPr>
              <w:pStyle w:val="Style2"/>
              <w:shd w:val="clear" w:color="auto" w:fill="auto"/>
              <w:spacing w:line="245" w:lineRule="exact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color w:val="000000"/>
                <w:sz w:val="24"/>
                <w:szCs w:val="24"/>
              </w:rPr>
              <w:t>Zemina a kamen</w:t>
            </w:r>
            <w:r w:rsidR="00BD62D0" w:rsidRPr="00952993">
              <w:rPr>
                <w:rStyle w:val="CharStyle3"/>
                <w:rFonts w:ascii="Calibri" w:hAnsi="Calibri" w:cs="Calibri"/>
                <w:color w:val="000000"/>
                <w:sz w:val="24"/>
                <w:szCs w:val="24"/>
              </w:rPr>
              <w:t>í</w:t>
            </w:r>
            <w:r w:rsidRPr="00952993">
              <w:rPr>
                <w:rStyle w:val="CharStyle3"/>
                <w:rFonts w:ascii="Calibri" w:hAnsi="Calibri" w:cs="Calibri"/>
                <w:color w:val="000000"/>
                <w:sz w:val="24"/>
                <w:szCs w:val="24"/>
              </w:rPr>
              <w:t xml:space="preserve"> neuvedené pod čís</w:t>
            </w:r>
            <w:r w:rsidR="00BD62D0" w:rsidRPr="00952993">
              <w:rPr>
                <w:rStyle w:val="CharStyle3"/>
                <w:rFonts w:ascii="Calibri" w:hAnsi="Calibri" w:cs="Calibri"/>
                <w:color w:val="000000"/>
                <w:sz w:val="24"/>
                <w:szCs w:val="24"/>
              </w:rPr>
              <w:t>lem</w:t>
            </w:r>
            <w:r w:rsidRPr="00952993">
              <w:rPr>
                <w:rStyle w:val="CharStyle3"/>
                <w:rFonts w:ascii="Calibri" w:hAnsi="Calibri" w:cs="Calibri"/>
                <w:color w:val="000000"/>
                <w:sz w:val="24"/>
                <w:szCs w:val="24"/>
              </w:rPr>
              <w:t xml:space="preserve"> 170503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44DEC" w:rsidRPr="00952993" w:rsidRDefault="00D44DEC" w:rsidP="00D44DEC">
            <w:pPr>
              <w:pStyle w:val="Style2"/>
              <w:shd w:val="clear" w:color="auto" w:fill="auto"/>
              <w:spacing w:line="210" w:lineRule="exact"/>
              <w:ind w:firstLine="0"/>
              <w:jc w:val="center"/>
              <w:rPr>
                <w:rStyle w:val="CharStyle3"/>
                <w:rFonts w:cs="Calibri"/>
                <w:color w:val="000000"/>
                <w:sz w:val="24"/>
                <w:szCs w:val="24"/>
              </w:rPr>
            </w:pPr>
            <w:r w:rsidRPr="00952993">
              <w:rPr>
                <w:rStyle w:val="CharStyle3"/>
                <w:rFonts w:ascii="Calibri" w:hAnsi="Calibri" w:cs="Calibri"/>
                <w:color w:val="000000"/>
                <w:sz w:val="24"/>
                <w:szCs w:val="24"/>
              </w:rPr>
              <w:t>246,00</w:t>
            </w:r>
          </w:p>
        </w:tc>
      </w:tr>
    </w:tbl>
    <w:p w:rsidR="00F31330" w:rsidRPr="00706DF7" w:rsidRDefault="00F31330" w:rsidP="00585026">
      <w:pPr>
        <w:pStyle w:val="Style6"/>
        <w:shd w:val="clear" w:color="auto" w:fill="auto"/>
        <w:spacing w:before="100" w:line="220" w:lineRule="exact"/>
        <w:ind w:left="709" w:firstLine="11"/>
        <w:jc w:val="both"/>
        <w:rPr>
          <w:rStyle w:val="CharStyle7"/>
          <w:rFonts w:ascii="Calibri" w:hAnsi="Calibri" w:cs="Calibri"/>
          <w:color w:val="000000"/>
        </w:rPr>
      </w:pPr>
      <w:r w:rsidRPr="00706DF7">
        <w:rPr>
          <w:rStyle w:val="CharStyle7"/>
          <w:rFonts w:ascii="Calibri" w:hAnsi="Calibri" w:cs="Calibri"/>
          <w:color w:val="000000"/>
        </w:rPr>
        <w:t>Cena je stanovena dohodou smluvních stran včetně dopravy</w:t>
      </w:r>
      <w:r w:rsidR="00706DF7" w:rsidRPr="00706DF7">
        <w:rPr>
          <w:rStyle w:val="CharStyle7"/>
          <w:rFonts w:ascii="Calibri" w:hAnsi="Calibri" w:cs="Calibri"/>
          <w:color w:val="000000"/>
        </w:rPr>
        <w:t xml:space="preserve"> </w:t>
      </w:r>
      <w:r w:rsidRPr="00706DF7">
        <w:rPr>
          <w:rStyle w:val="CharStyle7"/>
          <w:rFonts w:ascii="Calibri" w:hAnsi="Calibri" w:cs="Calibri"/>
          <w:color w:val="000000"/>
        </w:rPr>
        <w:t>prostřednictvím zhotovitele do zařízen</w:t>
      </w:r>
      <w:r w:rsidR="00706DF7" w:rsidRPr="00706DF7">
        <w:rPr>
          <w:rStyle w:val="CharStyle7"/>
          <w:rFonts w:ascii="Calibri" w:hAnsi="Calibri" w:cs="Calibri"/>
          <w:color w:val="000000"/>
        </w:rPr>
        <w:t>í zhotovitele dle smlouvy.</w:t>
      </w:r>
    </w:p>
    <w:p w:rsidR="006F6655" w:rsidRPr="00706DF7" w:rsidRDefault="00F31330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before="100"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Celková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cena za roční plnění </w:t>
      </w:r>
      <w:r w:rsidR="00706DF7">
        <w:rPr>
          <w:rStyle w:val="CharStyle3"/>
          <w:rFonts w:asciiTheme="minorHAnsi" w:hAnsiTheme="minorHAnsi" w:cs="Calibri"/>
          <w:sz w:val="24"/>
          <w:szCs w:val="24"/>
        </w:rPr>
        <w:t xml:space="preserve">dle 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této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smlouvy činí </w:t>
      </w:r>
      <w:r w:rsidR="00581CEF">
        <w:rPr>
          <w:rStyle w:val="CharStyle3"/>
          <w:rFonts w:asciiTheme="minorHAnsi" w:hAnsiTheme="minorHAnsi" w:cs="Calibri"/>
          <w:sz w:val="24"/>
          <w:szCs w:val="24"/>
        </w:rPr>
        <w:t>2 970 000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,-Kč 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bez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>DPH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(slovy: </w:t>
      </w:r>
      <w:r w:rsidR="00581CEF">
        <w:rPr>
          <w:rStyle w:val="CharStyle3"/>
          <w:rFonts w:asciiTheme="minorHAnsi" w:hAnsiTheme="minorHAnsi" w:cs="Calibri"/>
          <w:sz w:val="24"/>
          <w:szCs w:val="24"/>
        </w:rPr>
        <w:t>dvamilionydevětsetsedmdesát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>korunčeských)</w:t>
      </w:r>
      <w:r w:rsidR="007C30E5" w:rsidRPr="00706DF7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BD62D0" w:rsidRPr="00706DF7" w:rsidRDefault="00706DF7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>Ve sjednané ceně není obsažena daň z přidané hodnoty (dále jen „DPH“), DPH se ke smluvní ceně připočte ve výši dle příslušných právních předpisů (zejména dle zákona č. 235/2004 Sb., o dani z přidané hodnoty, ve znění pozdějších předpisů</w:t>
      </w:r>
      <w:r>
        <w:rPr>
          <w:rStyle w:val="CharStyle3"/>
          <w:rFonts w:asciiTheme="minorHAnsi" w:hAnsiTheme="minorHAnsi" w:cs="Calibri"/>
          <w:sz w:val="24"/>
          <w:szCs w:val="24"/>
        </w:rPr>
        <w:t>)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právně účinných ke dni data uskutečnění zdanitelného plnění.</w:t>
      </w:r>
    </w:p>
    <w:p w:rsidR="00D50654" w:rsidRPr="00706DF7" w:rsidRDefault="006F6655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Cena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Pr="00706DF7">
        <w:rPr>
          <w:rStyle w:val="CharStyle3"/>
          <w:rFonts w:asciiTheme="minorHAnsi" w:hAnsiTheme="minorHAnsi" w:cs="Calibri"/>
          <w:sz w:val="24"/>
          <w:szCs w:val="24"/>
        </w:rPr>
        <w:t>plnění bude hrazena z účtu objednatele na účet zhotovitele.</w:t>
      </w:r>
      <w:r w:rsidR="00BD62D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Pr="00706DF7">
        <w:rPr>
          <w:rStyle w:val="CharStyle3"/>
          <w:rFonts w:asciiTheme="minorHAnsi" w:hAnsiTheme="minorHAnsi" w:cs="Calibri"/>
          <w:sz w:val="24"/>
          <w:szCs w:val="24"/>
        </w:rPr>
        <w:t>Zhotovitel provede vyúčtování formou faktury. Jednotlivé faktury budou objednateli odesílány do 14 dnů po převzetí odpadů. Splatnost každé faktury se sjednává 21 dnů od jejího doručení objednateli.</w:t>
      </w:r>
      <w:r w:rsidR="001435BB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431A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V pochybnostech se má za to, že faktura byla doručena třetí den po jejím odeslání. Za rozhodující se považuje datum podacího razítka poštovního úřadu. </w:t>
      </w:r>
      <w:r w:rsidR="00D50654" w:rsidRPr="00706DF7">
        <w:rPr>
          <w:rStyle w:val="CharStyle3"/>
          <w:rFonts w:asciiTheme="minorHAnsi" w:hAnsiTheme="minorHAnsi" w:cs="Calibri"/>
          <w:sz w:val="24"/>
          <w:szCs w:val="24"/>
        </w:rPr>
        <w:t>Zhotovitel se zavazuje uvádět číslo smlouvy (dodatku) uvádět na fakturách.</w:t>
      </w:r>
    </w:p>
    <w:p w:rsidR="006F431A" w:rsidRPr="00706DF7" w:rsidRDefault="00706DF7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431A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Adresa pro doručování faktur a písemností je sídlo objednatele, v případě elektronické faktury se doručuje na adresu </w:t>
      </w:r>
      <w:hyperlink r:id="rId8" w:history="1">
        <w:r w:rsidRPr="009820A1">
          <w:rPr>
            <w:rStyle w:val="Hypertextovodkaz"/>
            <w:rFonts w:asciiTheme="minorHAnsi" w:hAnsiTheme="minorHAnsi" w:cs="Calibri"/>
            <w:sz w:val="24"/>
            <w:szCs w:val="24"/>
          </w:rPr>
          <w:t>faktury@bvk.cz</w:t>
        </w:r>
      </w:hyperlink>
      <w:r w:rsidR="006F431A" w:rsidRPr="00706DF7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1435BB" w:rsidRPr="00706DF7" w:rsidRDefault="00706DF7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1435BB" w:rsidRPr="00706DF7">
        <w:rPr>
          <w:rStyle w:val="CharStyle3"/>
          <w:rFonts w:asciiTheme="minorHAnsi" w:hAnsiTheme="minorHAnsi" w:cs="Calibri"/>
          <w:sz w:val="24"/>
          <w:szCs w:val="24"/>
        </w:rPr>
        <w:t>V případě, že se nejedná o plnění v režimu přenesené daňové povinnosti a zhotovitel v době průběhu zdanitelného plnění, rozhodnutím správce daně, status nespolehlivého plátce, v souladu s ustanovením § 106a zákona č. 235/2004 Sb., o dani z přidané hodnoty, ve znění pozdějších předpisů, uhradí objednatel DPH z poskytnutého plnění dle § 109a téhož zákona přímo příslušnému správci daně namísto zhotovitele a následně uhradí zhotoviteli sjednanou cenu za poskytnuté plnění, poníženou o takto zaplacenou daň.</w:t>
      </w:r>
    </w:p>
    <w:p w:rsidR="001435BB" w:rsidRPr="00706DF7" w:rsidRDefault="001435BB" w:rsidP="00706DF7">
      <w:pPr>
        <w:pStyle w:val="Odstavecseseznamem"/>
        <w:spacing w:line="240" w:lineRule="exact"/>
        <w:ind w:left="851"/>
        <w:jc w:val="both"/>
        <w:rPr>
          <w:rStyle w:val="CharStyle3"/>
          <w:rFonts w:asciiTheme="minorHAnsi" w:hAnsiTheme="minorHAnsi" w:cs="Calibri"/>
          <w:color w:val="auto"/>
          <w:sz w:val="24"/>
        </w:rPr>
      </w:pPr>
      <w:r w:rsidRPr="00706DF7">
        <w:rPr>
          <w:rStyle w:val="CharStyle3"/>
          <w:rFonts w:asciiTheme="minorHAnsi" w:hAnsiTheme="minorHAnsi" w:cs="Calibri"/>
          <w:color w:val="auto"/>
          <w:sz w:val="24"/>
        </w:rPr>
        <w:t>Objednatel tuto skutečnost využití „zvláštního způsobu zajištění daně“ písemně oznámí zhotoviteli do 5-ti dnů od úhrady a zároveň připojí kopii dokladu o uhrazení DPH včetně identifikace úhrady podle § 109a.</w:t>
      </w:r>
    </w:p>
    <w:p w:rsidR="001435BB" w:rsidRPr="00706DF7" w:rsidRDefault="001435BB" w:rsidP="00706DF7">
      <w:pPr>
        <w:pStyle w:val="Odstavecseseznamem"/>
        <w:spacing w:before="60" w:after="100" w:line="240" w:lineRule="exact"/>
        <w:ind w:left="851"/>
        <w:jc w:val="both"/>
        <w:rPr>
          <w:rStyle w:val="CharStyle3"/>
          <w:rFonts w:asciiTheme="minorHAnsi" w:hAnsiTheme="minorHAnsi" w:cs="Calibri"/>
          <w:color w:val="auto"/>
          <w:sz w:val="24"/>
        </w:rPr>
      </w:pPr>
      <w:r w:rsidRPr="00706DF7">
        <w:rPr>
          <w:rStyle w:val="CharStyle3"/>
          <w:rFonts w:asciiTheme="minorHAnsi" w:hAnsiTheme="minorHAnsi" w:cs="Calibri"/>
          <w:color w:val="auto"/>
          <w:sz w:val="24"/>
        </w:rPr>
        <w:t>Zhotovitel zavazuje uvést na faktuře účet zveřejněný správcem daně způsobem, umožňujícím dálkový přístup. Je-li na faktuře vystavené zhotovitelem uvedený jiný účet, než je účet uvedený v předchozí větě, je objednatel oprávněn zaslat fakturu zpět zhotoviteli k opravě. V takovém případě se lhůta splatnosti zastavuje a nová lhůta splatnosti počíná běžet dnem doručení opravené faktury s uvedením správného účtu zhotovitele, tj. účtu zveřejněného správcem daně.</w:t>
      </w:r>
    </w:p>
    <w:p w:rsidR="00D07647" w:rsidRPr="00706DF7" w:rsidRDefault="00D07647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706DF7">
        <w:rPr>
          <w:rStyle w:val="CharStyle3"/>
          <w:rFonts w:asciiTheme="minorHAnsi" w:hAnsiTheme="minorHAnsi" w:cs="Calibri"/>
          <w:sz w:val="24"/>
          <w:szCs w:val="24"/>
        </w:rPr>
        <w:t>V případě prodlení objednatele splacením ceny plnění ve lhůtách dle této smlouvy uhradí objednatel zhotoviteli úrok z prodlení v zákonné výši. Tímto není nijak dotčeno právo zhotovitele požadovat na objednateli náhradu škody, způsobil-li ji porušením smluvní povinnosti podle této smlouvy.</w:t>
      </w:r>
    </w:p>
    <w:p w:rsidR="00706DF7" w:rsidRDefault="006A55B2" w:rsidP="00706DF7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line="240" w:lineRule="exact"/>
        <w:ind w:left="850" w:hanging="425"/>
        <w:jc w:val="both"/>
        <w:rPr>
          <w:rStyle w:val="CharStyle3"/>
          <w:rFonts w:ascii="Calibri" w:hAnsi="Calibri" w:cs="Calibri"/>
          <w:color w:val="000000"/>
          <w:sz w:val="24"/>
          <w:szCs w:val="24"/>
        </w:rPr>
      </w:pPr>
      <w:r w:rsidRPr="00706DF7">
        <w:rPr>
          <w:rStyle w:val="CharStyle3"/>
          <w:rFonts w:asciiTheme="minorHAnsi" w:hAnsiTheme="minorHAnsi" w:cs="Calibri"/>
          <w:sz w:val="24"/>
          <w:szCs w:val="24"/>
        </w:rPr>
        <w:t>Zhotovitel se zavazuje umožnit objednateli dle potřeby odběr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recyklovaných materiálů v zařízení recyklační linky uvedené ve smlouvě. Cena za odebraný recykl</w:t>
      </w:r>
      <w:r w:rsidR="00706DF7">
        <w:rPr>
          <w:rStyle w:val="CharStyle3"/>
          <w:rFonts w:ascii="Calibri" w:hAnsi="Calibri" w:cs="Calibri"/>
          <w:color w:val="000000"/>
          <w:sz w:val="24"/>
          <w:szCs w:val="24"/>
        </w:rPr>
        <w:t>át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 xml:space="preserve"> byla stanovena dohodou smluvních stran za 40,00 Kč/tun</w:t>
      </w:r>
      <w:r w:rsidR="00706DF7">
        <w:rPr>
          <w:rStyle w:val="CharStyle3"/>
          <w:rFonts w:ascii="Calibri" w:hAnsi="Calibri" w:cs="Calibri"/>
          <w:color w:val="000000"/>
          <w:sz w:val="24"/>
          <w:szCs w:val="24"/>
        </w:rPr>
        <w:t>u materi</w:t>
      </w:r>
      <w:r w:rsidRPr="00952993">
        <w:rPr>
          <w:rStyle w:val="CharStyle3"/>
          <w:rFonts w:ascii="Calibri" w:hAnsi="Calibri" w:cs="Calibri"/>
          <w:color w:val="000000"/>
          <w:sz w:val="24"/>
          <w:szCs w:val="24"/>
        </w:rPr>
        <w:t>álu. Vlastnické právo k odebraným recyklovaným materiálům na objednatele přejde okamžikem zaplacení celé kupní ceny.</w:t>
      </w:r>
    </w:p>
    <w:p w:rsidR="006F6655" w:rsidRPr="00706DF7" w:rsidRDefault="00706DF7" w:rsidP="00706DF7">
      <w:pPr>
        <w:pStyle w:val="Nadpis1"/>
        <w:numPr>
          <w:ilvl w:val="0"/>
          <w:numId w:val="6"/>
        </w:numPr>
        <w:spacing w:before="160"/>
        <w:ind w:left="357" w:hanging="357"/>
        <w:rPr>
          <w:rFonts w:ascii="Calibri" w:hAnsi="Calibri" w:cs="Calibri"/>
          <w:caps/>
          <w:sz w:val="28"/>
          <w:szCs w:val="28"/>
        </w:rPr>
      </w:pPr>
      <w:r w:rsidRPr="00706DF7">
        <w:rPr>
          <w:rStyle w:val="CharStyle3"/>
          <w:rFonts w:ascii="Calibri" w:hAnsi="Calibri" w:cs="Calibri"/>
          <w:sz w:val="24"/>
          <w:szCs w:val="24"/>
        </w:rPr>
        <w:br w:type="page"/>
      </w:r>
      <w:r w:rsidR="006F6655" w:rsidRPr="00706DF7">
        <w:rPr>
          <w:rFonts w:ascii="Calibri" w:hAnsi="Calibri" w:cs="Calibri"/>
          <w:caps/>
          <w:sz w:val="28"/>
          <w:szCs w:val="28"/>
        </w:rPr>
        <w:lastRenderedPageBreak/>
        <w:t>Místo a doba plnění</w:t>
      </w:r>
    </w:p>
    <w:p w:rsidR="00A346AF" w:rsidRPr="00706DF7" w:rsidRDefault="00706DF7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>Odpady uvedené v</w:t>
      </w:r>
      <w:r w:rsidR="000B0ECC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tabulce 3.2.1. budou zhotovitelem přejímány od objednatele </w:t>
      </w:r>
      <w:r w:rsidR="00F3133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výhradně </w:t>
      </w:r>
      <w:r w:rsidR="000B0ECC" w:rsidRPr="00706DF7">
        <w:rPr>
          <w:rStyle w:val="CharStyle3"/>
          <w:rFonts w:asciiTheme="minorHAnsi" w:hAnsiTheme="minorHAnsi" w:cs="Calibri"/>
          <w:sz w:val="24"/>
          <w:szCs w:val="24"/>
        </w:rPr>
        <w:t>v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> zařízení na adrese Vinohradská, 618 00 Brno, IČZ: CZB01108.</w:t>
      </w:r>
    </w:p>
    <w:p w:rsidR="006F6655" w:rsidRPr="00706DF7" w:rsidRDefault="00706DF7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>Odpad uveden</w:t>
      </w:r>
      <w:r>
        <w:rPr>
          <w:rStyle w:val="CharStyle3"/>
          <w:rFonts w:asciiTheme="minorHAnsi" w:hAnsiTheme="minorHAnsi" w:cs="Calibri"/>
          <w:sz w:val="24"/>
          <w:szCs w:val="24"/>
        </w:rPr>
        <w:t>ý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v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>tabulce 3.2.2. bud</w:t>
      </w:r>
      <w:r>
        <w:rPr>
          <w:rStyle w:val="CharStyle3"/>
          <w:rFonts w:asciiTheme="minorHAnsi" w:hAnsiTheme="minorHAnsi" w:cs="Calibri"/>
          <w:sz w:val="24"/>
          <w:szCs w:val="24"/>
        </w:rPr>
        <w:t>e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odebírán zhotovitelem z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 provozovny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objednatele 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na adrese,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>Chrlická 552,664 42 Modříce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>, Identifikační číslo provozovny (IČP): 1001327063</w:t>
      </w:r>
      <w:r w:rsidR="00F31330" w:rsidRPr="00706DF7">
        <w:rPr>
          <w:rStyle w:val="CharStyle3"/>
          <w:rFonts w:asciiTheme="minorHAnsi" w:hAnsiTheme="minorHAnsi" w:cs="Calibri"/>
          <w:sz w:val="24"/>
          <w:szCs w:val="24"/>
        </w:rPr>
        <w:t xml:space="preserve"> a přijímán výhradně v zařízení zhotovitele s IČZ: CZB01585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7C30E5" w:rsidRPr="00706DF7" w:rsidRDefault="00706DF7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6655" w:rsidRPr="00706DF7">
        <w:rPr>
          <w:rStyle w:val="CharStyle3"/>
          <w:rFonts w:asciiTheme="minorHAnsi" w:hAnsiTheme="minorHAnsi" w:cs="Calibri"/>
          <w:sz w:val="24"/>
          <w:szCs w:val="24"/>
        </w:rPr>
        <w:t>Smlouva se uzavírá na dobu neurčitou</w:t>
      </w:r>
      <w:r w:rsidR="00A346AF" w:rsidRPr="00706DF7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7C30E5" w:rsidRPr="00706DF7" w:rsidRDefault="00706DF7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7C30E5" w:rsidRPr="00706DF7">
        <w:rPr>
          <w:rStyle w:val="CharStyle3"/>
          <w:rFonts w:asciiTheme="minorHAnsi" w:hAnsiTheme="minorHAnsi" w:cs="Calibri"/>
          <w:sz w:val="24"/>
          <w:szCs w:val="24"/>
        </w:rPr>
        <w:t>Okamžikem převodu vlastnictví k</w:t>
      </w:r>
      <w:r>
        <w:rPr>
          <w:rStyle w:val="CharStyle3"/>
          <w:rFonts w:asciiTheme="minorHAnsi" w:hAnsiTheme="minorHAnsi" w:cs="Calibri"/>
          <w:sz w:val="24"/>
          <w:szCs w:val="24"/>
        </w:rPr>
        <w:t> </w:t>
      </w:r>
      <w:r w:rsidR="007C30E5" w:rsidRPr="00706DF7">
        <w:rPr>
          <w:rStyle w:val="CharStyle3"/>
          <w:rFonts w:asciiTheme="minorHAnsi" w:hAnsiTheme="minorHAnsi" w:cs="Calibri"/>
          <w:sz w:val="24"/>
          <w:szCs w:val="24"/>
        </w:rPr>
        <w:t>odpadům</w:t>
      </w: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Pr="00706DF7">
        <w:rPr>
          <w:rStyle w:val="CharStyle3"/>
          <w:rFonts w:ascii="Calibri" w:hAnsi="Calibri" w:cs="Calibri"/>
          <w:sz w:val="24"/>
          <w:szCs w:val="24"/>
        </w:rPr>
        <w:t>z objednatele na zhotovitele</w:t>
      </w:r>
      <w:r w:rsidR="007C30E5" w:rsidRPr="00706DF7">
        <w:rPr>
          <w:rStyle w:val="CharStyle3"/>
          <w:rFonts w:asciiTheme="minorHAnsi" w:hAnsiTheme="minorHAnsi" w:cs="Calibri"/>
          <w:sz w:val="24"/>
          <w:szCs w:val="24"/>
        </w:rPr>
        <w:t>, s nimiž se nakládá na základě této smlouvy, je okamžik kdy odpad převezme zhotovitel od objednatele. Okamžikem převodu vlastnictví k odpadům přechází na zhotovitele odpovědnost za nakládání s tímto odpadem.</w:t>
      </w:r>
    </w:p>
    <w:p w:rsidR="006F6655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6F6655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Každá ze smluvních stran je oprávněna smlouvu vypovědět </w:t>
      </w:r>
      <w:r>
        <w:rPr>
          <w:rStyle w:val="CharStyle3"/>
          <w:rFonts w:asciiTheme="minorHAnsi" w:hAnsiTheme="minorHAnsi" w:cs="Calibri"/>
          <w:sz w:val="24"/>
          <w:szCs w:val="24"/>
        </w:rPr>
        <w:t xml:space="preserve">bez udání důvodu </w:t>
      </w:r>
      <w:r w:rsidR="006F6655" w:rsidRPr="005D42E0">
        <w:rPr>
          <w:rStyle w:val="CharStyle3"/>
          <w:rFonts w:asciiTheme="minorHAnsi" w:hAnsiTheme="minorHAnsi" w:cs="Calibri"/>
          <w:sz w:val="24"/>
          <w:szCs w:val="24"/>
        </w:rPr>
        <w:t>v šestiměsíční výpovědní lhůtě</w:t>
      </w:r>
      <w:r>
        <w:rPr>
          <w:rStyle w:val="CharStyle3"/>
          <w:rFonts w:asciiTheme="minorHAnsi" w:hAnsiTheme="minorHAnsi" w:cs="Calibri"/>
          <w:sz w:val="24"/>
          <w:szCs w:val="24"/>
        </w:rPr>
        <w:t xml:space="preserve">. Výpověď začíná běžet </w:t>
      </w:r>
      <w:r w:rsidR="006F6655" w:rsidRPr="005D42E0">
        <w:rPr>
          <w:rStyle w:val="CharStyle3"/>
          <w:rFonts w:asciiTheme="minorHAnsi" w:hAnsiTheme="minorHAnsi" w:cs="Calibri"/>
          <w:sz w:val="24"/>
          <w:szCs w:val="24"/>
        </w:rPr>
        <w:t>je první den měsíce následujícího po doručení písemné výpovědi druhému účastníkovi</w:t>
      </w:r>
      <w:r w:rsidR="00A346AF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na adresu uvedenou v článku 1 této smlouvy</w:t>
      </w:r>
      <w:r w:rsidR="006F6655" w:rsidRPr="005D42E0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CA4CA2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CA4CA2" w:rsidRPr="005D42E0">
        <w:rPr>
          <w:rStyle w:val="CharStyle3"/>
          <w:rFonts w:asciiTheme="minorHAnsi" w:hAnsiTheme="minorHAnsi" w:cs="Calibri"/>
          <w:sz w:val="24"/>
          <w:szCs w:val="24"/>
        </w:rPr>
        <w:t>V případě prodlení zhotovitele s odvozem odpadu z provozovny objednatele</w:t>
      </w:r>
      <w:r>
        <w:rPr>
          <w:rStyle w:val="CharStyle3"/>
          <w:rFonts w:asciiTheme="minorHAnsi" w:hAnsiTheme="minorHAnsi" w:cs="Calibri"/>
          <w:sz w:val="24"/>
          <w:szCs w:val="24"/>
        </w:rPr>
        <w:t>,</w:t>
      </w:r>
      <w:r w:rsidR="00CA4CA2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je objednatel oprávněn účtovat zhotoviteli zvýšené náklady spojené s uložením odpadu v jiném náhradním zařízení v městě Brně a okolí.</w:t>
      </w:r>
    </w:p>
    <w:p w:rsidR="006F6655" w:rsidRPr="00952993" w:rsidRDefault="006F6655" w:rsidP="005D42E0">
      <w:pPr>
        <w:pStyle w:val="Nadpis1"/>
        <w:numPr>
          <w:ilvl w:val="0"/>
          <w:numId w:val="6"/>
        </w:numPr>
        <w:spacing w:before="260"/>
        <w:ind w:left="357" w:hanging="357"/>
        <w:rPr>
          <w:rFonts w:ascii="Calibri" w:hAnsi="Calibri" w:cs="Calibri"/>
          <w:caps/>
          <w:sz w:val="28"/>
          <w:szCs w:val="28"/>
        </w:rPr>
      </w:pPr>
      <w:r w:rsidRPr="00952993">
        <w:rPr>
          <w:rFonts w:ascii="Calibri" w:hAnsi="Calibri" w:cs="Calibri"/>
          <w:caps/>
          <w:sz w:val="28"/>
          <w:szCs w:val="28"/>
        </w:rPr>
        <w:t>Práva a povinnosti smluvních stran</w:t>
      </w:r>
    </w:p>
    <w:p w:rsidR="00A55255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Objednatel se zavazuje předat zhotoviteli odpady, které svým složením odpovídají uvedeným katalogovým číslům odpadů dle této smlouvy a </w:t>
      </w:r>
      <w:r>
        <w:rPr>
          <w:rStyle w:val="CharStyle3"/>
          <w:rFonts w:asciiTheme="minorHAnsi" w:hAnsiTheme="minorHAnsi" w:cs="Calibri"/>
          <w:sz w:val="24"/>
          <w:szCs w:val="24"/>
        </w:rPr>
        <w:t xml:space="preserve">jejich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kategori</w:t>
      </w:r>
      <w:r>
        <w:rPr>
          <w:rStyle w:val="CharStyle3"/>
          <w:rFonts w:asciiTheme="minorHAnsi" w:hAnsiTheme="minorHAnsi" w:cs="Calibri"/>
          <w:sz w:val="24"/>
          <w:szCs w:val="24"/>
        </w:rPr>
        <w:t>ím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A55255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Smluvní strany souhlasí s tím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, že pro stanovení hmotnosti odpad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ů, který bude předáván do zařízení zhotovitele s IČZ: CZB01108 dle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článku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3.2.1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této smlouvy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, je rozhodující hmotnost zjištěná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na certifikovaném zařízení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zhotovitele</w:t>
      </w:r>
      <w:r>
        <w:rPr>
          <w:rStyle w:val="CharStyle3"/>
          <w:rFonts w:asciiTheme="minorHAnsi" w:hAnsiTheme="minorHAnsi" w:cs="Calibri"/>
          <w:sz w:val="24"/>
          <w:szCs w:val="24"/>
        </w:rPr>
        <w:t xml:space="preserve"> v jeho zařízení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F31330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Smluvní strany souhlasí s tím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,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že pro stanovení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hmotnost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i odpadu, který bude přijímán v zařízení zhotovitele s IČZ: CZB01585 dle článku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3.2.2,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>je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rozhodující hmotnost 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zjištěná na certifikovaném zařízení objednatele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při výjezdu z</w:t>
      </w:r>
      <w:r w:rsidR="00A55255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jeho provozovny.</w:t>
      </w:r>
    </w:p>
    <w:p w:rsidR="000D537E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Zhotovitel bude provádět kontrolu odpadu během jeho přejímání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.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V případě zjištění odpadu, který neodpovídá druhu a </w:t>
      </w:r>
      <w:r>
        <w:rPr>
          <w:rStyle w:val="CharStyle3"/>
          <w:rFonts w:asciiTheme="minorHAnsi" w:hAnsiTheme="minorHAnsi" w:cs="Calibri"/>
          <w:sz w:val="24"/>
          <w:szCs w:val="24"/>
        </w:rPr>
        <w:t>kategorii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odpadu 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dle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této smlouvy, neumožní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složení v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> jeho zařízení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, případně 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takovýto odpad zhotovitel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nenaloží v 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>provozovně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objednatele.</w:t>
      </w:r>
    </w:p>
    <w:p w:rsidR="000D537E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Objednatel se zavazuje předložit při každé přejímce odpadu </w:t>
      </w:r>
      <w:r w:rsidR="00F31330" w:rsidRPr="005D42E0">
        <w:rPr>
          <w:rStyle w:val="CharStyle3"/>
          <w:rFonts w:asciiTheme="minorHAnsi" w:hAnsiTheme="minorHAnsi" w:cs="Calibri"/>
          <w:sz w:val="24"/>
          <w:szCs w:val="24"/>
        </w:rPr>
        <w:t>zhotovitel</w:t>
      </w:r>
      <w:r w:rsidR="0009584A" w:rsidRPr="005D42E0">
        <w:rPr>
          <w:rStyle w:val="CharStyle3"/>
          <w:rFonts w:asciiTheme="minorHAnsi" w:hAnsiTheme="minorHAnsi" w:cs="Calibri"/>
          <w:sz w:val="24"/>
          <w:szCs w:val="24"/>
        </w:rPr>
        <w:t>i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vyplněnou a potvrzenou průvodku odpadu</w:t>
      </w:r>
      <w:r>
        <w:rPr>
          <w:rStyle w:val="CharStyle3"/>
          <w:rFonts w:asciiTheme="minorHAnsi" w:hAnsiTheme="minorHAnsi" w:cs="Calibri"/>
          <w:sz w:val="24"/>
          <w:szCs w:val="24"/>
        </w:rPr>
        <w:t>,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v níž bude uvedeno: kód odpadu, název odpadu, kategorie odpadu, množství odpadu</w:t>
      </w:r>
      <w:r>
        <w:rPr>
          <w:rStyle w:val="CharStyle3"/>
          <w:rFonts w:asciiTheme="minorHAnsi" w:hAnsiTheme="minorHAnsi" w:cs="Calibri"/>
          <w:sz w:val="24"/>
          <w:szCs w:val="24"/>
        </w:rPr>
        <w:t>, konkrétní zařízení zhotovitele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a dále razítka a podpisy objednatele i zhotovitele.</w:t>
      </w:r>
    </w:p>
    <w:p w:rsidR="00384400" w:rsidRPr="005D42E0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Z</w:t>
      </w:r>
      <w:r w:rsidR="00384400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hotovitel se zavazuje prokazatelně předložit objednateli nová platná povolení provozu zařízení </w:t>
      </w:r>
      <w:r>
        <w:rPr>
          <w:rStyle w:val="CharStyle3"/>
          <w:rFonts w:asciiTheme="minorHAnsi" w:hAnsiTheme="minorHAnsi" w:cs="Calibri"/>
          <w:sz w:val="24"/>
          <w:szCs w:val="24"/>
        </w:rPr>
        <w:t>dle smlouvy</w:t>
      </w:r>
      <w:r w:rsidR="00384400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od příslušného krajského úřadu včetně schváleného provozního řádu zařízení nejpozději 20 kalendářních dnů před ukončením platnosti stávajících rozhodnutí.</w:t>
      </w:r>
    </w:p>
    <w:p w:rsidR="00520295" w:rsidRDefault="005D42E0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09584A" w:rsidRPr="005D42E0">
        <w:rPr>
          <w:rStyle w:val="CharStyle3"/>
          <w:rFonts w:asciiTheme="minorHAnsi" w:hAnsiTheme="minorHAnsi" w:cs="Calibri"/>
          <w:sz w:val="24"/>
          <w:szCs w:val="24"/>
        </w:rPr>
        <w:t>Smluvní strany se zavazují p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oučit řidiče dopravních prostředků o jejich povinnosti zvážit vozidlo při příjezdu i odjezdu na váze označené zhotovitelem</w:t>
      </w:r>
      <w:r w:rsidR="0009584A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nebo objednatelem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. Vážní lístek je </w:t>
      </w:r>
      <w:r w:rsidR="0009584A" w:rsidRPr="005D42E0">
        <w:rPr>
          <w:rStyle w:val="CharStyle3"/>
          <w:rFonts w:asciiTheme="minorHAnsi" w:hAnsiTheme="minorHAnsi" w:cs="Calibri"/>
          <w:sz w:val="24"/>
          <w:szCs w:val="24"/>
        </w:rPr>
        <w:t>podkladem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09584A" w:rsidRPr="005D42E0">
        <w:rPr>
          <w:rStyle w:val="CharStyle3"/>
          <w:rFonts w:asciiTheme="minorHAnsi" w:hAnsiTheme="minorHAnsi" w:cs="Calibri"/>
          <w:sz w:val="24"/>
          <w:szCs w:val="24"/>
        </w:rPr>
        <w:t>k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fakturaci.</w:t>
      </w:r>
    </w:p>
    <w:p w:rsidR="000D537E" w:rsidRPr="00520295" w:rsidRDefault="00520295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4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520295">
        <w:rPr>
          <w:rStyle w:val="CharStyle3"/>
          <w:rFonts w:asciiTheme="minorHAnsi" w:hAnsiTheme="minorHAnsi" w:cs="Calibri"/>
          <w:sz w:val="24"/>
          <w:szCs w:val="24"/>
        </w:rPr>
        <w:br w:type="page"/>
      </w:r>
      <w:r w:rsidR="005D42E0" w:rsidRPr="00520295">
        <w:rPr>
          <w:rStyle w:val="CharStyle3"/>
          <w:rFonts w:asciiTheme="minorHAnsi" w:hAnsiTheme="minorHAnsi" w:cs="Calibri"/>
          <w:sz w:val="24"/>
          <w:szCs w:val="24"/>
        </w:rPr>
        <w:lastRenderedPageBreak/>
        <w:t xml:space="preserve"> </w:t>
      </w:r>
      <w:r w:rsidR="0009584A" w:rsidRPr="00520295">
        <w:rPr>
          <w:rStyle w:val="CharStyle3"/>
          <w:rFonts w:asciiTheme="minorHAnsi" w:hAnsiTheme="minorHAnsi" w:cs="Calibri"/>
          <w:sz w:val="24"/>
          <w:szCs w:val="24"/>
        </w:rPr>
        <w:t>Zhotovitel se zavazuje převzít</w:t>
      </w:r>
      <w:r w:rsidR="000D537E" w:rsidRPr="00520295">
        <w:rPr>
          <w:rStyle w:val="CharStyle3"/>
          <w:rFonts w:asciiTheme="minorHAnsi" w:hAnsiTheme="minorHAnsi" w:cs="Calibri"/>
          <w:sz w:val="24"/>
          <w:szCs w:val="24"/>
        </w:rPr>
        <w:t>, zpracov</w:t>
      </w:r>
      <w:r w:rsidR="0009584A" w:rsidRPr="00520295">
        <w:rPr>
          <w:rStyle w:val="CharStyle3"/>
          <w:rFonts w:asciiTheme="minorHAnsi" w:hAnsiTheme="minorHAnsi" w:cs="Calibri"/>
          <w:sz w:val="24"/>
          <w:szCs w:val="24"/>
        </w:rPr>
        <w:t>at</w:t>
      </w:r>
      <w:r w:rsidR="000D537E" w:rsidRPr="00520295">
        <w:rPr>
          <w:rStyle w:val="CharStyle3"/>
          <w:rFonts w:asciiTheme="minorHAnsi" w:hAnsiTheme="minorHAnsi" w:cs="Calibri"/>
          <w:sz w:val="24"/>
          <w:szCs w:val="24"/>
        </w:rPr>
        <w:t xml:space="preserve"> a zneškodňovat odpady objednatele, pokud budou splňovat parametry uvedené v této smlouvě.</w:t>
      </w:r>
    </w:p>
    <w:p w:rsidR="000D537E" w:rsidRPr="005D42E0" w:rsidRDefault="0009584A" w:rsidP="00520295">
      <w:pPr>
        <w:pStyle w:val="Style2"/>
        <w:numPr>
          <w:ilvl w:val="1"/>
          <w:numId w:val="6"/>
        </w:numPr>
        <w:shd w:val="clear" w:color="auto" w:fill="auto"/>
        <w:tabs>
          <w:tab w:val="left" w:pos="738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Zajistit pro objednatele odběr </w:t>
      </w:r>
      <w:r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odpadů v 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ročním objemu</w:t>
      </w:r>
      <w:r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dle této smlouvy</w:t>
      </w:r>
      <w:r w:rsidR="000D537E" w:rsidRPr="005D42E0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34598F" w:rsidRPr="005D42E0" w:rsidRDefault="0034598F" w:rsidP="00520295">
      <w:pPr>
        <w:pStyle w:val="Style2"/>
        <w:numPr>
          <w:ilvl w:val="1"/>
          <w:numId w:val="6"/>
        </w:numPr>
        <w:shd w:val="clear" w:color="auto" w:fill="auto"/>
        <w:spacing w:after="100" w:line="240" w:lineRule="exact"/>
        <w:ind w:left="993" w:hanging="567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5D42E0">
        <w:rPr>
          <w:rStyle w:val="CharStyle3"/>
          <w:rFonts w:asciiTheme="minorHAnsi" w:hAnsiTheme="minorHAnsi" w:cs="Calibri"/>
          <w:sz w:val="24"/>
          <w:szCs w:val="24"/>
        </w:rPr>
        <w:t xml:space="preserve"> V případě bezdůvodného nepřevzetí odpadu zhotovitelem se stanovuje smluvní pokuta ve výši 5 000,-Kč za každé porušení samostatně.</w:t>
      </w:r>
    </w:p>
    <w:p w:rsidR="00D50654" w:rsidRPr="005D42E0" w:rsidRDefault="00D50654" w:rsidP="00520295">
      <w:pPr>
        <w:pStyle w:val="Style2"/>
        <w:numPr>
          <w:ilvl w:val="1"/>
          <w:numId w:val="6"/>
        </w:numPr>
        <w:shd w:val="clear" w:color="auto" w:fill="auto"/>
        <w:spacing w:after="100" w:line="240" w:lineRule="exact"/>
        <w:ind w:left="993" w:hanging="567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5D42E0">
        <w:rPr>
          <w:rStyle w:val="CharStyle3"/>
          <w:rFonts w:asciiTheme="minorHAnsi" w:hAnsiTheme="minorHAnsi" w:cs="Calibri"/>
          <w:sz w:val="24"/>
          <w:szCs w:val="24"/>
        </w:rPr>
        <w:t>Zhotovitel se zavazuje, že zajistí předmět díla v souladu s obecně závaznými právními předpisy v oblasti bezpečnosti a ochrany zdraví při práci (BOZP), požární ochrany (PO) a životního prostředí (ŽP)</w:t>
      </w:r>
      <w:r w:rsidR="001435BB" w:rsidRPr="005D42E0">
        <w:rPr>
          <w:rStyle w:val="CharStyle3"/>
          <w:rFonts w:asciiTheme="minorHAnsi" w:hAnsiTheme="minorHAnsi" w:cs="Calibri"/>
          <w:sz w:val="24"/>
          <w:szCs w:val="24"/>
        </w:rPr>
        <w:t>, a že v areálech objednatele bude jednat v souladu s pokyny, se kterými bude prokazatelně seznámen a před zahájením služby předá objednateli rizika BOZP v souladu s požadavky zákoníku práce</w:t>
      </w:r>
    </w:p>
    <w:p w:rsidR="000D537E" w:rsidRPr="00952993" w:rsidRDefault="008374F8" w:rsidP="005D42E0">
      <w:pPr>
        <w:pStyle w:val="Nadpis1"/>
        <w:numPr>
          <w:ilvl w:val="0"/>
          <w:numId w:val="6"/>
        </w:numPr>
        <w:spacing w:before="260"/>
        <w:ind w:left="357" w:hanging="357"/>
        <w:rPr>
          <w:rFonts w:ascii="Calibri" w:hAnsi="Calibri" w:cs="Calibri"/>
          <w:caps/>
          <w:sz w:val="28"/>
          <w:szCs w:val="28"/>
        </w:rPr>
      </w:pPr>
      <w:r w:rsidRPr="00952993">
        <w:rPr>
          <w:rFonts w:ascii="Calibri" w:hAnsi="Calibri" w:cs="Calibri"/>
          <w:caps/>
          <w:sz w:val="28"/>
          <w:szCs w:val="28"/>
        </w:rPr>
        <w:t xml:space="preserve">Ostatní </w:t>
      </w:r>
      <w:r w:rsidR="006A55B2" w:rsidRPr="00952993">
        <w:rPr>
          <w:rFonts w:ascii="Calibri" w:hAnsi="Calibri" w:cs="Calibri"/>
          <w:caps/>
          <w:sz w:val="28"/>
          <w:szCs w:val="28"/>
        </w:rPr>
        <w:t xml:space="preserve">a závěrečná </w:t>
      </w:r>
      <w:r w:rsidRPr="00952993">
        <w:rPr>
          <w:rFonts w:ascii="Calibri" w:hAnsi="Calibri" w:cs="Calibri"/>
          <w:caps/>
          <w:sz w:val="28"/>
          <w:szCs w:val="28"/>
        </w:rPr>
        <w:t>ujednání</w:t>
      </w:r>
    </w:p>
    <w:p w:rsidR="00FE5B85" w:rsidRPr="00802C13" w:rsidRDefault="00FE5B85" w:rsidP="00520295">
      <w:pPr>
        <w:pStyle w:val="Seznam"/>
        <w:numPr>
          <w:ilvl w:val="0"/>
          <w:numId w:val="24"/>
        </w:numPr>
        <w:tabs>
          <w:tab w:val="left" w:pos="851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>Tato smlouva a vztahy z ní vyplývající se řídí právním řádem České republiky, zejména příslušnými ustanoveními zákona č. 89/2012 Sb., občanský zákoník, ve znění pozdějších předpisů.</w:t>
      </w:r>
    </w:p>
    <w:p w:rsidR="00FE5B85" w:rsidRPr="00802C13" w:rsidRDefault="00FE5B85" w:rsidP="00520295">
      <w:pPr>
        <w:pStyle w:val="Seznam"/>
        <w:numPr>
          <w:ilvl w:val="0"/>
          <w:numId w:val="24"/>
        </w:numPr>
        <w:tabs>
          <w:tab w:val="left" w:pos="851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>Tuto smlouvu lze měnit, doplnit nebo zrušit pouze písemnými průběžně číslovanými dodatky, jež musí být jako takové označeny a právoplatně potvrzeny oběma účastníky smlouvy. Tyto dodatky podléhají témuž smluvnímu režimu a stanou se integrální součástí smlouvy. Smluvní strany neakceptují právní jednání protistrany učiněné elektronicky nebo jinými technickými prostředky. Smluvní strany vylučují přijetí nabídky s dodatkem nebo odchylkou.</w:t>
      </w:r>
    </w:p>
    <w:p w:rsidR="001435BB" w:rsidRPr="00802C13" w:rsidRDefault="001435BB" w:rsidP="00520295">
      <w:pPr>
        <w:pStyle w:val="Seznam"/>
        <w:numPr>
          <w:ilvl w:val="0"/>
          <w:numId w:val="24"/>
        </w:numPr>
        <w:tabs>
          <w:tab w:val="left" w:pos="851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 xml:space="preserve">Společnost Brněnské vodárny a kanalizace, a.s. podporuje rovný přístup, spravedlnost, legálnost, slušnost a etické chování ve všech obchodních vztazích v souladu s Etickou chartou a Etikou ve vztazích s dodavateli, kterou vydal její akcionář SUEZ Groupe, a která je umístěna na internetových stránkách společnosti </w:t>
      </w:r>
      <w:hyperlink r:id="rId9" w:history="1">
        <w:r w:rsidRPr="00802C13">
          <w:rPr>
            <w:rStyle w:val="CharStyle3"/>
            <w:rFonts w:asciiTheme="minorHAnsi" w:hAnsiTheme="minorHAnsi" w:cs="Calibri"/>
            <w:sz w:val="24"/>
            <w:szCs w:val="24"/>
          </w:rPr>
          <w:t>www.bvk.cz</w:t>
        </w:r>
      </w:hyperlink>
      <w:r w:rsidRPr="00802C13">
        <w:rPr>
          <w:rStyle w:val="CharStyle3"/>
          <w:rFonts w:asciiTheme="minorHAnsi" w:hAnsiTheme="minorHAnsi" w:cs="Calibri"/>
          <w:sz w:val="24"/>
          <w:szCs w:val="24"/>
        </w:rPr>
        <w:t xml:space="preserve">. Pro oznámení nelegálního a neetického chování je možné použít emailovou adresu: </w:t>
      </w:r>
      <w:hyperlink r:id="rId10" w:tooltip="blocked::mailto:ethics@suez-env.com" w:history="1">
        <w:r w:rsidRPr="00802C13">
          <w:rPr>
            <w:rStyle w:val="CharStyle3"/>
            <w:rFonts w:asciiTheme="minorHAnsi" w:hAnsiTheme="minorHAnsi" w:cs="Calibri"/>
            <w:sz w:val="24"/>
            <w:szCs w:val="24"/>
          </w:rPr>
          <w:t>ethics@suez-env.com</w:t>
        </w:r>
      </w:hyperlink>
      <w:r w:rsidRPr="00802C13">
        <w:rPr>
          <w:rStyle w:val="CharStyle3"/>
          <w:rFonts w:asciiTheme="minorHAnsi" w:hAnsiTheme="minorHAnsi" w:cs="Calibri"/>
          <w:sz w:val="24"/>
          <w:szCs w:val="24"/>
        </w:rPr>
        <w:t>.</w:t>
      </w:r>
    </w:p>
    <w:p w:rsidR="001435BB" w:rsidRPr="00802C13" w:rsidRDefault="001435BB" w:rsidP="00520295">
      <w:pPr>
        <w:pStyle w:val="Seznam"/>
        <w:numPr>
          <w:ilvl w:val="0"/>
          <w:numId w:val="24"/>
        </w:numPr>
        <w:tabs>
          <w:tab w:val="left" w:pos="851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>Tato smlouva byla uzavřena v běžném obchodním styku právnickou osobou, která byla založena za účelem uspokojování potřeb majících průmyslovou nebo obchodní povahu. Smlouva nepodléhá uveřejnění v registru smluv dle zákona č. 340/2015 Sb., o zvláštních podmínkách účinnosti některých smluv, uveřejňování těchto smluv a o registru smluv (zákon o registru smluv) ve znění pozdějších předpisů.</w:t>
      </w:r>
    </w:p>
    <w:p w:rsidR="001435BB" w:rsidRPr="00802C13" w:rsidRDefault="001435BB" w:rsidP="00520295">
      <w:pPr>
        <w:pStyle w:val="Seznam"/>
        <w:numPr>
          <w:ilvl w:val="0"/>
          <w:numId w:val="24"/>
        </w:numPr>
        <w:tabs>
          <w:tab w:val="left" w:pos="851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 xml:space="preserve">Smluvní strany prohlašují, že skutečnosti uvedené v této smlouvě nepovažují za obchodní tajemství ve smyslu ustanovení § 504 zákona č. 89/2012 Sb. a udělují svolení k jejich užití a zveřejnění bez stanovení jakýchkoliv dalších podmínek. </w:t>
      </w:r>
    </w:p>
    <w:p w:rsidR="00802C13" w:rsidRDefault="00FE5B85" w:rsidP="00520295">
      <w:pPr>
        <w:pStyle w:val="Seznam"/>
        <w:numPr>
          <w:ilvl w:val="0"/>
          <w:numId w:val="24"/>
        </w:numPr>
        <w:tabs>
          <w:tab w:val="left" w:pos="851"/>
        </w:tabs>
        <w:spacing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>Smlouva je sepsána ve dvou vyhotoveních, z nichž každá má platnost originálu a každá ze smluvních stran obdrží po jednom vyhotovení.</w:t>
      </w:r>
    </w:p>
    <w:p w:rsidR="00520295" w:rsidRDefault="00542F6A" w:rsidP="00520295">
      <w:pPr>
        <w:pStyle w:val="Seznam"/>
        <w:numPr>
          <w:ilvl w:val="0"/>
          <w:numId w:val="24"/>
        </w:numPr>
        <w:tabs>
          <w:tab w:val="left" w:pos="851"/>
        </w:tabs>
        <w:spacing w:before="100"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>Smluvní strany se zavazují ve lhůtě tří dnů od nastalé změny se vzájemně informovat o všech skutečnostech majících vliv na jejich právní postavení.</w:t>
      </w:r>
    </w:p>
    <w:p w:rsidR="00542F6A" w:rsidRPr="00520295" w:rsidRDefault="00520295" w:rsidP="00520295">
      <w:pPr>
        <w:pStyle w:val="Seznam"/>
        <w:numPr>
          <w:ilvl w:val="0"/>
          <w:numId w:val="24"/>
        </w:numPr>
        <w:tabs>
          <w:tab w:val="left" w:pos="851"/>
        </w:tabs>
        <w:spacing w:before="100"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520295">
        <w:rPr>
          <w:rStyle w:val="CharStyle3"/>
          <w:rFonts w:asciiTheme="minorHAnsi" w:hAnsiTheme="minorHAnsi" w:cs="Calibri"/>
          <w:sz w:val="24"/>
          <w:szCs w:val="24"/>
        </w:rPr>
        <w:br w:type="page"/>
      </w:r>
      <w:r w:rsidR="00542F6A" w:rsidRPr="00520295">
        <w:rPr>
          <w:rStyle w:val="CharStyle3"/>
          <w:rFonts w:asciiTheme="minorHAnsi" w:hAnsiTheme="minorHAnsi" w:cs="Calibri"/>
          <w:sz w:val="24"/>
          <w:szCs w:val="24"/>
        </w:rPr>
        <w:lastRenderedPageBreak/>
        <w:t>Smluvní strany prohlašují, že se dohodly ve všech částech této smlouvy a s jejím obsahem souhlasí, což stvrzují vlastnoručními podpisy.</w:t>
      </w:r>
    </w:p>
    <w:p w:rsidR="00542F6A" w:rsidRPr="00802C13" w:rsidRDefault="00542F6A" w:rsidP="00520295">
      <w:pPr>
        <w:pStyle w:val="Seznam"/>
        <w:numPr>
          <w:ilvl w:val="0"/>
          <w:numId w:val="24"/>
        </w:numPr>
        <w:tabs>
          <w:tab w:val="left" w:pos="851"/>
        </w:tabs>
        <w:spacing w:before="100" w:after="100" w:line="240" w:lineRule="exact"/>
        <w:ind w:left="850" w:hanging="425"/>
        <w:jc w:val="both"/>
        <w:rPr>
          <w:rStyle w:val="CharStyle3"/>
          <w:rFonts w:asciiTheme="minorHAnsi" w:hAnsiTheme="minorHAnsi" w:cs="Calibri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sz w:val="24"/>
          <w:szCs w:val="24"/>
        </w:rPr>
        <w:t>Smlouva je uzavřena a nabývá platnosti a účinnosti dnem podpisu obou smluvních stran.</w:t>
      </w:r>
    </w:p>
    <w:p w:rsidR="008374F8" w:rsidRPr="00802C13" w:rsidRDefault="008374F8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P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P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  <w:r w:rsidRPr="00802C13">
        <w:rPr>
          <w:rStyle w:val="CharStyle3"/>
          <w:rFonts w:asciiTheme="minorHAnsi" w:hAnsiTheme="minorHAnsi" w:cs="Calibri"/>
          <w:color w:val="000000"/>
          <w:sz w:val="24"/>
          <w:szCs w:val="24"/>
        </w:rPr>
        <w:t>V Brně dne</w:t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D7F06">
        <w:rPr>
          <w:rStyle w:val="CharStyle3"/>
          <w:rFonts w:asciiTheme="minorHAnsi" w:hAnsiTheme="minorHAnsi" w:cs="Calibri"/>
          <w:color w:val="000000"/>
          <w:sz w:val="24"/>
          <w:szCs w:val="24"/>
        </w:rPr>
        <w:t>11.12.2019</w:t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  <w:t xml:space="preserve">V Brně dne </w:t>
      </w:r>
      <w:r w:rsidR="003D7F06">
        <w:rPr>
          <w:rStyle w:val="CharStyle3"/>
          <w:rFonts w:asciiTheme="minorHAnsi" w:hAnsiTheme="minorHAnsi" w:cs="Calibri"/>
          <w:color w:val="000000"/>
          <w:sz w:val="24"/>
          <w:szCs w:val="24"/>
        </w:rPr>
        <w:t>19.12.2019</w:t>
      </w: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after="188"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>………………………………………………………..</w:t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  <w:t>…………………………………………….</w:t>
      </w:r>
    </w:p>
    <w:p w:rsidR="00802C13" w:rsidRDefault="00802C13" w:rsidP="00520295">
      <w:pPr>
        <w:pStyle w:val="Style2"/>
        <w:shd w:val="clear" w:color="auto" w:fill="auto"/>
        <w:tabs>
          <w:tab w:val="left" w:pos="844"/>
        </w:tabs>
        <w:spacing w:line="240" w:lineRule="exact"/>
        <w:ind w:right="20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>Brněnské vodárny a kanalizace, a.s.</w:t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  <w:t>SETRA, spol. s r.o.</w:t>
      </w:r>
    </w:p>
    <w:p w:rsidR="00802C13" w:rsidRPr="00802C13" w:rsidRDefault="003D7F06" w:rsidP="00520295">
      <w:pPr>
        <w:pStyle w:val="Style2"/>
        <w:shd w:val="clear" w:color="auto" w:fill="auto"/>
        <w:tabs>
          <w:tab w:val="left" w:pos="844"/>
        </w:tabs>
        <w:spacing w:line="240" w:lineRule="exact"/>
        <w:ind w:right="23" w:firstLine="0"/>
        <w:jc w:val="both"/>
        <w:rPr>
          <w:rStyle w:val="CharStyle3"/>
          <w:rFonts w:asciiTheme="minorHAnsi" w:hAnsiTheme="minorHAnsi" w:cs="Calibri"/>
          <w:color w:val="000000"/>
          <w:sz w:val="24"/>
          <w:szCs w:val="24"/>
        </w:rPr>
      </w:pP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>xxxxx</w:t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 w:rsidR="00802C13"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 w:rsidR="00802C13"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</w:r>
      <w:r w:rsidR="00802C13">
        <w:rPr>
          <w:rStyle w:val="CharStyle3"/>
          <w:rFonts w:asciiTheme="minorHAnsi" w:hAnsiTheme="minorHAnsi" w:cs="Calibri"/>
          <w:color w:val="000000"/>
          <w:sz w:val="24"/>
          <w:szCs w:val="24"/>
        </w:rPr>
        <w:tab/>
        <w:t>Ing. Mojmír Novotný, jednatel</w:t>
      </w:r>
    </w:p>
    <w:sectPr w:rsidR="00802C13" w:rsidRPr="00802C13">
      <w:footerReference w:type="default" r:id="rId11"/>
      <w:type w:val="continuous"/>
      <w:pgSz w:w="11909" w:h="16834"/>
      <w:pgMar w:top="1735" w:right="1558" w:bottom="1735" w:left="155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89" w:rsidRDefault="008A0589" w:rsidP="00952993">
      <w:r>
        <w:separator/>
      </w:r>
    </w:p>
  </w:endnote>
  <w:endnote w:type="continuationSeparator" w:id="0">
    <w:p w:rsidR="008A0589" w:rsidRDefault="008A0589" w:rsidP="0095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93" w:rsidRDefault="0095299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00734">
      <w:rPr>
        <w:noProof/>
      </w:rPr>
      <w:t>1</w:t>
    </w:r>
    <w:r>
      <w:fldChar w:fldCharType="end"/>
    </w:r>
  </w:p>
  <w:p w:rsidR="00952993" w:rsidRDefault="009529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89" w:rsidRDefault="008A0589" w:rsidP="00952993">
      <w:r>
        <w:separator/>
      </w:r>
    </w:p>
  </w:footnote>
  <w:footnote w:type="continuationSeparator" w:id="0">
    <w:p w:rsidR="008A0589" w:rsidRDefault="008A0589" w:rsidP="0095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986CCE"/>
    <w:lvl w:ilvl="0">
      <w:start w:val="1"/>
      <w:numFmt w:val="none"/>
      <w:pStyle w:val="x"/>
      <w:lvlText w:val="2.1.1"/>
      <w:lvlJc w:val="left"/>
      <w:pPr>
        <w:ind w:left="-311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pPr>
        <w:ind w:left="-311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4050021"/>
    <w:lvl w:ilvl="0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"/>
      <w:lvlJc w:val="left"/>
      <w:pPr>
        <w:ind w:left="22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"/>
      <w:lvlJc w:val="left"/>
      <w:pPr>
        <w:ind w:left="2580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"/>
      <w:lvlJc w:val="left"/>
      <w:pPr>
        <w:ind w:left="366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 w15:restartNumberingAfterBreak="0">
    <w:nsid w:val="07CB2A9B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11A77A2C"/>
    <w:multiLevelType w:val="multilevel"/>
    <w:tmpl w:val="97B0A7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122247CB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13597332"/>
    <w:multiLevelType w:val="hybridMultilevel"/>
    <w:tmpl w:val="23FAB2D8"/>
    <w:lvl w:ilvl="0" w:tplc="905A751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6F2248"/>
    <w:multiLevelType w:val="hybridMultilevel"/>
    <w:tmpl w:val="BEECDD1C"/>
    <w:lvl w:ilvl="0" w:tplc="17E2B6B4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10037"/>
    <w:multiLevelType w:val="multilevel"/>
    <w:tmpl w:val="1788392C"/>
    <w:lvl w:ilvl="0">
      <w:start w:val="1"/>
      <w:numFmt w:val="decimal"/>
      <w:lvlText w:val="11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285163BE"/>
    <w:multiLevelType w:val="hybridMultilevel"/>
    <w:tmpl w:val="233C1AF2"/>
    <w:lvl w:ilvl="0" w:tplc="FEEC652C">
      <w:start w:val="3"/>
      <w:numFmt w:val="decimal"/>
      <w:lvlText w:val="%1.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627D7"/>
    <w:multiLevelType w:val="hybridMultilevel"/>
    <w:tmpl w:val="2E422A6E"/>
    <w:lvl w:ilvl="0" w:tplc="F9A01B54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2F3A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3747624D"/>
    <w:multiLevelType w:val="singleLevel"/>
    <w:tmpl w:val="15640310"/>
    <w:lvl w:ilvl="0">
      <w:start w:val="1"/>
      <w:numFmt w:val="decimal"/>
      <w:lvlText w:val="7.%1 "/>
      <w:lvlJc w:val="left"/>
      <w:pPr>
        <w:ind w:left="8364" w:hanging="283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 w15:restartNumberingAfterBreak="0">
    <w:nsid w:val="43387AC2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446806EB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4AE02B7A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4BAE19C8"/>
    <w:multiLevelType w:val="hybridMultilevel"/>
    <w:tmpl w:val="A586903E"/>
    <w:lvl w:ilvl="0" w:tplc="31804968">
      <w:start w:val="15"/>
      <w:numFmt w:val="decimal"/>
      <w:lvlText w:val="%1"/>
      <w:lvlJc w:val="left"/>
      <w:pPr>
        <w:ind w:left="108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2C1A0C"/>
    <w:multiLevelType w:val="multilevel"/>
    <w:tmpl w:val="062284F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25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4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60" w:hanging="1800"/>
      </w:pPr>
      <w:rPr>
        <w:rFonts w:cs="Times New Roman" w:hint="default"/>
      </w:rPr>
    </w:lvl>
  </w:abstractNum>
  <w:abstractNum w:abstractNumId="18" w15:restartNumberingAfterBreak="0">
    <w:nsid w:val="53BF7F0B"/>
    <w:multiLevelType w:val="multilevel"/>
    <w:tmpl w:val="75BAF2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919" w:hanging="405"/>
      </w:pPr>
      <w:rPr>
        <w:rFonts w:ascii="Calibri" w:hAnsi="Calibri" w:cs="Calibri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55A850EA"/>
    <w:multiLevelType w:val="hybridMultilevel"/>
    <w:tmpl w:val="640A3F92"/>
    <w:lvl w:ilvl="0" w:tplc="C4CE9D60">
      <w:start w:val="1"/>
      <w:numFmt w:val="decimal"/>
      <w:lvlText w:val="%1.2."/>
      <w:lvlJc w:val="left"/>
      <w:pPr>
        <w:ind w:left="720" w:hanging="360"/>
      </w:pPr>
      <w:rPr>
        <w:rFonts w:cs="Times New Roman" w:hint="default"/>
      </w:rPr>
    </w:lvl>
    <w:lvl w:ilvl="1" w:tplc="905A751C">
      <w:start w:val="3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E37077"/>
    <w:multiLevelType w:val="hybridMultilevel"/>
    <w:tmpl w:val="CE763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36B40"/>
    <w:multiLevelType w:val="multilevel"/>
    <w:tmpl w:val="9D8C73E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84615B2"/>
    <w:multiLevelType w:val="hybridMultilevel"/>
    <w:tmpl w:val="FA063ECE"/>
    <w:lvl w:ilvl="0" w:tplc="F8CC3034">
      <w:start w:val="3"/>
      <w:numFmt w:val="decimal"/>
      <w:lvlText w:val="%1.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75231"/>
    <w:multiLevelType w:val="hybridMultilevel"/>
    <w:tmpl w:val="B00E841A"/>
    <w:lvl w:ilvl="0" w:tplc="4484F85C">
      <w:numFmt w:val="bullet"/>
      <w:pStyle w:val="odrky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728A5A33"/>
    <w:multiLevelType w:val="hybridMultilevel"/>
    <w:tmpl w:val="0B12098E"/>
    <w:lvl w:ilvl="0" w:tplc="DA6E2D58">
      <w:start w:val="15"/>
      <w:numFmt w:val="decimal"/>
      <w:lvlText w:val="%1"/>
      <w:lvlJc w:val="left"/>
      <w:pPr>
        <w:ind w:left="144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2DE0600"/>
    <w:multiLevelType w:val="hybridMultilevel"/>
    <w:tmpl w:val="68C023AA"/>
    <w:lvl w:ilvl="0" w:tplc="D2721DA4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71177"/>
    <w:multiLevelType w:val="multilevel"/>
    <w:tmpl w:val="00000000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7CF05099"/>
    <w:multiLevelType w:val="multilevel"/>
    <w:tmpl w:val="A9BC43CA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28" w15:restartNumberingAfterBreak="0">
    <w:nsid w:val="7F746753"/>
    <w:multiLevelType w:val="multilevel"/>
    <w:tmpl w:val="35EE783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9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9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-213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-16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-47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-42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-737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-688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6"/>
  </w:num>
  <w:num w:numId="5">
    <w:abstractNumId w:val="6"/>
  </w:num>
  <w:num w:numId="6">
    <w:abstractNumId w:val="18"/>
  </w:num>
  <w:num w:numId="7">
    <w:abstractNumId w:val="15"/>
  </w:num>
  <w:num w:numId="8">
    <w:abstractNumId w:val="19"/>
  </w:num>
  <w:num w:numId="9">
    <w:abstractNumId w:val="22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  <w:num w:numId="14">
    <w:abstractNumId w:val="2"/>
  </w:num>
  <w:num w:numId="15">
    <w:abstractNumId w:val="13"/>
  </w:num>
  <w:num w:numId="16">
    <w:abstractNumId w:val="8"/>
  </w:num>
  <w:num w:numId="17">
    <w:abstractNumId w:val="20"/>
  </w:num>
  <w:num w:numId="18">
    <w:abstractNumId w:val="28"/>
  </w:num>
  <w:num w:numId="19">
    <w:abstractNumId w:val="17"/>
  </w:num>
  <w:num w:numId="20">
    <w:abstractNumId w:val="0"/>
  </w:num>
  <w:num w:numId="21">
    <w:abstractNumId w:val="21"/>
  </w:num>
  <w:num w:numId="22">
    <w:abstractNumId w:val="27"/>
  </w:num>
  <w:num w:numId="23">
    <w:abstractNumId w:val="25"/>
  </w:num>
  <w:num w:numId="24">
    <w:abstractNumId w:val="12"/>
    <w:lvlOverride w:ilvl="0">
      <w:startOverride w:val="1"/>
    </w:lvlOverride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</w:num>
  <w:num w:numId="30">
    <w:abstractNumId w:val="16"/>
  </w:num>
  <w:num w:numId="31">
    <w:abstractNumId w:val="2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7D"/>
    <w:rsid w:val="00017449"/>
    <w:rsid w:val="00065253"/>
    <w:rsid w:val="000929A1"/>
    <w:rsid w:val="00092F57"/>
    <w:rsid w:val="0009584A"/>
    <w:rsid w:val="000B0ECC"/>
    <w:rsid w:val="000D537E"/>
    <w:rsid w:val="00113B89"/>
    <w:rsid w:val="001435BB"/>
    <w:rsid w:val="001819C2"/>
    <w:rsid w:val="001B6494"/>
    <w:rsid w:val="00233C2B"/>
    <w:rsid w:val="00291F72"/>
    <w:rsid w:val="00296823"/>
    <w:rsid w:val="002B2486"/>
    <w:rsid w:val="002D183E"/>
    <w:rsid w:val="0034598F"/>
    <w:rsid w:val="003556A2"/>
    <w:rsid w:val="00384400"/>
    <w:rsid w:val="003D7F06"/>
    <w:rsid w:val="0043050B"/>
    <w:rsid w:val="00447491"/>
    <w:rsid w:val="00456F3F"/>
    <w:rsid w:val="00471D47"/>
    <w:rsid w:val="004964B2"/>
    <w:rsid w:val="004A727A"/>
    <w:rsid w:val="00520295"/>
    <w:rsid w:val="00542F6A"/>
    <w:rsid w:val="00566A5F"/>
    <w:rsid w:val="00581CEF"/>
    <w:rsid w:val="00585026"/>
    <w:rsid w:val="005A65BD"/>
    <w:rsid w:val="005D42E0"/>
    <w:rsid w:val="005D6A27"/>
    <w:rsid w:val="005E1916"/>
    <w:rsid w:val="006101BB"/>
    <w:rsid w:val="006A55B2"/>
    <w:rsid w:val="006D6AB1"/>
    <w:rsid w:val="006F431A"/>
    <w:rsid w:val="006F6655"/>
    <w:rsid w:val="00706DF7"/>
    <w:rsid w:val="007643D7"/>
    <w:rsid w:val="007C30E5"/>
    <w:rsid w:val="00802C13"/>
    <w:rsid w:val="008374F8"/>
    <w:rsid w:val="0084277E"/>
    <w:rsid w:val="00847B30"/>
    <w:rsid w:val="0085225F"/>
    <w:rsid w:val="0088630C"/>
    <w:rsid w:val="008A0589"/>
    <w:rsid w:val="008A7F53"/>
    <w:rsid w:val="00900734"/>
    <w:rsid w:val="00911400"/>
    <w:rsid w:val="00952993"/>
    <w:rsid w:val="009820A1"/>
    <w:rsid w:val="00984644"/>
    <w:rsid w:val="009F187A"/>
    <w:rsid w:val="00A346AF"/>
    <w:rsid w:val="00A3524E"/>
    <w:rsid w:val="00A41163"/>
    <w:rsid w:val="00A458BF"/>
    <w:rsid w:val="00A55255"/>
    <w:rsid w:val="00A60B83"/>
    <w:rsid w:val="00AB383B"/>
    <w:rsid w:val="00B03D32"/>
    <w:rsid w:val="00B3687E"/>
    <w:rsid w:val="00BA2D23"/>
    <w:rsid w:val="00BD5E41"/>
    <w:rsid w:val="00BD62D0"/>
    <w:rsid w:val="00C6080B"/>
    <w:rsid w:val="00C6631E"/>
    <w:rsid w:val="00CA4CA2"/>
    <w:rsid w:val="00CC4E10"/>
    <w:rsid w:val="00CF55F9"/>
    <w:rsid w:val="00D000B3"/>
    <w:rsid w:val="00D07647"/>
    <w:rsid w:val="00D44DEC"/>
    <w:rsid w:val="00D50654"/>
    <w:rsid w:val="00E03A0D"/>
    <w:rsid w:val="00E94975"/>
    <w:rsid w:val="00EB04DC"/>
    <w:rsid w:val="00ED108A"/>
    <w:rsid w:val="00F12648"/>
    <w:rsid w:val="00F2792D"/>
    <w:rsid w:val="00F31330"/>
    <w:rsid w:val="00F902C0"/>
    <w:rsid w:val="00F9587D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FC40B6-9A47-44A4-90FF-83CC8235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01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3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101BB"/>
    <w:rPr>
      <w:rFonts w:ascii="Cambria" w:hAnsi="Cambria" w:cs="Times New Roman"/>
      <w:b/>
      <w:color w:val="000000"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0D537E"/>
    <w:rPr>
      <w:rFonts w:ascii="Cambria" w:hAnsi="Cambria" w:cs="Times New Roman"/>
      <w:b/>
      <w:i/>
      <w:color w:val="000000"/>
      <w:sz w:val="28"/>
    </w:rPr>
  </w:style>
  <w:style w:type="character" w:customStyle="1" w:styleId="CharStyle3">
    <w:name w:val="Char Style 3"/>
    <w:link w:val="Style2"/>
    <w:uiPriority w:val="99"/>
    <w:locked/>
    <w:rPr>
      <w:sz w:val="21"/>
      <w:u w:val="none"/>
    </w:rPr>
  </w:style>
  <w:style w:type="character" w:customStyle="1" w:styleId="CharStyle4">
    <w:name w:val="Char Style 4"/>
    <w:uiPriority w:val="99"/>
    <w:rPr>
      <w:b/>
      <w:sz w:val="27"/>
      <w:u w:val="none"/>
    </w:rPr>
  </w:style>
  <w:style w:type="character" w:customStyle="1" w:styleId="CharStyle6">
    <w:name w:val="Char Style 6"/>
    <w:link w:val="Style5"/>
    <w:uiPriority w:val="99"/>
    <w:locked/>
    <w:rPr>
      <w:b/>
      <w:spacing w:val="-10"/>
      <w:sz w:val="23"/>
      <w:u w:val="none"/>
    </w:rPr>
  </w:style>
  <w:style w:type="character" w:customStyle="1" w:styleId="CharStyle8">
    <w:name w:val="Char Style 8"/>
    <w:link w:val="Style7"/>
    <w:uiPriority w:val="99"/>
    <w:locked/>
    <w:rPr>
      <w:b/>
      <w:sz w:val="18"/>
      <w:u w:val="none"/>
    </w:rPr>
  </w:style>
  <w:style w:type="paragraph" w:customStyle="1" w:styleId="Style2">
    <w:name w:val="Style 2"/>
    <w:basedOn w:val="Normln"/>
    <w:link w:val="CharStyle3"/>
    <w:uiPriority w:val="99"/>
    <w:pPr>
      <w:shd w:val="clear" w:color="auto" w:fill="FFFFFF"/>
      <w:spacing w:line="250" w:lineRule="exact"/>
      <w:ind w:hanging="360"/>
    </w:pPr>
    <w:rPr>
      <w:color w:val="auto"/>
      <w:sz w:val="21"/>
      <w:szCs w:val="21"/>
    </w:rPr>
  </w:style>
  <w:style w:type="paragraph" w:customStyle="1" w:styleId="Style5">
    <w:name w:val="Style 5"/>
    <w:basedOn w:val="Normln"/>
    <w:link w:val="CharStyle6"/>
    <w:uiPriority w:val="99"/>
    <w:pPr>
      <w:shd w:val="clear" w:color="auto" w:fill="FFFFFF"/>
      <w:spacing w:before="1440" w:after="300" w:line="240" w:lineRule="atLeast"/>
      <w:outlineLvl w:val="0"/>
    </w:pPr>
    <w:rPr>
      <w:b/>
      <w:bCs/>
      <w:color w:val="auto"/>
      <w:spacing w:val="-10"/>
      <w:sz w:val="23"/>
      <w:szCs w:val="23"/>
    </w:rPr>
  </w:style>
  <w:style w:type="paragraph" w:customStyle="1" w:styleId="Style7">
    <w:name w:val="Style 7"/>
    <w:basedOn w:val="Normln"/>
    <w:link w:val="CharStyle8"/>
    <w:uiPriority w:val="99"/>
    <w:pPr>
      <w:shd w:val="clear" w:color="auto" w:fill="FFFFFF"/>
      <w:spacing w:before="1260" w:line="240" w:lineRule="atLeast"/>
    </w:pPr>
    <w:rPr>
      <w:b/>
      <w:bCs/>
      <w:color w:val="auto"/>
      <w:sz w:val="18"/>
      <w:szCs w:val="18"/>
    </w:rPr>
  </w:style>
  <w:style w:type="character" w:customStyle="1" w:styleId="CharStyle5">
    <w:name w:val="Char Style 5"/>
    <w:link w:val="Style4"/>
    <w:uiPriority w:val="99"/>
    <w:locked/>
    <w:rsid w:val="00F9587D"/>
    <w:rPr>
      <w:spacing w:val="-10"/>
      <w:sz w:val="22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F9587D"/>
    <w:rPr>
      <w:spacing w:val="-10"/>
      <w:sz w:val="22"/>
      <w:shd w:val="clear" w:color="auto" w:fill="FFFFFF"/>
    </w:rPr>
  </w:style>
  <w:style w:type="character" w:customStyle="1" w:styleId="CharStyle9">
    <w:name w:val="Char Style 9"/>
    <w:link w:val="Style8"/>
    <w:uiPriority w:val="99"/>
    <w:locked/>
    <w:rsid w:val="00F9587D"/>
    <w:rPr>
      <w:sz w:val="20"/>
      <w:shd w:val="clear" w:color="auto" w:fill="FFFFFF"/>
    </w:rPr>
  </w:style>
  <w:style w:type="character" w:customStyle="1" w:styleId="CharStyle10">
    <w:name w:val="Char Style 10"/>
    <w:uiPriority w:val="99"/>
    <w:rsid w:val="00F9587D"/>
    <w:rPr>
      <w:rFonts w:ascii="Times New Roman" w:hAnsi="Times New Roman"/>
      <w:noProof/>
      <w:sz w:val="22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F9587D"/>
    <w:pPr>
      <w:shd w:val="clear" w:color="auto" w:fill="FFFFFF"/>
      <w:spacing w:line="240" w:lineRule="atLeast"/>
      <w:ind w:hanging="580"/>
    </w:pPr>
    <w:rPr>
      <w:color w:val="auto"/>
      <w:spacing w:val="-10"/>
      <w:sz w:val="22"/>
      <w:szCs w:val="22"/>
    </w:rPr>
  </w:style>
  <w:style w:type="paragraph" w:customStyle="1" w:styleId="Style6">
    <w:name w:val="Style 6"/>
    <w:basedOn w:val="Normln"/>
    <w:link w:val="CharStyle7"/>
    <w:uiPriority w:val="99"/>
    <w:rsid w:val="00F9587D"/>
    <w:pPr>
      <w:shd w:val="clear" w:color="auto" w:fill="FFFFFF"/>
      <w:spacing w:line="240" w:lineRule="atLeast"/>
    </w:pPr>
    <w:rPr>
      <w:color w:val="auto"/>
      <w:spacing w:val="-10"/>
      <w:sz w:val="22"/>
      <w:szCs w:val="22"/>
    </w:rPr>
  </w:style>
  <w:style w:type="paragraph" w:customStyle="1" w:styleId="Style8">
    <w:name w:val="Style 8"/>
    <w:basedOn w:val="Normln"/>
    <w:link w:val="CharStyle9"/>
    <w:uiPriority w:val="99"/>
    <w:rsid w:val="00F9587D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D5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0D537E"/>
    <w:rPr>
      <w:rFonts w:ascii="Cambria" w:hAnsi="Cambria" w:cs="Times New Roman"/>
      <w:b/>
      <w:color w:val="000000"/>
      <w:kern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3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43D7"/>
    <w:rPr>
      <w:rFonts w:ascii="Tahoma" w:hAnsi="Tahoma" w:cs="Times New Roman"/>
      <w:color w:val="000000"/>
      <w:sz w:val="16"/>
    </w:rPr>
  </w:style>
  <w:style w:type="paragraph" w:styleId="Odstavecseseznamem">
    <w:name w:val="List Paragraph"/>
    <w:basedOn w:val="Normln"/>
    <w:uiPriority w:val="34"/>
    <w:qFormat/>
    <w:rsid w:val="00F2792D"/>
    <w:pPr>
      <w:ind w:left="708"/>
    </w:pPr>
  </w:style>
  <w:style w:type="paragraph" w:customStyle="1" w:styleId="x">
    <w:name w:val="x"/>
    <w:basedOn w:val="Style2"/>
    <w:link w:val="xChar"/>
    <w:qFormat/>
    <w:rsid w:val="00F2792D"/>
    <w:pPr>
      <w:numPr>
        <w:numId w:val="1"/>
      </w:numPr>
      <w:shd w:val="clear" w:color="auto" w:fill="auto"/>
      <w:tabs>
        <w:tab w:val="left" w:pos="734"/>
      </w:tabs>
      <w:spacing w:after="100" w:line="240" w:lineRule="exact"/>
      <w:ind w:right="278" w:firstLine="0"/>
      <w:jc w:val="both"/>
    </w:pPr>
    <w:rPr>
      <w:rFonts w:ascii="Calibri" w:hAnsi="Calibri" w:cs="Calibri"/>
      <w:sz w:val="24"/>
      <w:szCs w:val="24"/>
    </w:rPr>
  </w:style>
  <w:style w:type="paragraph" w:styleId="Revize">
    <w:name w:val="Revision"/>
    <w:hidden/>
    <w:uiPriority w:val="99"/>
    <w:semiHidden/>
    <w:rsid w:val="006A55B2"/>
    <w:rPr>
      <w:color w:val="000000"/>
      <w:sz w:val="24"/>
      <w:szCs w:val="24"/>
    </w:rPr>
  </w:style>
  <w:style w:type="character" w:customStyle="1" w:styleId="xChar">
    <w:name w:val="x Char"/>
    <w:link w:val="x"/>
    <w:locked/>
    <w:rsid w:val="00F2792D"/>
    <w:rPr>
      <w:rFonts w:ascii="Calibri" w:hAnsi="Calibri"/>
      <w:sz w:val="21"/>
      <w:u w:val="none"/>
    </w:rPr>
  </w:style>
  <w:style w:type="paragraph" w:styleId="Seznam">
    <w:name w:val="List"/>
    <w:basedOn w:val="Zkladntext"/>
    <w:uiPriority w:val="99"/>
    <w:semiHidden/>
    <w:unhideWhenUsed/>
    <w:rsid w:val="00FE5B85"/>
    <w:pPr>
      <w:widowControl/>
      <w:tabs>
        <w:tab w:val="left" w:pos="1080"/>
      </w:tabs>
      <w:spacing w:after="60" w:line="480" w:lineRule="auto"/>
      <w:ind w:left="1080" w:hanging="360"/>
    </w:pPr>
    <w:rPr>
      <w:rFonts w:ascii="Arial" w:hAnsi="Arial"/>
      <w:color w:val="auto"/>
      <w:sz w:val="22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5B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E5B85"/>
    <w:rPr>
      <w:rFonts w:cs="Times New Roman"/>
      <w:color w:val="000000"/>
    </w:rPr>
  </w:style>
  <w:style w:type="paragraph" w:customStyle="1" w:styleId="odrky">
    <w:name w:val="odrážky"/>
    <w:basedOn w:val="Normln"/>
    <w:rsid w:val="00D50654"/>
    <w:pPr>
      <w:widowControl/>
      <w:numPr>
        <w:numId w:val="25"/>
      </w:numPr>
      <w:jc w:val="both"/>
    </w:pPr>
    <w:rPr>
      <w:color w:val="auto"/>
      <w:szCs w:val="20"/>
    </w:rPr>
  </w:style>
  <w:style w:type="character" w:customStyle="1" w:styleId="Odsazen2Char">
    <w:name w:val="Odsazení2 Char"/>
    <w:link w:val="Odsazen2"/>
    <w:locked/>
    <w:rsid w:val="00D50654"/>
  </w:style>
  <w:style w:type="paragraph" w:customStyle="1" w:styleId="Odsazen2">
    <w:name w:val="Odsazení2"/>
    <w:basedOn w:val="Normln"/>
    <w:link w:val="Odsazen2Char"/>
    <w:rsid w:val="00D50654"/>
    <w:pPr>
      <w:widowControl/>
      <w:tabs>
        <w:tab w:val="left" w:pos="1418"/>
      </w:tabs>
      <w:spacing w:after="60"/>
      <w:ind w:left="227"/>
      <w:jc w:val="both"/>
    </w:pPr>
    <w:rPr>
      <w:color w:val="auto"/>
    </w:rPr>
  </w:style>
  <w:style w:type="paragraph" w:customStyle="1" w:styleId="pomlka">
    <w:name w:val="pomlčka"/>
    <w:basedOn w:val="Normln"/>
    <w:rsid w:val="00D50654"/>
    <w:pPr>
      <w:widowControl/>
      <w:numPr>
        <w:numId w:val="27"/>
      </w:numPr>
      <w:ind w:left="681" w:hanging="284"/>
      <w:jc w:val="both"/>
    </w:pPr>
    <w:rPr>
      <w:color w:val="auto"/>
      <w:szCs w:val="20"/>
    </w:rPr>
  </w:style>
  <w:style w:type="character" w:styleId="Hypertextovodkaz">
    <w:name w:val="Hyperlink"/>
    <w:basedOn w:val="Standardnpsmoodstavce"/>
    <w:uiPriority w:val="99"/>
    <w:unhideWhenUsed/>
    <w:rsid w:val="001435B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529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52993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9529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2993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bv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thics@suez-en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vk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F881-6C0B-4757-83F4-EEA34718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1861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Strakoňová</dc:creator>
  <cp:keywords/>
  <dc:description/>
  <cp:lastModifiedBy>Kristýna Jandová</cp:lastModifiedBy>
  <cp:revision>2</cp:revision>
  <cp:lastPrinted>2019-12-06T11:17:00Z</cp:lastPrinted>
  <dcterms:created xsi:type="dcterms:W3CDTF">2022-05-13T11:16:00Z</dcterms:created>
  <dcterms:modified xsi:type="dcterms:W3CDTF">2022-05-13T11:16:00Z</dcterms:modified>
</cp:coreProperties>
</file>