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8D9C8" w14:textId="77777777" w:rsidR="00BE1AD0" w:rsidRDefault="00A963D3" w:rsidP="00153D43">
      <w:pPr>
        <w:pBdr>
          <w:top w:val="nil"/>
          <w:left w:val="nil"/>
          <w:bottom w:val="nil"/>
          <w:right w:val="nil"/>
          <w:between w:val="nil"/>
        </w:pBdr>
        <w:spacing w:before="100" w:beforeAutospacing="1"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  RÁMCOVÁ SMLOUVA O PŘEPRAVĚ OSOB Č. </w:t>
      </w:r>
      <w:r>
        <w:rPr>
          <w:rFonts w:ascii="Arial" w:eastAsia="Arial" w:hAnsi="Arial" w:cs="Arial"/>
          <w:b/>
          <w:color w:val="000000"/>
          <w:sz w:val="22"/>
          <w:szCs w:val="22"/>
        </w:rPr>
        <w:br/>
        <w:t>(dále jen „Smlouva“)</w:t>
      </w:r>
    </w:p>
    <w:tbl>
      <w:tblPr>
        <w:tblStyle w:val="a8"/>
        <w:tblW w:w="10716" w:type="dxa"/>
        <w:tblInd w:w="-55" w:type="dxa"/>
        <w:tblLayout w:type="fixed"/>
        <w:tblLook w:val="0000" w:firstRow="0" w:lastRow="0" w:firstColumn="0" w:lastColumn="0" w:noHBand="0" w:noVBand="0"/>
      </w:tblPr>
      <w:tblGrid>
        <w:gridCol w:w="1610"/>
        <w:gridCol w:w="3693"/>
        <w:gridCol w:w="5413"/>
      </w:tblGrid>
      <w:tr w:rsidR="00BE1AD0" w14:paraId="4D6DBD70" w14:textId="77777777" w:rsidTr="00DC6234">
        <w:trPr>
          <w:trHeight w:val="2740"/>
        </w:trPr>
        <w:tc>
          <w:tcPr>
            <w:tcW w:w="5303" w:type="dxa"/>
            <w:gridSpan w:val="2"/>
            <w:tcBorders>
              <w:top w:val="single" w:sz="4" w:space="0" w:color="000000"/>
              <w:left w:val="single" w:sz="4" w:space="0" w:color="000000"/>
              <w:bottom w:val="single" w:sz="4" w:space="0" w:color="000000"/>
            </w:tcBorders>
          </w:tcPr>
          <w:p w14:paraId="17C7B80F" w14:textId="17FF01A0" w:rsidR="00BE1AD0" w:rsidRDefault="00A963D3" w:rsidP="002A19EC">
            <w:pPr>
              <w:spacing w:after="120"/>
              <w:ind w:left="0" w:right="-108" w:hanging="2"/>
              <w:jc w:val="both"/>
              <w:rPr>
                <w:rFonts w:ascii="Arial" w:eastAsia="Arial" w:hAnsi="Arial" w:cs="Arial"/>
                <w:b/>
              </w:rPr>
            </w:pPr>
            <w:r>
              <w:rPr>
                <w:rFonts w:ascii="Arial" w:eastAsia="Arial" w:hAnsi="Arial" w:cs="Arial"/>
                <w:b/>
              </w:rPr>
              <w:t>NÁZEV SPOLEČNOSTI</w:t>
            </w:r>
          </w:p>
          <w:p w14:paraId="2CEE0C67" w14:textId="4DB0D87C" w:rsidR="007262BA" w:rsidRPr="002A19EC" w:rsidRDefault="007262BA">
            <w:pPr>
              <w:ind w:left="0" w:right="-108" w:hanging="2"/>
              <w:jc w:val="both"/>
              <w:rPr>
                <w:rFonts w:ascii="Arial" w:eastAsia="Arial" w:hAnsi="Arial" w:cs="Arial"/>
                <w:sz w:val="32"/>
                <w:szCs w:val="32"/>
              </w:rPr>
            </w:pPr>
            <w:r w:rsidRPr="002A19EC">
              <w:rPr>
                <w:rFonts w:ascii="Arial" w:eastAsia="Arial" w:hAnsi="Arial" w:cs="Arial"/>
                <w:b/>
                <w:color w:val="000000"/>
              </w:rPr>
              <w:t>Pražský filharmonický sbor</w:t>
            </w:r>
          </w:p>
          <w:p w14:paraId="0DCA3C6E" w14:textId="210585C5" w:rsidR="00BE1AD0" w:rsidRPr="002A19EC" w:rsidRDefault="00A963D3" w:rsidP="002A19EC">
            <w:pPr>
              <w:spacing w:before="120" w:line="240" w:lineRule="auto"/>
              <w:ind w:left="0" w:hanging="2"/>
              <w:rPr>
                <w:rFonts w:ascii="Arial" w:eastAsia="Arial" w:hAnsi="Arial" w:cs="Arial"/>
                <w:color w:val="000000"/>
                <w:sz w:val="20"/>
                <w:szCs w:val="20"/>
              </w:rPr>
            </w:pPr>
            <w:bookmarkStart w:id="0" w:name="_heading=h.gjdgxs" w:colFirst="0" w:colLast="0"/>
            <w:bookmarkEnd w:id="0"/>
            <w:r w:rsidRPr="002A19EC">
              <w:rPr>
                <w:rFonts w:ascii="Arial" w:eastAsia="Arial" w:hAnsi="Arial" w:cs="Arial"/>
                <w:smallCaps/>
                <w:sz w:val="20"/>
                <w:szCs w:val="20"/>
              </w:rPr>
              <w:t>IČ:</w:t>
            </w:r>
            <w:r w:rsidR="007262BA" w:rsidRPr="002A19EC">
              <w:rPr>
                <w:rFonts w:ascii="Arial" w:eastAsia="Arial" w:hAnsi="Arial" w:cs="Arial"/>
                <w:sz w:val="20"/>
                <w:szCs w:val="20"/>
              </w:rPr>
              <w:t>14450577</w:t>
            </w:r>
            <w:r w:rsidRPr="002A19EC">
              <w:rPr>
                <w:rFonts w:ascii="Arial" w:eastAsia="Arial" w:hAnsi="Arial" w:cs="Arial"/>
                <w:sz w:val="20"/>
                <w:szCs w:val="20"/>
              </w:rPr>
              <w:br/>
            </w:r>
            <w:bookmarkStart w:id="1" w:name="_heading=h.30j0zll" w:colFirst="0" w:colLast="0"/>
            <w:bookmarkEnd w:id="1"/>
            <w:r w:rsidRPr="002A19EC">
              <w:rPr>
                <w:rFonts w:ascii="Arial" w:eastAsia="Arial" w:hAnsi="Arial" w:cs="Arial"/>
                <w:color w:val="000000"/>
                <w:sz w:val="20"/>
                <w:szCs w:val="20"/>
              </w:rPr>
              <w:t xml:space="preserve">se sídlem: </w:t>
            </w:r>
            <w:r w:rsidR="007262BA" w:rsidRPr="002A19EC">
              <w:rPr>
                <w:rFonts w:ascii="Arial" w:eastAsia="Arial" w:hAnsi="Arial" w:cs="Arial"/>
                <w:color w:val="000000"/>
                <w:sz w:val="20"/>
                <w:szCs w:val="20"/>
              </w:rPr>
              <w:t>Melantrichova 970/17, Praha 1</w:t>
            </w:r>
          </w:p>
          <w:p w14:paraId="794D0787" w14:textId="77777777" w:rsidR="002A19EC" w:rsidRDefault="00A963D3" w:rsidP="002A19EC">
            <w:pPr>
              <w:spacing w:line="240" w:lineRule="auto"/>
              <w:ind w:left="0" w:hanging="2"/>
              <w:rPr>
                <w:rFonts w:ascii="Arial" w:eastAsia="Arial" w:hAnsi="Arial" w:cs="Arial"/>
                <w:color w:val="000000"/>
                <w:sz w:val="20"/>
                <w:szCs w:val="20"/>
              </w:rPr>
            </w:pPr>
            <w:r w:rsidRPr="002A19EC">
              <w:rPr>
                <w:rFonts w:ascii="Arial" w:eastAsia="Arial" w:hAnsi="Arial" w:cs="Arial"/>
                <w:color w:val="000000"/>
                <w:sz w:val="20"/>
                <w:szCs w:val="20"/>
              </w:rPr>
              <w:t xml:space="preserve">zapsaná </w:t>
            </w:r>
            <w:r w:rsidR="007262BA" w:rsidRPr="002A19EC">
              <w:rPr>
                <w:rFonts w:ascii="Arial" w:eastAsia="Arial" w:hAnsi="Arial" w:cs="Arial"/>
                <w:color w:val="000000"/>
                <w:sz w:val="20"/>
                <w:szCs w:val="20"/>
              </w:rPr>
              <w:t>u Ministerstva kultury pod č.j. 13.000/2001</w:t>
            </w:r>
          </w:p>
          <w:p w14:paraId="44D54207" w14:textId="653E0B4F" w:rsidR="002A19EC" w:rsidRDefault="00A963D3" w:rsidP="002A19EC">
            <w:pPr>
              <w:spacing w:before="120" w:line="240" w:lineRule="auto"/>
              <w:ind w:left="0" w:hanging="2"/>
              <w:rPr>
                <w:rFonts w:ascii="Arial" w:eastAsia="Arial" w:hAnsi="Arial" w:cs="Arial"/>
                <w:color w:val="000000"/>
                <w:sz w:val="20"/>
                <w:szCs w:val="20"/>
              </w:rPr>
            </w:pPr>
            <w:bookmarkStart w:id="2" w:name="_heading=h.1fob9te" w:colFirst="0" w:colLast="0"/>
            <w:bookmarkEnd w:id="2"/>
            <w:proofErr w:type="spellStart"/>
            <w:r w:rsidRPr="002A19EC">
              <w:rPr>
                <w:rFonts w:ascii="Arial" w:eastAsia="Arial" w:hAnsi="Arial" w:cs="Arial"/>
                <w:sz w:val="20"/>
                <w:szCs w:val="20"/>
              </w:rPr>
              <w:t>č</w:t>
            </w:r>
            <w:r w:rsidRPr="002A19EC">
              <w:rPr>
                <w:rFonts w:ascii="Arial" w:eastAsia="Arial" w:hAnsi="Arial" w:cs="Arial"/>
                <w:color w:val="000000"/>
                <w:sz w:val="20"/>
                <w:szCs w:val="20"/>
              </w:rPr>
              <w:t>.ú</w:t>
            </w:r>
            <w:proofErr w:type="spellEnd"/>
            <w:r w:rsidRPr="002A19EC">
              <w:rPr>
                <w:rFonts w:ascii="Arial" w:eastAsia="Arial" w:hAnsi="Arial" w:cs="Arial"/>
                <w:color w:val="000000"/>
                <w:sz w:val="20"/>
                <w:szCs w:val="20"/>
              </w:rPr>
              <w:t xml:space="preserve">.: </w:t>
            </w:r>
            <w:r w:rsidR="00095794" w:rsidRPr="002A19EC">
              <w:rPr>
                <w:rFonts w:ascii="Arial" w:eastAsia="Arial" w:hAnsi="Arial" w:cs="Arial"/>
                <w:color w:val="000000"/>
                <w:sz w:val="20"/>
                <w:szCs w:val="20"/>
              </w:rPr>
              <w:t>58035011/0710</w:t>
            </w:r>
            <w:r w:rsidRPr="002A19EC">
              <w:rPr>
                <w:rFonts w:ascii="Arial" w:eastAsia="Arial" w:hAnsi="Arial" w:cs="Arial"/>
                <w:color w:val="000000"/>
                <w:sz w:val="20"/>
                <w:szCs w:val="20"/>
              </w:rPr>
              <w:br/>
            </w:r>
            <w:bookmarkStart w:id="3" w:name="_heading=h.3znysh7" w:colFirst="0" w:colLast="0"/>
            <w:bookmarkEnd w:id="3"/>
            <w:r w:rsidRPr="002A19EC">
              <w:rPr>
                <w:rFonts w:ascii="Arial" w:eastAsia="Arial" w:hAnsi="Arial" w:cs="Arial"/>
                <w:color w:val="000000"/>
                <w:sz w:val="20"/>
                <w:szCs w:val="20"/>
              </w:rPr>
              <w:t xml:space="preserve">e-mail: </w:t>
            </w:r>
            <w:hyperlink r:id="rId8" w:history="1">
              <w:r w:rsidR="002A19EC" w:rsidRPr="00C304E1">
                <w:rPr>
                  <w:rStyle w:val="Hypertextovodkaz"/>
                  <w:rFonts w:ascii="Arial" w:eastAsia="Arial" w:hAnsi="Arial" w:cs="Arial"/>
                  <w:sz w:val="20"/>
                  <w:szCs w:val="20"/>
                </w:rPr>
                <w:t>info@choir.cz</w:t>
              </w:r>
            </w:hyperlink>
          </w:p>
          <w:p w14:paraId="304E75C9" w14:textId="22F67DB7" w:rsidR="00BE1AD0" w:rsidRPr="002A19EC" w:rsidRDefault="00A963D3" w:rsidP="002A19EC">
            <w:pPr>
              <w:spacing w:before="120" w:line="240" w:lineRule="auto"/>
              <w:ind w:left="0" w:hanging="2"/>
              <w:rPr>
                <w:rFonts w:ascii="Arial" w:eastAsia="Arial" w:hAnsi="Arial" w:cs="Arial"/>
                <w:color w:val="000000"/>
                <w:sz w:val="20"/>
                <w:szCs w:val="20"/>
              </w:rPr>
            </w:pPr>
            <w:proofErr w:type="gramStart"/>
            <w:r w:rsidRPr="002A19EC">
              <w:rPr>
                <w:rFonts w:ascii="Arial" w:eastAsia="Arial" w:hAnsi="Arial" w:cs="Arial"/>
                <w:color w:val="000000"/>
                <w:sz w:val="20"/>
                <w:szCs w:val="20"/>
              </w:rPr>
              <w:t xml:space="preserve">zastoupená : </w:t>
            </w:r>
            <w:r w:rsidR="00095794" w:rsidRPr="002A19EC">
              <w:rPr>
                <w:rFonts w:ascii="Arial" w:eastAsia="Arial" w:hAnsi="Arial" w:cs="Arial"/>
                <w:color w:val="000000"/>
                <w:sz w:val="20"/>
                <w:szCs w:val="20"/>
              </w:rPr>
              <w:t>Hanou</w:t>
            </w:r>
            <w:proofErr w:type="gramEnd"/>
            <w:r w:rsidR="00095794" w:rsidRPr="002A19EC">
              <w:rPr>
                <w:rFonts w:ascii="Arial" w:eastAsia="Arial" w:hAnsi="Arial" w:cs="Arial"/>
                <w:color w:val="000000"/>
                <w:sz w:val="20"/>
                <w:szCs w:val="20"/>
              </w:rPr>
              <w:t xml:space="preserve"> Barylovou</w:t>
            </w:r>
          </w:p>
          <w:p w14:paraId="4D0963D4" w14:textId="77777777" w:rsidR="00BE1AD0" w:rsidRDefault="00A963D3" w:rsidP="002A19EC">
            <w:pPr>
              <w:spacing w:line="240" w:lineRule="auto"/>
              <w:ind w:left="0" w:hanging="2"/>
              <w:rPr>
                <w:rFonts w:ascii="Arial" w:eastAsia="Arial" w:hAnsi="Arial" w:cs="Arial"/>
                <w:b/>
              </w:rPr>
            </w:pPr>
            <w:r w:rsidRPr="002A19EC">
              <w:rPr>
                <w:rFonts w:ascii="Arial" w:eastAsia="Arial" w:hAnsi="Arial" w:cs="Arial"/>
                <w:color w:val="000000"/>
                <w:sz w:val="20"/>
                <w:szCs w:val="20"/>
              </w:rPr>
              <w:t>(dále také jako „</w:t>
            </w:r>
            <w:r w:rsidRPr="002A19EC">
              <w:rPr>
                <w:rFonts w:ascii="Arial" w:eastAsia="Arial" w:hAnsi="Arial" w:cs="Arial"/>
                <w:b/>
                <w:bCs/>
                <w:color w:val="000000"/>
                <w:sz w:val="20"/>
                <w:szCs w:val="20"/>
              </w:rPr>
              <w:t>Klient</w:t>
            </w:r>
            <w:bookmarkStart w:id="4" w:name="bookmark=kix.vwuedq7jt23e" w:colFirst="0" w:colLast="0"/>
            <w:bookmarkEnd w:id="4"/>
            <w:r w:rsidRPr="002A19EC">
              <w:rPr>
                <w:rFonts w:ascii="Arial" w:eastAsia="Arial" w:hAnsi="Arial" w:cs="Arial"/>
                <w:color w:val="000000"/>
                <w:sz w:val="20"/>
                <w:szCs w:val="20"/>
              </w:rPr>
              <w:t>“)</w:t>
            </w:r>
          </w:p>
        </w:tc>
        <w:tc>
          <w:tcPr>
            <w:tcW w:w="5413" w:type="dxa"/>
            <w:tcBorders>
              <w:top w:val="single" w:sz="4" w:space="0" w:color="000000"/>
              <w:left w:val="single" w:sz="4" w:space="0" w:color="000000"/>
              <w:bottom w:val="single" w:sz="4" w:space="0" w:color="000000"/>
              <w:right w:val="single" w:sz="4" w:space="0" w:color="000000"/>
            </w:tcBorders>
          </w:tcPr>
          <w:p w14:paraId="7C47A49D" w14:textId="66342330" w:rsidR="00BE1AD0" w:rsidRPr="002A19EC" w:rsidRDefault="00A963D3">
            <w:pPr>
              <w:pBdr>
                <w:top w:val="nil"/>
                <w:left w:val="nil"/>
                <w:bottom w:val="nil"/>
                <w:right w:val="nil"/>
                <w:between w:val="nil"/>
              </w:pBdr>
              <w:spacing w:line="240" w:lineRule="auto"/>
              <w:ind w:left="0" w:hanging="2"/>
              <w:rPr>
                <w:rFonts w:ascii="Arial" w:eastAsia="Arial" w:hAnsi="Arial" w:cs="Arial"/>
                <w:color w:val="000000"/>
              </w:rPr>
            </w:pPr>
            <w:r w:rsidRPr="002A19EC">
              <w:rPr>
                <w:rFonts w:ascii="Arial" w:eastAsia="Arial" w:hAnsi="Arial" w:cs="Arial"/>
                <w:b/>
                <w:color w:val="000000"/>
              </w:rPr>
              <w:t xml:space="preserve">TT </w:t>
            </w:r>
            <w:proofErr w:type="spellStart"/>
            <w:r w:rsidRPr="002A19EC">
              <w:rPr>
                <w:rFonts w:ascii="Arial" w:eastAsia="Arial" w:hAnsi="Arial" w:cs="Arial"/>
                <w:b/>
                <w:color w:val="000000"/>
              </w:rPr>
              <w:t>Comfort</w:t>
            </w:r>
            <w:proofErr w:type="spellEnd"/>
            <w:r w:rsidRPr="002A19EC">
              <w:rPr>
                <w:rFonts w:ascii="Arial" w:eastAsia="Arial" w:hAnsi="Arial" w:cs="Arial"/>
                <w:b/>
                <w:color w:val="000000"/>
              </w:rPr>
              <w:t xml:space="preserve"> </w:t>
            </w:r>
            <w:proofErr w:type="spellStart"/>
            <w:r w:rsidRPr="002A19EC">
              <w:rPr>
                <w:rFonts w:ascii="Arial" w:eastAsia="Arial" w:hAnsi="Arial" w:cs="Arial"/>
                <w:b/>
                <w:color w:val="000000"/>
              </w:rPr>
              <w:t>Class</w:t>
            </w:r>
            <w:proofErr w:type="spellEnd"/>
            <w:r w:rsidRPr="002A19EC">
              <w:rPr>
                <w:rFonts w:ascii="Arial" w:eastAsia="Arial" w:hAnsi="Arial" w:cs="Arial"/>
                <w:b/>
                <w:color w:val="000000"/>
              </w:rPr>
              <w:t xml:space="preserve"> s.r.o.</w:t>
            </w:r>
          </w:p>
          <w:p w14:paraId="63830AC0" w14:textId="77777777" w:rsidR="00BE1AD0" w:rsidRPr="002A19EC" w:rsidRDefault="00A963D3" w:rsidP="002A19EC">
            <w:pPr>
              <w:pBdr>
                <w:top w:val="nil"/>
                <w:left w:val="nil"/>
                <w:bottom w:val="nil"/>
                <w:right w:val="nil"/>
                <w:between w:val="nil"/>
              </w:pBdr>
              <w:spacing w:before="120" w:line="240" w:lineRule="auto"/>
              <w:ind w:left="0" w:hanging="2"/>
              <w:rPr>
                <w:rFonts w:ascii="Arial" w:eastAsia="Arial" w:hAnsi="Arial" w:cs="Arial"/>
                <w:color w:val="000000"/>
                <w:sz w:val="20"/>
                <w:szCs w:val="20"/>
              </w:rPr>
            </w:pPr>
            <w:r w:rsidRPr="002A19EC">
              <w:rPr>
                <w:rFonts w:ascii="Arial" w:eastAsia="Arial" w:hAnsi="Arial" w:cs="Arial"/>
                <w:smallCaps/>
                <w:color w:val="000000"/>
                <w:sz w:val="20"/>
                <w:szCs w:val="20"/>
              </w:rPr>
              <w:t xml:space="preserve">IČ: </w:t>
            </w:r>
            <w:r w:rsidRPr="002A19EC">
              <w:rPr>
                <w:rFonts w:ascii="Arial" w:eastAsia="Arial" w:hAnsi="Arial" w:cs="Arial"/>
                <w:color w:val="000000"/>
                <w:sz w:val="20"/>
                <w:szCs w:val="20"/>
              </w:rPr>
              <w:t>016 13 707</w:t>
            </w:r>
          </w:p>
          <w:p w14:paraId="3540615C" w14:textId="77777777" w:rsidR="00BE1AD0" w:rsidRPr="002A19EC" w:rsidRDefault="00A963D3">
            <w:pPr>
              <w:pBdr>
                <w:top w:val="nil"/>
                <w:left w:val="nil"/>
                <w:bottom w:val="nil"/>
                <w:right w:val="nil"/>
                <w:between w:val="nil"/>
              </w:pBdr>
              <w:spacing w:line="240" w:lineRule="auto"/>
              <w:ind w:left="0" w:hanging="2"/>
              <w:rPr>
                <w:rFonts w:ascii="Arial" w:eastAsia="Arial" w:hAnsi="Arial" w:cs="Arial"/>
                <w:color w:val="000000"/>
                <w:sz w:val="20"/>
                <w:szCs w:val="20"/>
              </w:rPr>
            </w:pPr>
            <w:r w:rsidRPr="002A19EC">
              <w:rPr>
                <w:rFonts w:ascii="Arial" w:eastAsia="Arial" w:hAnsi="Arial" w:cs="Arial"/>
                <w:color w:val="000000"/>
                <w:sz w:val="20"/>
                <w:szCs w:val="20"/>
              </w:rPr>
              <w:t>se sídlem Vrchlického 1321/5b, Košíře, 150 00 Praha 5</w:t>
            </w:r>
          </w:p>
          <w:p w14:paraId="2EBF4F3C" w14:textId="77777777" w:rsidR="002A19EC" w:rsidRPr="002A19EC" w:rsidRDefault="00A963D3" w:rsidP="004331C6">
            <w:pPr>
              <w:pBdr>
                <w:top w:val="nil"/>
                <w:left w:val="nil"/>
                <w:bottom w:val="nil"/>
                <w:right w:val="nil"/>
                <w:between w:val="nil"/>
              </w:pBdr>
              <w:spacing w:line="240" w:lineRule="auto"/>
              <w:ind w:left="0" w:hanging="2"/>
              <w:rPr>
                <w:rFonts w:ascii="Arial" w:eastAsia="Arial" w:hAnsi="Arial" w:cs="Arial"/>
                <w:color w:val="000000"/>
                <w:sz w:val="20"/>
                <w:szCs w:val="20"/>
              </w:rPr>
            </w:pPr>
            <w:r w:rsidRPr="002A19EC">
              <w:rPr>
                <w:rFonts w:ascii="Arial" w:eastAsia="Arial" w:hAnsi="Arial" w:cs="Arial"/>
                <w:color w:val="000000"/>
                <w:sz w:val="20"/>
                <w:szCs w:val="20"/>
              </w:rPr>
              <w:t xml:space="preserve">zapsaná v obchodním rejstříku vedeném Městským soudem v Praze, </w:t>
            </w:r>
            <w:proofErr w:type="spellStart"/>
            <w:r w:rsidRPr="002A19EC">
              <w:rPr>
                <w:rFonts w:ascii="Arial" w:eastAsia="Arial" w:hAnsi="Arial" w:cs="Arial"/>
                <w:color w:val="000000"/>
                <w:sz w:val="20"/>
                <w:szCs w:val="20"/>
              </w:rPr>
              <w:t>sp</w:t>
            </w:r>
            <w:proofErr w:type="spellEnd"/>
            <w:r w:rsidRPr="002A19EC">
              <w:rPr>
                <w:rFonts w:ascii="Arial" w:eastAsia="Arial" w:hAnsi="Arial" w:cs="Arial"/>
                <w:color w:val="000000"/>
                <w:sz w:val="20"/>
                <w:szCs w:val="20"/>
              </w:rPr>
              <w:t>. zn. C 209292</w:t>
            </w:r>
          </w:p>
          <w:p w14:paraId="1CFCE913" w14:textId="7C4F73EE" w:rsidR="00BE1AD0" w:rsidRPr="002A19EC" w:rsidRDefault="00A963D3" w:rsidP="002A19EC">
            <w:pPr>
              <w:pBdr>
                <w:top w:val="nil"/>
                <w:left w:val="nil"/>
                <w:bottom w:val="nil"/>
                <w:right w:val="nil"/>
                <w:between w:val="nil"/>
              </w:pBdr>
              <w:spacing w:before="120" w:line="240" w:lineRule="auto"/>
              <w:ind w:left="0" w:hanging="2"/>
              <w:rPr>
                <w:rFonts w:ascii="Arial" w:eastAsia="Arial" w:hAnsi="Arial" w:cs="Arial"/>
                <w:color w:val="000000"/>
                <w:sz w:val="20"/>
                <w:szCs w:val="20"/>
              </w:rPr>
            </w:pPr>
            <w:proofErr w:type="spellStart"/>
            <w:r w:rsidRPr="002A19EC">
              <w:rPr>
                <w:rFonts w:ascii="Arial" w:eastAsia="Arial" w:hAnsi="Arial" w:cs="Arial"/>
                <w:color w:val="000000"/>
                <w:sz w:val="20"/>
                <w:szCs w:val="20"/>
              </w:rPr>
              <w:t>č.ú</w:t>
            </w:r>
            <w:proofErr w:type="spellEnd"/>
            <w:r w:rsidRPr="002A19EC">
              <w:rPr>
                <w:rFonts w:ascii="Arial" w:eastAsia="Arial" w:hAnsi="Arial" w:cs="Arial"/>
                <w:color w:val="000000"/>
                <w:sz w:val="20"/>
                <w:szCs w:val="20"/>
              </w:rPr>
              <w:t>.: 117518743/0300</w:t>
            </w:r>
          </w:p>
          <w:p w14:paraId="2D865187" w14:textId="77777777" w:rsidR="00BE1AD0" w:rsidRPr="002A19EC" w:rsidRDefault="00A963D3">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2A19EC">
              <w:rPr>
                <w:rFonts w:ascii="Arial" w:eastAsia="Arial" w:hAnsi="Arial" w:cs="Arial"/>
                <w:color w:val="000000"/>
                <w:sz w:val="20"/>
                <w:szCs w:val="20"/>
              </w:rPr>
              <w:t>IBAN: CZ78 0300 0000 0001 1751 8743</w:t>
            </w:r>
          </w:p>
          <w:p w14:paraId="14F2676F" w14:textId="3F2D4252" w:rsidR="00BE1AD0" w:rsidRPr="002A19EC" w:rsidRDefault="00A963D3" w:rsidP="002A19EC">
            <w:p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2A19EC">
              <w:rPr>
                <w:rFonts w:ascii="Arial" w:eastAsia="Arial" w:hAnsi="Arial" w:cs="Arial"/>
                <w:color w:val="000000"/>
                <w:sz w:val="20"/>
                <w:szCs w:val="20"/>
              </w:rPr>
              <w:t>e-mail: obchod@ticktack.cz</w:t>
            </w:r>
          </w:p>
          <w:p w14:paraId="3276DA6D" w14:textId="77777777" w:rsidR="00BE1AD0" w:rsidRPr="002A19EC" w:rsidRDefault="00A963D3">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2A19EC">
              <w:rPr>
                <w:rFonts w:ascii="Arial" w:eastAsia="Arial" w:hAnsi="Arial" w:cs="Arial"/>
                <w:color w:val="000000"/>
                <w:sz w:val="20"/>
                <w:szCs w:val="20"/>
              </w:rPr>
              <w:t>zastoupená Patrikem Altmanem, jednatelem společnosti</w:t>
            </w:r>
          </w:p>
          <w:p w14:paraId="14A65DEB" w14:textId="77777777" w:rsidR="00BE1AD0" w:rsidRDefault="00A963D3">
            <w:pPr>
              <w:pBdr>
                <w:top w:val="nil"/>
                <w:left w:val="nil"/>
                <w:bottom w:val="nil"/>
                <w:right w:val="nil"/>
                <w:between w:val="nil"/>
              </w:pBdr>
              <w:spacing w:line="240" w:lineRule="auto"/>
              <w:ind w:left="0" w:hanging="2"/>
              <w:rPr>
                <w:rFonts w:ascii="Arial" w:eastAsia="Arial" w:hAnsi="Arial" w:cs="Arial"/>
                <w:color w:val="000000"/>
                <w:sz w:val="20"/>
                <w:szCs w:val="20"/>
              </w:rPr>
            </w:pPr>
            <w:r w:rsidRPr="002A19EC">
              <w:rPr>
                <w:rFonts w:ascii="Arial" w:eastAsia="Arial" w:hAnsi="Arial" w:cs="Arial"/>
                <w:color w:val="000000"/>
                <w:sz w:val="20"/>
                <w:szCs w:val="20"/>
              </w:rPr>
              <w:t>(dále také jako „</w:t>
            </w:r>
            <w:r w:rsidRPr="002A19EC">
              <w:rPr>
                <w:rFonts w:ascii="Arial" w:eastAsia="Arial" w:hAnsi="Arial" w:cs="Arial"/>
                <w:b/>
                <w:color w:val="000000"/>
                <w:sz w:val="20"/>
                <w:szCs w:val="20"/>
              </w:rPr>
              <w:t>TT“)</w:t>
            </w:r>
            <w:r>
              <w:rPr>
                <w:rFonts w:ascii="Arial" w:eastAsia="Arial" w:hAnsi="Arial" w:cs="Arial"/>
                <w:b/>
                <w:color w:val="000000"/>
                <w:sz w:val="20"/>
                <w:szCs w:val="20"/>
              </w:rPr>
              <w:t xml:space="preserve"> </w:t>
            </w:r>
          </w:p>
        </w:tc>
      </w:tr>
      <w:tr w:rsidR="00BE1AD0" w14:paraId="2DD9E942" w14:textId="77777777">
        <w:tc>
          <w:tcPr>
            <w:tcW w:w="10716" w:type="dxa"/>
            <w:gridSpan w:val="3"/>
            <w:tcBorders>
              <w:top w:val="single" w:sz="4" w:space="0" w:color="000000"/>
              <w:left w:val="single" w:sz="4" w:space="0" w:color="000000"/>
              <w:bottom w:val="single" w:sz="4" w:space="0" w:color="000000"/>
              <w:right w:val="single" w:sz="4" w:space="0" w:color="000000"/>
            </w:tcBorders>
          </w:tcPr>
          <w:p w14:paraId="06094CF4" w14:textId="77777777" w:rsidR="00BE1AD0" w:rsidRDefault="00A963D3">
            <w:pPr>
              <w:pBdr>
                <w:top w:val="nil"/>
                <w:left w:val="nil"/>
                <w:bottom w:val="nil"/>
                <w:right w:val="nil"/>
                <w:between w:val="nil"/>
              </w:pBdr>
              <w:tabs>
                <w:tab w:val="left" w:pos="3060"/>
              </w:tabs>
              <w:spacing w:line="240" w:lineRule="auto"/>
              <w:ind w:left="0" w:hanging="2"/>
              <w:jc w:val="center"/>
              <w:rPr>
                <w:rFonts w:ascii="Arial" w:eastAsia="Arial" w:hAnsi="Arial" w:cs="Arial"/>
                <w:color w:val="000000"/>
              </w:rPr>
            </w:pPr>
            <w:r>
              <w:rPr>
                <w:rFonts w:ascii="Arial" w:eastAsia="Arial" w:hAnsi="Arial" w:cs="Arial"/>
                <w:b/>
                <w:color w:val="000000"/>
                <w:sz w:val="16"/>
                <w:szCs w:val="16"/>
              </w:rPr>
              <w:t>Základní podmínky</w:t>
            </w:r>
          </w:p>
        </w:tc>
      </w:tr>
      <w:tr w:rsidR="00BE1AD0" w14:paraId="43C65B5D" w14:textId="77777777" w:rsidTr="00474112">
        <w:trPr>
          <w:trHeight w:val="971"/>
        </w:trPr>
        <w:tc>
          <w:tcPr>
            <w:tcW w:w="1610" w:type="dxa"/>
            <w:tcBorders>
              <w:top w:val="single" w:sz="4" w:space="0" w:color="000000"/>
              <w:left w:val="single" w:sz="4" w:space="0" w:color="000000"/>
              <w:bottom w:val="single" w:sz="4" w:space="0" w:color="000000"/>
            </w:tcBorders>
          </w:tcPr>
          <w:p w14:paraId="1BD660CC" w14:textId="5C689BC0" w:rsidR="00BE1AD0" w:rsidRPr="00DC6234" w:rsidRDefault="00A963D3" w:rsidP="00DC6234">
            <w:pPr>
              <w:pStyle w:val="Odstavecseseznamem"/>
              <w:numPr>
                <w:ilvl w:val="0"/>
                <w:numId w:val="17"/>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DC6234">
              <w:rPr>
                <w:rFonts w:ascii="Arial" w:eastAsia="Arial" w:hAnsi="Arial" w:cs="Arial"/>
                <w:b/>
                <w:color w:val="000000"/>
                <w:sz w:val="16"/>
                <w:szCs w:val="16"/>
              </w:rPr>
              <w:t>Účel a předmět smlouvy</w:t>
            </w:r>
          </w:p>
        </w:tc>
        <w:tc>
          <w:tcPr>
            <w:tcW w:w="9106" w:type="dxa"/>
            <w:gridSpan w:val="2"/>
            <w:tcBorders>
              <w:top w:val="single" w:sz="4" w:space="0" w:color="000000"/>
              <w:left w:val="single" w:sz="4" w:space="0" w:color="000000"/>
              <w:bottom w:val="single" w:sz="4" w:space="0" w:color="000000"/>
              <w:right w:val="single" w:sz="4" w:space="0" w:color="000000"/>
            </w:tcBorders>
          </w:tcPr>
          <w:p w14:paraId="0A4C2118" w14:textId="77777777" w:rsidR="00BE1AD0" w:rsidRPr="002D0717" w:rsidRDefault="00A963D3" w:rsidP="002D0717">
            <w:pPr>
              <w:pBdr>
                <w:top w:val="nil"/>
                <w:left w:val="nil"/>
                <w:bottom w:val="nil"/>
                <w:right w:val="nil"/>
                <w:between w:val="nil"/>
              </w:pBdr>
              <w:spacing w:after="60" w:line="240" w:lineRule="auto"/>
              <w:ind w:left="0" w:hanging="2"/>
              <w:contextualSpacing/>
              <w:jc w:val="both"/>
              <w:outlineLvl w:val="9"/>
              <w:rPr>
                <w:rFonts w:ascii="Arial" w:eastAsia="Arial" w:hAnsi="Arial" w:cs="Arial"/>
                <w:color w:val="000000"/>
                <w:sz w:val="16"/>
                <w:szCs w:val="16"/>
              </w:rPr>
            </w:pPr>
            <w:r w:rsidRPr="002D0717">
              <w:rPr>
                <w:rFonts w:ascii="Arial" w:eastAsia="Arial" w:hAnsi="Arial" w:cs="Arial"/>
                <w:b/>
                <w:color w:val="000000"/>
                <w:sz w:val="16"/>
                <w:szCs w:val="16"/>
              </w:rPr>
              <w:t>TT</w:t>
            </w:r>
            <w:r w:rsidRPr="002D0717">
              <w:rPr>
                <w:rFonts w:ascii="Arial" w:eastAsia="Arial" w:hAnsi="Arial" w:cs="Arial"/>
                <w:color w:val="000000"/>
                <w:sz w:val="16"/>
                <w:szCs w:val="16"/>
              </w:rPr>
              <w:t xml:space="preserve"> se zavazuje provést pro Klienta služby osobní silniční dopravy motorovými vozidly za podmínek stanovených touto Smlouvou (dále také jako “</w:t>
            </w:r>
            <w:r w:rsidRPr="002D0717">
              <w:rPr>
                <w:rFonts w:ascii="Arial" w:eastAsia="Arial" w:hAnsi="Arial" w:cs="Arial"/>
                <w:b/>
                <w:color w:val="000000"/>
                <w:sz w:val="16"/>
                <w:szCs w:val="16"/>
              </w:rPr>
              <w:t>Přepravy</w:t>
            </w:r>
            <w:r w:rsidRPr="002D0717">
              <w:rPr>
                <w:rFonts w:ascii="Arial" w:eastAsia="Arial" w:hAnsi="Arial" w:cs="Arial"/>
                <w:color w:val="000000"/>
                <w:sz w:val="16"/>
                <w:szCs w:val="16"/>
              </w:rPr>
              <w:t>“).</w:t>
            </w:r>
          </w:p>
          <w:p w14:paraId="259E44ED" w14:textId="77777777" w:rsidR="00BE1AD0" w:rsidRPr="002D0717" w:rsidRDefault="00A963D3" w:rsidP="002D0717">
            <w:pPr>
              <w:pBdr>
                <w:top w:val="nil"/>
                <w:left w:val="nil"/>
                <w:bottom w:val="nil"/>
                <w:right w:val="nil"/>
                <w:between w:val="nil"/>
              </w:pBdr>
              <w:spacing w:after="60" w:line="240" w:lineRule="auto"/>
              <w:ind w:left="0" w:hanging="2"/>
              <w:contextualSpacing/>
              <w:jc w:val="both"/>
              <w:outlineLvl w:val="9"/>
              <w:rPr>
                <w:rFonts w:ascii="Arial" w:eastAsia="Arial" w:hAnsi="Arial" w:cs="Arial"/>
                <w:color w:val="000000"/>
                <w:sz w:val="16"/>
                <w:szCs w:val="16"/>
              </w:rPr>
            </w:pPr>
            <w:r w:rsidRPr="002D0717">
              <w:rPr>
                <w:rFonts w:ascii="Arial" w:eastAsia="Arial" w:hAnsi="Arial" w:cs="Arial"/>
                <w:b/>
                <w:color w:val="000000"/>
                <w:sz w:val="16"/>
                <w:szCs w:val="16"/>
              </w:rPr>
              <w:t xml:space="preserve">Klient </w:t>
            </w:r>
            <w:r w:rsidRPr="002D0717">
              <w:rPr>
                <w:rFonts w:ascii="Arial" w:eastAsia="Arial" w:hAnsi="Arial" w:cs="Arial"/>
                <w:color w:val="000000"/>
                <w:sz w:val="16"/>
                <w:szCs w:val="16"/>
              </w:rPr>
              <w:t>se zavazuje hradit TT za poskytnuté Přepravy úplatu dle této Smlouvy.</w:t>
            </w:r>
          </w:p>
          <w:p w14:paraId="43C6FC35" w14:textId="77777777" w:rsidR="00BE1AD0" w:rsidRPr="002D0717" w:rsidRDefault="00A963D3" w:rsidP="002D0717">
            <w:pPr>
              <w:pBdr>
                <w:top w:val="nil"/>
                <w:left w:val="nil"/>
                <w:bottom w:val="nil"/>
                <w:right w:val="nil"/>
                <w:between w:val="nil"/>
              </w:pBdr>
              <w:spacing w:after="60" w:line="240" w:lineRule="auto"/>
              <w:ind w:left="0" w:hanging="2"/>
              <w:contextualSpacing/>
              <w:jc w:val="both"/>
              <w:outlineLvl w:val="9"/>
              <w:rPr>
                <w:rFonts w:ascii="Arial" w:eastAsia="Arial" w:hAnsi="Arial" w:cs="Arial"/>
                <w:color w:val="000000"/>
                <w:sz w:val="16"/>
                <w:szCs w:val="16"/>
              </w:rPr>
            </w:pPr>
            <w:r w:rsidRPr="002D0717">
              <w:rPr>
                <w:rFonts w:ascii="Arial" w:eastAsia="Arial" w:hAnsi="Arial" w:cs="Arial"/>
                <w:color w:val="000000"/>
                <w:sz w:val="16"/>
                <w:szCs w:val="16"/>
              </w:rPr>
              <w:t>Další podmínky spolupráce smluvních stran jsou stanoveny ve Všeobecných obchodních podmínkách k této Smlouvě („</w:t>
            </w:r>
            <w:r w:rsidRPr="002D0717">
              <w:rPr>
                <w:rFonts w:ascii="Arial" w:eastAsia="Arial" w:hAnsi="Arial" w:cs="Arial"/>
                <w:b/>
                <w:color w:val="000000"/>
                <w:sz w:val="16"/>
                <w:szCs w:val="16"/>
              </w:rPr>
              <w:t>VOP</w:t>
            </w:r>
            <w:r w:rsidRPr="002D0717">
              <w:rPr>
                <w:rFonts w:ascii="Arial" w:eastAsia="Arial" w:hAnsi="Arial" w:cs="Arial"/>
                <w:color w:val="000000"/>
                <w:sz w:val="16"/>
                <w:szCs w:val="16"/>
              </w:rPr>
              <w:t>“) a přílohách této Smlouvy, které Klient podpisem této Smlouvy akceptuje.</w:t>
            </w:r>
          </w:p>
        </w:tc>
      </w:tr>
      <w:tr w:rsidR="00BE1AD0" w14:paraId="6B1C0566" w14:textId="77777777" w:rsidTr="00474112">
        <w:trPr>
          <w:trHeight w:val="645"/>
        </w:trPr>
        <w:tc>
          <w:tcPr>
            <w:tcW w:w="1610" w:type="dxa"/>
            <w:tcBorders>
              <w:top w:val="single" w:sz="4" w:space="0" w:color="000000"/>
              <w:left w:val="single" w:sz="4" w:space="0" w:color="000000"/>
              <w:bottom w:val="single" w:sz="4" w:space="0" w:color="000000"/>
            </w:tcBorders>
          </w:tcPr>
          <w:p w14:paraId="2BABDE05" w14:textId="71F70AD7" w:rsidR="00BE1AD0" w:rsidRPr="00DC6234" w:rsidRDefault="00A963D3" w:rsidP="00DC6234">
            <w:pPr>
              <w:pStyle w:val="Odstavecseseznamem"/>
              <w:numPr>
                <w:ilvl w:val="0"/>
                <w:numId w:val="18"/>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DC6234">
              <w:rPr>
                <w:rFonts w:ascii="Arial" w:eastAsia="Arial" w:hAnsi="Arial" w:cs="Arial"/>
                <w:b/>
                <w:color w:val="000000"/>
                <w:sz w:val="16"/>
                <w:szCs w:val="16"/>
              </w:rPr>
              <w:t>Flotila</w:t>
            </w:r>
          </w:p>
        </w:tc>
        <w:tc>
          <w:tcPr>
            <w:tcW w:w="9106" w:type="dxa"/>
            <w:gridSpan w:val="2"/>
            <w:tcBorders>
              <w:top w:val="single" w:sz="4" w:space="0" w:color="000000"/>
              <w:left w:val="single" w:sz="4" w:space="0" w:color="000000"/>
              <w:bottom w:val="single" w:sz="4" w:space="0" w:color="000000"/>
              <w:right w:val="single" w:sz="4" w:space="0" w:color="000000"/>
            </w:tcBorders>
          </w:tcPr>
          <w:p w14:paraId="7B713A7B" w14:textId="555B764F" w:rsidR="00BE1AD0" w:rsidRPr="002D0717" w:rsidRDefault="00A963D3" w:rsidP="002D0717">
            <w:pPr>
              <w:pBdr>
                <w:top w:val="nil"/>
                <w:left w:val="nil"/>
                <w:bottom w:val="nil"/>
                <w:right w:val="nil"/>
                <w:between w:val="nil"/>
              </w:pBdr>
              <w:spacing w:line="240" w:lineRule="auto"/>
              <w:ind w:left="0" w:hanging="2"/>
              <w:contextualSpacing/>
              <w:jc w:val="both"/>
              <w:outlineLvl w:val="9"/>
              <w:rPr>
                <w:rFonts w:ascii="Arial" w:eastAsia="Arial" w:hAnsi="Arial" w:cs="Arial"/>
                <w:sz w:val="16"/>
                <w:szCs w:val="16"/>
              </w:rPr>
            </w:pPr>
            <w:r w:rsidRPr="002D0717">
              <w:rPr>
                <w:rFonts w:ascii="Arial" w:eastAsia="Arial" w:hAnsi="Arial" w:cs="Arial"/>
                <w:b/>
                <w:sz w:val="16"/>
                <w:szCs w:val="16"/>
              </w:rPr>
              <w:t>Business</w:t>
            </w:r>
            <w:r w:rsidRPr="002D0717">
              <w:rPr>
                <w:rFonts w:ascii="Arial" w:eastAsia="Arial" w:hAnsi="Arial" w:cs="Arial"/>
                <w:sz w:val="16"/>
                <w:szCs w:val="16"/>
              </w:rPr>
              <w:t xml:space="preserve"> </w:t>
            </w:r>
            <w:r w:rsidRPr="002D0717">
              <w:rPr>
                <w:rFonts w:ascii="Arial" w:eastAsia="Arial" w:hAnsi="Arial" w:cs="Arial"/>
                <w:b/>
                <w:sz w:val="16"/>
                <w:szCs w:val="16"/>
              </w:rPr>
              <w:t>třída</w:t>
            </w:r>
            <w:r w:rsidRPr="002D0717">
              <w:rPr>
                <w:rFonts w:ascii="Arial" w:eastAsia="Arial" w:hAnsi="Arial" w:cs="Arial"/>
                <w:sz w:val="16"/>
                <w:szCs w:val="16"/>
              </w:rPr>
              <w:t xml:space="preserve"> - vozy střední/vyšší střední třídy</w:t>
            </w:r>
            <w:r w:rsidR="00B31B1F" w:rsidRPr="002D0717">
              <w:rPr>
                <w:rFonts w:ascii="Arial" w:eastAsia="Arial" w:hAnsi="Arial" w:cs="Arial"/>
                <w:sz w:val="16"/>
                <w:szCs w:val="16"/>
              </w:rPr>
              <w:t>- vždy nekuřácké, 4 roky staré a s výbavou:</w:t>
            </w:r>
          </w:p>
          <w:p w14:paraId="30D68D31" w14:textId="6142BF54" w:rsidR="00B31B1F" w:rsidRPr="002D0717" w:rsidRDefault="00B31B1F" w:rsidP="002D0717">
            <w:pPr>
              <w:pStyle w:val="Odstavecseseznamem"/>
              <w:numPr>
                <w:ilvl w:val="0"/>
                <w:numId w:val="15"/>
              </w:numPr>
              <w:pBdr>
                <w:top w:val="nil"/>
                <w:left w:val="nil"/>
                <w:bottom w:val="nil"/>
                <w:right w:val="nil"/>
                <w:between w:val="nil"/>
              </w:pBdr>
              <w:spacing w:line="240" w:lineRule="auto"/>
              <w:ind w:leftChars="0" w:firstLineChars="0"/>
              <w:contextualSpacing/>
              <w:jc w:val="both"/>
              <w:outlineLvl w:val="9"/>
              <w:rPr>
                <w:rFonts w:ascii="Arial" w:eastAsia="Arial" w:hAnsi="Arial" w:cs="Arial"/>
                <w:sz w:val="16"/>
                <w:szCs w:val="16"/>
              </w:rPr>
            </w:pPr>
            <w:r w:rsidRPr="002D0717">
              <w:rPr>
                <w:rFonts w:ascii="Arial" w:eastAsia="Arial" w:hAnsi="Arial" w:cs="Arial"/>
                <w:sz w:val="16"/>
                <w:szCs w:val="16"/>
              </w:rPr>
              <w:t>Klimatizace</w:t>
            </w:r>
          </w:p>
          <w:p w14:paraId="08EE0852" w14:textId="6943286F" w:rsidR="00B31B1F" w:rsidRPr="002D0717" w:rsidRDefault="00B31B1F" w:rsidP="002D0717">
            <w:pPr>
              <w:pStyle w:val="Odstavecseseznamem"/>
              <w:numPr>
                <w:ilvl w:val="0"/>
                <w:numId w:val="15"/>
              </w:numPr>
              <w:pBdr>
                <w:top w:val="nil"/>
                <w:left w:val="nil"/>
                <w:bottom w:val="nil"/>
                <w:right w:val="nil"/>
                <w:between w:val="nil"/>
              </w:pBdr>
              <w:spacing w:line="240" w:lineRule="auto"/>
              <w:ind w:leftChars="0" w:firstLineChars="0"/>
              <w:contextualSpacing/>
              <w:jc w:val="both"/>
              <w:outlineLvl w:val="9"/>
              <w:rPr>
                <w:rFonts w:ascii="Arial" w:eastAsia="Arial" w:hAnsi="Arial" w:cs="Arial"/>
                <w:sz w:val="16"/>
                <w:szCs w:val="16"/>
              </w:rPr>
            </w:pPr>
            <w:r w:rsidRPr="002D0717">
              <w:rPr>
                <w:rFonts w:ascii="Arial" w:eastAsia="Arial" w:hAnsi="Arial" w:cs="Arial"/>
                <w:sz w:val="16"/>
                <w:szCs w:val="16"/>
              </w:rPr>
              <w:t>Interiér i exteriér vozu vždy čistý</w:t>
            </w:r>
          </w:p>
          <w:p w14:paraId="50732116" w14:textId="32A24D50" w:rsidR="00B31B1F" w:rsidRPr="002D0717" w:rsidRDefault="00B31B1F" w:rsidP="002D0717">
            <w:pPr>
              <w:pStyle w:val="Odstavecseseznamem"/>
              <w:numPr>
                <w:ilvl w:val="0"/>
                <w:numId w:val="15"/>
              </w:numPr>
              <w:pBdr>
                <w:top w:val="nil"/>
                <w:left w:val="nil"/>
                <w:bottom w:val="nil"/>
                <w:right w:val="nil"/>
                <w:between w:val="nil"/>
              </w:pBdr>
              <w:spacing w:line="240" w:lineRule="auto"/>
              <w:ind w:leftChars="0" w:firstLineChars="0"/>
              <w:contextualSpacing/>
              <w:jc w:val="both"/>
              <w:outlineLvl w:val="9"/>
              <w:rPr>
                <w:rFonts w:ascii="Arial" w:eastAsia="Arial" w:hAnsi="Arial" w:cs="Arial"/>
                <w:sz w:val="16"/>
                <w:szCs w:val="16"/>
              </w:rPr>
            </w:pPr>
            <w:r w:rsidRPr="002D0717">
              <w:rPr>
                <w:rFonts w:ascii="Arial" w:eastAsia="Arial" w:hAnsi="Arial" w:cs="Arial"/>
                <w:sz w:val="16"/>
                <w:szCs w:val="16"/>
              </w:rPr>
              <w:t>Ve vozech TICK TACK balená voda zdarma</w:t>
            </w:r>
          </w:p>
          <w:p w14:paraId="177CBEBF" w14:textId="6032DB98" w:rsidR="00B31B1F" w:rsidRPr="002D0717" w:rsidRDefault="00B31B1F" w:rsidP="002D0717">
            <w:pPr>
              <w:pBdr>
                <w:top w:val="nil"/>
                <w:left w:val="nil"/>
                <w:bottom w:val="nil"/>
                <w:right w:val="nil"/>
                <w:between w:val="nil"/>
              </w:pBdr>
              <w:spacing w:line="240" w:lineRule="auto"/>
              <w:ind w:leftChars="0" w:left="0" w:firstLineChars="0" w:firstLine="0"/>
              <w:contextualSpacing/>
              <w:jc w:val="both"/>
              <w:outlineLvl w:val="9"/>
              <w:rPr>
                <w:rFonts w:ascii="Arial" w:eastAsia="Arial" w:hAnsi="Arial" w:cs="Arial"/>
                <w:sz w:val="16"/>
                <w:szCs w:val="16"/>
              </w:rPr>
            </w:pPr>
            <w:r w:rsidRPr="002D0717">
              <w:rPr>
                <w:rFonts w:ascii="Arial" w:eastAsia="Arial" w:hAnsi="Arial" w:cs="Arial"/>
                <w:sz w:val="16"/>
                <w:szCs w:val="16"/>
              </w:rPr>
              <w:t>Řidič provádějící přepravu bude splňovat následující podmínky:</w:t>
            </w:r>
          </w:p>
          <w:p w14:paraId="723CA9D6" w14:textId="25C13901" w:rsidR="00B31B1F" w:rsidRPr="002D0717" w:rsidRDefault="00B31B1F" w:rsidP="002D0717">
            <w:pPr>
              <w:pStyle w:val="Odstavecseseznamem"/>
              <w:numPr>
                <w:ilvl w:val="0"/>
                <w:numId w:val="16"/>
              </w:numPr>
              <w:pBdr>
                <w:top w:val="nil"/>
                <w:left w:val="nil"/>
                <w:bottom w:val="nil"/>
                <w:right w:val="nil"/>
                <w:between w:val="nil"/>
              </w:pBdr>
              <w:spacing w:line="240" w:lineRule="auto"/>
              <w:ind w:leftChars="0" w:firstLineChars="0"/>
              <w:contextualSpacing/>
              <w:jc w:val="both"/>
              <w:outlineLvl w:val="9"/>
              <w:rPr>
                <w:rFonts w:ascii="Arial" w:eastAsia="Arial" w:hAnsi="Arial" w:cs="Arial"/>
                <w:sz w:val="16"/>
                <w:szCs w:val="16"/>
              </w:rPr>
            </w:pPr>
            <w:r w:rsidRPr="002D0717">
              <w:rPr>
                <w:rFonts w:ascii="Arial" w:eastAsia="Arial" w:hAnsi="Arial" w:cs="Arial"/>
                <w:sz w:val="16"/>
                <w:szCs w:val="16"/>
              </w:rPr>
              <w:t>Jednotná uniforma (polobotky, kalhoty, košile nebo triko s límečkem)</w:t>
            </w:r>
            <w:r w:rsidR="009C4FBA" w:rsidRPr="002D0717">
              <w:rPr>
                <w:rFonts w:ascii="Arial" w:eastAsia="Arial" w:hAnsi="Arial" w:cs="Arial"/>
                <w:sz w:val="16"/>
                <w:szCs w:val="16"/>
              </w:rPr>
              <w:t>,</w:t>
            </w:r>
          </w:p>
          <w:p w14:paraId="00B4B2CF" w14:textId="48538366" w:rsidR="009C4FBA" w:rsidRPr="002D0717" w:rsidRDefault="009C4FBA" w:rsidP="002D0717">
            <w:pPr>
              <w:pStyle w:val="Odstavecseseznamem"/>
              <w:numPr>
                <w:ilvl w:val="0"/>
                <w:numId w:val="16"/>
              </w:numPr>
              <w:pBdr>
                <w:top w:val="nil"/>
                <w:left w:val="nil"/>
                <w:bottom w:val="nil"/>
                <w:right w:val="nil"/>
                <w:between w:val="nil"/>
              </w:pBdr>
              <w:spacing w:line="240" w:lineRule="auto"/>
              <w:ind w:leftChars="0" w:firstLineChars="0"/>
              <w:contextualSpacing/>
              <w:jc w:val="both"/>
              <w:outlineLvl w:val="9"/>
              <w:rPr>
                <w:rFonts w:ascii="Arial" w:eastAsia="Arial" w:hAnsi="Arial" w:cs="Arial"/>
                <w:sz w:val="16"/>
                <w:szCs w:val="16"/>
              </w:rPr>
            </w:pPr>
            <w:r w:rsidRPr="002D0717">
              <w:rPr>
                <w:rFonts w:ascii="Arial" w:eastAsia="Arial" w:hAnsi="Arial" w:cs="Arial"/>
                <w:sz w:val="16"/>
                <w:szCs w:val="16"/>
              </w:rPr>
              <w:t>Bude vždy upravený,</w:t>
            </w:r>
          </w:p>
          <w:p w14:paraId="46E4BAA5" w14:textId="5BDB0F3F" w:rsidR="009C4FBA" w:rsidRPr="002D0717" w:rsidRDefault="009C4FBA" w:rsidP="002D0717">
            <w:pPr>
              <w:pStyle w:val="Odstavecseseznamem"/>
              <w:numPr>
                <w:ilvl w:val="0"/>
                <w:numId w:val="16"/>
              </w:numPr>
              <w:pBdr>
                <w:top w:val="nil"/>
                <w:left w:val="nil"/>
                <w:bottom w:val="nil"/>
                <w:right w:val="nil"/>
                <w:between w:val="nil"/>
              </w:pBdr>
              <w:spacing w:line="240" w:lineRule="auto"/>
              <w:ind w:leftChars="0" w:firstLineChars="0"/>
              <w:contextualSpacing/>
              <w:jc w:val="both"/>
              <w:outlineLvl w:val="9"/>
              <w:rPr>
                <w:rFonts w:ascii="Arial" w:eastAsia="Arial" w:hAnsi="Arial" w:cs="Arial"/>
                <w:sz w:val="16"/>
                <w:szCs w:val="16"/>
              </w:rPr>
            </w:pPr>
            <w:r w:rsidRPr="002D0717">
              <w:rPr>
                <w:rFonts w:ascii="Arial" w:eastAsia="Arial" w:hAnsi="Arial" w:cs="Arial"/>
                <w:sz w:val="16"/>
                <w:szCs w:val="16"/>
              </w:rPr>
              <w:t>Bude ovládat angličtinu na úrovni možnosti domluvy s pasažérem,</w:t>
            </w:r>
          </w:p>
          <w:p w14:paraId="7DE4B9AD" w14:textId="73AA0B69" w:rsidR="009C4FBA" w:rsidRPr="002D0717" w:rsidRDefault="009C4FBA" w:rsidP="002D0717">
            <w:pPr>
              <w:pStyle w:val="Odstavecseseznamem"/>
              <w:numPr>
                <w:ilvl w:val="0"/>
                <w:numId w:val="16"/>
              </w:numPr>
              <w:pBdr>
                <w:top w:val="nil"/>
                <w:left w:val="nil"/>
                <w:bottom w:val="nil"/>
                <w:right w:val="nil"/>
                <w:between w:val="nil"/>
              </w:pBdr>
              <w:spacing w:line="240" w:lineRule="auto"/>
              <w:ind w:leftChars="0" w:firstLineChars="0"/>
              <w:contextualSpacing/>
              <w:jc w:val="both"/>
              <w:outlineLvl w:val="9"/>
              <w:rPr>
                <w:rFonts w:ascii="Arial" w:eastAsia="Arial" w:hAnsi="Arial" w:cs="Arial"/>
                <w:sz w:val="16"/>
                <w:szCs w:val="16"/>
              </w:rPr>
            </w:pPr>
            <w:r w:rsidRPr="002D0717">
              <w:rPr>
                <w:rFonts w:ascii="Arial" w:eastAsia="Arial" w:hAnsi="Arial" w:cs="Arial"/>
                <w:sz w:val="16"/>
                <w:szCs w:val="16"/>
              </w:rPr>
              <w:t>Ve vozech TICK TACK otevírá dveře</w:t>
            </w:r>
          </w:p>
          <w:p w14:paraId="41DD8AA0" w14:textId="77777777" w:rsidR="00BE1AD0" w:rsidRPr="002D0717" w:rsidRDefault="00A963D3" w:rsidP="002D0717">
            <w:pPr>
              <w:pBdr>
                <w:top w:val="nil"/>
                <w:left w:val="nil"/>
                <w:bottom w:val="nil"/>
                <w:right w:val="nil"/>
                <w:between w:val="nil"/>
              </w:pBdr>
              <w:tabs>
                <w:tab w:val="left" w:pos="459"/>
              </w:tabs>
              <w:spacing w:line="240" w:lineRule="auto"/>
              <w:ind w:left="0" w:hanging="2"/>
              <w:contextualSpacing/>
              <w:jc w:val="both"/>
              <w:outlineLvl w:val="9"/>
              <w:rPr>
                <w:rFonts w:ascii="Arial" w:eastAsia="Arial" w:hAnsi="Arial" w:cs="Arial"/>
                <w:sz w:val="16"/>
                <w:szCs w:val="16"/>
              </w:rPr>
            </w:pPr>
            <w:proofErr w:type="spellStart"/>
            <w:r w:rsidRPr="002D0717">
              <w:rPr>
                <w:rFonts w:ascii="Arial" w:eastAsia="Arial" w:hAnsi="Arial" w:cs="Arial"/>
                <w:b/>
                <w:sz w:val="16"/>
                <w:szCs w:val="16"/>
              </w:rPr>
              <w:t>Economy</w:t>
            </w:r>
            <w:proofErr w:type="spellEnd"/>
            <w:r w:rsidRPr="002D0717">
              <w:rPr>
                <w:rFonts w:ascii="Arial" w:eastAsia="Arial" w:hAnsi="Arial" w:cs="Arial"/>
                <w:b/>
                <w:sz w:val="16"/>
                <w:szCs w:val="16"/>
              </w:rPr>
              <w:t xml:space="preserve"> třída -  </w:t>
            </w:r>
            <w:r w:rsidRPr="002D0717">
              <w:rPr>
                <w:rFonts w:ascii="Arial" w:eastAsia="Arial" w:hAnsi="Arial" w:cs="Arial"/>
                <w:sz w:val="16"/>
                <w:szCs w:val="16"/>
              </w:rPr>
              <w:t>různé vozy</w:t>
            </w:r>
          </w:p>
        </w:tc>
      </w:tr>
      <w:tr w:rsidR="00BE1AD0" w14:paraId="06BBFEC3" w14:textId="77777777" w:rsidTr="00474112">
        <w:tc>
          <w:tcPr>
            <w:tcW w:w="1610" w:type="dxa"/>
            <w:tcBorders>
              <w:top w:val="single" w:sz="4" w:space="0" w:color="000000"/>
              <w:left w:val="single" w:sz="4" w:space="0" w:color="000000"/>
              <w:bottom w:val="single" w:sz="4" w:space="0" w:color="000000"/>
            </w:tcBorders>
          </w:tcPr>
          <w:p w14:paraId="2D07FBC3" w14:textId="3FE3F255" w:rsidR="00BE1AD0" w:rsidRPr="00474112" w:rsidRDefault="00A963D3" w:rsidP="00474112">
            <w:pPr>
              <w:pStyle w:val="Odstavecseseznamem"/>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474112">
              <w:rPr>
                <w:rFonts w:ascii="Arial" w:eastAsia="Arial" w:hAnsi="Arial" w:cs="Arial"/>
                <w:b/>
                <w:color w:val="000000"/>
                <w:sz w:val="16"/>
                <w:szCs w:val="16"/>
              </w:rPr>
              <w:t>Objednávka Přeprav</w:t>
            </w:r>
          </w:p>
        </w:tc>
        <w:tc>
          <w:tcPr>
            <w:tcW w:w="9106" w:type="dxa"/>
            <w:gridSpan w:val="2"/>
            <w:tcBorders>
              <w:top w:val="single" w:sz="4" w:space="0" w:color="000000"/>
              <w:left w:val="single" w:sz="4" w:space="0" w:color="000000"/>
              <w:bottom w:val="single" w:sz="4" w:space="0" w:color="000000"/>
              <w:right w:val="single" w:sz="4" w:space="0" w:color="000000"/>
            </w:tcBorders>
          </w:tcPr>
          <w:p w14:paraId="26523C49" w14:textId="77777777" w:rsidR="00BE1AD0" w:rsidRPr="002D0717" w:rsidRDefault="00A963D3" w:rsidP="002D0717">
            <w:pPr>
              <w:pBdr>
                <w:top w:val="nil"/>
                <w:left w:val="nil"/>
                <w:bottom w:val="nil"/>
                <w:right w:val="nil"/>
                <w:between w:val="nil"/>
              </w:pBdr>
              <w:spacing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Objednávání Přeprav je možné nonstop, tj. 24 hodin denně, 7 dní v týdnu prostřednictvím:</w:t>
            </w:r>
          </w:p>
          <w:p w14:paraId="09EBCC5E" w14:textId="77777777" w:rsidR="00BE1AD0" w:rsidRPr="002D0717" w:rsidRDefault="00A963D3" w:rsidP="002D0717">
            <w:pPr>
              <w:numPr>
                <w:ilvl w:val="0"/>
                <w:numId w:val="14"/>
              </w:numPr>
              <w:tabs>
                <w:tab w:val="left" w:pos="467"/>
                <w:tab w:val="left" w:pos="720"/>
              </w:tabs>
              <w:spacing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 xml:space="preserve">telefonního čísla: </w:t>
            </w:r>
            <w:r w:rsidRPr="002D0717">
              <w:rPr>
                <w:rFonts w:ascii="Arial" w:eastAsia="Arial" w:hAnsi="Arial" w:cs="Arial"/>
                <w:b/>
                <w:sz w:val="16"/>
                <w:szCs w:val="16"/>
              </w:rPr>
              <w:t>+420 266 77 66 77</w:t>
            </w:r>
            <w:r w:rsidRPr="002D0717">
              <w:rPr>
                <w:rFonts w:ascii="Arial" w:eastAsia="Arial" w:hAnsi="Arial" w:cs="Arial"/>
                <w:sz w:val="16"/>
                <w:szCs w:val="16"/>
              </w:rPr>
              <w:t xml:space="preserve"> – vždy nutné sdělit o jakou flotilu máte zájem,</w:t>
            </w:r>
          </w:p>
          <w:p w14:paraId="360BE566" w14:textId="77777777" w:rsidR="00BE1AD0" w:rsidRPr="002D0717" w:rsidRDefault="00A963D3" w:rsidP="002D0717">
            <w:pPr>
              <w:numPr>
                <w:ilvl w:val="0"/>
                <w:numId w:val="14"/>
              </w:numPr>
              <w:pBdr>
                <w:top w:val="nil"/>
                <w:left w:val="nil"/>
                <w:bottom w:val="nil"/>
                <w:right w:val="nil"/>
                <w:between w:val="nil"/>
              </w:pBdr>
              <w:tabs>
                <w:tab w:val="left" w:pos="467"/>
                <w:tab w:val="left" w:pos="720"/>
              </w:tabs>
              <w:spacing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 xml:space="preserve">e-mailu: </w:t>
            </w:r>
            <w:hyperlink r:id="rId9">
              <w:r w:rsidRPr="002D0717">
                <w:rPr>
                  <w:rFonts w:ascii="Arial" w:eastAsia="Arial" w:hAnsi="Arial" w:cs="Arial"/>
                  <w:sz w:val="16"/>
                  <w:szCs w:val="16"/>
                  <w:u w:val="single"/>
                </w:rPr>
                <w:t>objednavka@ticktack.cz</w:t>
              </w:r>
            </w:hyperlink>
          </w:p>
          <w:p w14:paraId="016C5D30" w14:textId="77777777" w:rsidR="00BE1AD0" w:rsidRPr="002D0717" w:rsidRDefault="00A963D3" w:rsidP="002D0717">
            <w:pPr>
              <w:numPr>
                <w:ilvl w:val="0"/>
                <w:numId w:val="14"/>
              </w:numPr>
              <w:tabs>
                <w:tab w:val="left" w:pos="467"/>
                <w:tab w:val="left" w:pos="720"/>
              </w:tabs>
              <w:spacing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 xml:space="preserve">Business portálu (mobilní či webová aplikace </w:t>
            </w:r>
            <w:r w:rsidRPr="002D0717">
              <w:rPr>
                <w:rFonts w:ascii="Arial" w:eastAsia="Arial" w:hAnsi="Arial" w:cs="Arial"/>
                <w:b/>
                <w:sz w:val="16"/>
                <w:szCs w:val="16"/>
              </w:rPr>
              <w:t>SVEZ.SE</w:t>
            </w:r>
            <w:r w:rsidRPr="002D0717">
              <w:rPr>
                <w:rFonts w:ascii="Arial" w:eastAsia="Arial" w:hAnsi="Arial" w:cs="Arial"/>
                <w:sz w:val="16"/>
                <w:szCs w:val="16"/>
              </w:rPr>
              <w:t>).</w:t>
            </w:r>
          </w:p>
          <w:p w14:paraId="68C8C71E" w14:textId="77777777" w:rsidR="00BE1AD0" w:rsidRPr="002D0717" w:rsidRDefault="00A963D3" w:rsidP="002D0717">
            <w:pPr>
              <w:pBdr>
                <w:top w:val="nil"/>
                <w:left w:val="nil"/>
                <w:bottom w:val="nil"/>
                <w:right w:val="nil"/>
                <w:between w:val="nil"/>
              </w:pBdr>
              <w:spacing w:line="240" w:lineRule="auto"/>
              <w:ind w:left="0" w:hanging="2"/>
              <w:contextualSpacing/>
              <w:jc w:val="both"/>
              <w:outlineLvl w:val="9"/>
              <w:rPr>
                <w:rFonts w:ascii="Arial" w:eastAsia="Arial" w:hAnsi="Arial" w:cs="Arial"/>
                <w:b/>
                <w:sz w:val="16"/>
                <w:szCs w:val="16"/>
              </w:rPr>
            </w:pPr>
            <w:r w:rsidRPr="002D0717">
              <w:rPr>
                <w:rFonts w:ascii="Arial" w:eastAsia="Arial" w:hAnsi="Arial" w:cs="Arial"/>
                <w:b/>
                <w:sz w:val="16"/>
                <w:szCs w:val="16"/>
              </w:rPr>
              <w:t>Administrátor  Klienta</w:t>
            </w:r>
          </w:p>
          <w:p w14:paraId="798BABB7" w14:textId="1E233BC9" w:rsidR="00BE1AD0" w:rsidRPr="002D0717" w:rsidRDefault="00A963D3" w:rsidP="002D0717">
            <w:pPr>
              <w:pBdr>
                <w:top w:val="nil"/>
                <w:left w:val="nil"/>
                <w:bottom w:val="nil"/>
                <w:right w:val="nil"/>
                <w:between w:val="nil"/>
              </w:pBdr>
              <w:spacing w:line="240" w:lineRule="auto"/>
              <w:ind w:left="0" w:hanging="2"/>
              <w:contextualSpacing/>
              <w:jc w:val="both"/>
              <w:outlineLvl w:val="9"/>
              <w:rPr>
                <w:rFonts w:ascii="Arial" w:eastAsia="Arial" w:hAnsi="Arial" w:cs="Arial"/>
                <w:sz w:val="16"/>
                <w:szCs w:val="16"/>
              </w:rPr>
            </w:pPr>
            <w:proofErr w:type="spellStart"/>
            <w:r w:rsidRPr="002D0717">
              <w:rPr>
                <w:rFonts w:ascii="Arial" w:eastAsia="Arial" w:hAnsi="Arial" w:cs="Arial"/>
                <w:sz w:val="16"/>
                <w:szCs w:val="16"/>
              </w:rPr>
              <w:t>jméno:</w:t>
            </w:r>
            <w:r w:rsidR="00A62E71">
              <w:rPr>
                <w:rFonts w:ascii="Arial" w:eastAsia="Arial" w:hAnsi="Arial" w:cs="Arial"/>
                <w:sz w:val="16"/>
                <w:szCs w:val="16"/>
              </w:rPr>
              <w:t>xxxxxxxxx</w:t>
            </w:r>
            <w:proofErr w:type="spellEnd"/>
          </w:p>
          <w:p w14:paraId="7E477D85" w14:textId="196550E8" w:rsidR="00BE1AD0" w:rsidRPr="002D0717" w:rsidRDefault="00A963D3" w:rsidP="002D0717">
            <w:pPr>
              <w:pBdr>
                <w:top w:val="nil"/>
                <w:left w:val="nil"/>
                <w:bottom w:val="nil"/>
                <w:right w:val="nil"/>
                <w:between w:val="nil"/>
              </w:pBdr>
              <w:spacing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email:</w:t>
            </w:r>
            <w:r w:rsidR="00A32346" w:rsidRPr="002D0717">
              <w:rPr>
                <w:rFonts w:ascii="Arial" w:eastAsia="Arial" w:hAnsi="Arial" w:cs="Arial"/>
                <w:sz w:val="16"/>
                <w:szCs w:val="16"/>
              </w:rPr>
              <w:t xml:space="preserve"> </w:t>
            </w:r>
            <w:proofErr w:type="spellStart"/>
            <w:r w:rsidR="00A62E71">
              <w:rPr>
                <w:rFonts w:ascii="Arial" w:eastAsia="Arial" w:hAnsi="Arial" w:cs="Arial"/>
                <w:sz w:val="16"/>
                <w:szCs w:val="16"/>
              </w:rPr>
              <w:t>xxxxxxxxxx</w:t>
            </w:r>
            <w:proofErr w:type="spellEnd"/>
          </w:p>
          <w:p w14:paraId="17A742D7" w14:textId="65F178D3" w:rsidR="00BE1AD0" w:rsidRPr="002D0717" w:rsidRDefault="00A963D3" w:rsidP="00A62E71">
            <w:pPr>
              <w:pBdr>
                <w:top w:val="nil"/>
                <w:left w:val="nil"/>
                <w:bottom w:val="nil"/>
                <w:right w:val="nil"/>
                <w:between w:val="nil"/>
              </w:pBdr>
              <w:spacing w:line="240" w:lineRule="auto"/>
              <w:ind w:left="0" w:hanging="2"/>
              <w:contextualSpacing/>
              <w:jc w:val="both"/>
              <w:outlineLvl w:val="9"/>
              <w:rPr>
                <w:rFonts w:ascii="Arial" w:eastAsia="Arial" w:hAnsi="Arial" w:cs="Arial"/>
                <w:sz w:val="16"/>
                <w:szCs w:val="16"/>
              </w:rPr>
            </w:pPr>
            <w:proofErr w:type="spellStart"/>
            <w:r w:rsidRPr="002D0717">
              <w:rPr>
                <w:rFonts w:ascii="Arial" w:eastAsia="Arial" w:hAnsi="Arial" w:cs="Arial"/>
                <w:sz w:val="16"/>
                <w:szCs w:val="16"/>
              </w:rPr>
              <w:t>telefon:</w:t>
            </w:r>
            <w:r w:rsidR="00A62E71">
              <w:rPr>
                <w:rFonts w:ascii="Arial" w:eastAsia="Arial" w:hAnsi="Arial" w:cs="Arial"/>
                <w:sz w:val="16"/>
                <w:szCs w:val="16"/>
              </w:rPr>
              <w:t>xxxxxxxxx</w:t>
            </w:r>
            <w:proofErr w:type="spellEnd"/>
          </w:p>
        </w:tc>
      </w:tr>
      <w:tr w:rsidR="00BE1AD0" w14:paraId="4D2D63B7" w14:textId="77777777" w:rsidTr="00474112">
        <w:trPr>
          <w:trHeight w:val="390"/>
        </w:trPr>
        <w:tc>
          <w:tcPr>
            <w:tcW w:w="1610" w:type="dxa"/>
            <w:tcBorders>
              <w:top w:val="single" w:sz="4" w:space="0" w:color="000000"/>
              <w:left w:val="single" w:sz="4" w:space="0" w:color="000000"/>
              <w:bottom w:val="single" w:sz="4" w:space="0" w:color="000000"/>
            </w:tcBorders>
          </w:tcPr>
          <w:p w14:paraId="75292B58" w14:textId="787351F4" w:rsidR="00BE1AD0" w:rsidRPr="00474112" w:rsidRDefault="00A963D3" w:rsidP="00474112">
            <w:pPr>
              <w:pStyle w:val="Odstavecseseznamem"/>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474112">
              <w:rPr>
                <w:rFonts w:ascii="Arial" w:eastAsia="Arial" w:hAnsi="Arial" w:cs="Arial"/>
                <w:b/>
                <w:color w:val="000000"/>
                <w:sz w:val="16"/>
                <w:szCs w:val="16"/>
              </w:rPr>
              <w:t>Cena Přeprav</w:t>
            </w:r>
          </w:p>
        </w:tc>
        <w:tc>
          <w:tcPr>
            <w:tcW w:w="9106" w:type="dxa"/>
            <w:gridSpan w:val="2"/>
            <w:tcBorders>
              <w:top w:val="single" w:sz="4" w:space="0" w:color="000000"/>
              <w:left w:val="single" w:sz="4" w:space="0" w:color="000000"/>
              <w:bottom w:val="single" w:sz="4" w:space="0" w:color="000000"/>
              <w:right w:val="single" w:sz="4" w:space="0" w:color="000000"/>
            </w:tcBorders>
          </w:tcPr>
          <w:p w14:paraId="2BFA5079" w14:textId="77777777" w:rsidR="00BE1AD0" w:rsidRPr="002D0717" w:rsidRDefault="00A963D3" w:rsidP="002D0717">
            <w:pPr>
              <w:pBdr>
                <w:top w:val="nil"/>
                <w:left w:val="nil"/>
                <w:bottom w:val="nil"/>
                <w:right w:val="nil"/>
                <w:between w:val="nil"/>
              </w:pBdr>
              <w:spacing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Přepravy budou provedeny za ceny ve výši uvedené ve vedlejším ujednání ke Smlouvě – Ceníku.</w:t>
            </w:r>
          </w:p>
          <w:p w14:paraId="4770CB20" w14:textId="415A52BA" w:rsidR="004331C6" w:rsidRPr="002D0717" w:rsidRDefault="004331C6" w:rsidP="002D0717">
            <w:pPr>
              <w:pBdr>
                <w:top w:val="nil"/>
                <w:left w:val="nil"/>
                <w:bottom w:val="nil"/>
                <w:right w:val="nil"/>
                <w:between w:val="nil"/>
              </w:pBdr>
              <w:spacing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Plnění dle této smlouvy nepřesáhne celkovou maximální částku ve výši 200.000 Kč (</w:t>
            </w:r>
            <w:proofErr w:type="spellStart"/>
            <w:r w:rsidRPr="002D0717">
              <w:rPr>
                <w:rFonts w:ascii="Arial" w:eastAsia="Arial" w:hAnsi="Arial" w:cs="Arial"/>
                <w:sz w:val="16"/>
                <w:szCs w:val="16"/>
              </w:rPr>
              <w:t>slovy:dvěstětisíc</w:t>
            </w:r>
            <w:proofErr w:type="spellEnd"/>
            <w:r w:rsidRPr="002D0717">
              <w:rPr>
                <w:rFonts w:ascii="Arial" w:eastAsia="Arial" w:hAnsi="Arial" w:cs="Arial"/>
                <w:sz w:val="16"/>
                <w:szCs w:val="16"/>
              </w:rPr>
              <w:t xml:space="preserve"> korun českých).</w:t>
            </w:r>
          </w:p>
        </w:tc>
      </w:tr>
      <w:tr w:rsidR="00BE1AD0" w14:paraId="0FA707E6" w14:textId="77777777" w:rsidTr="00474112">
        <w:trPr>
          <w:trHeight w:val="206"/>
        </w:trPr>
        <w:tc>
          <w:tcPr>
            <w:tcW w:w="1610" w:type="dxa"/>
            <w:tcBorders>
              <w:top w:val="single" w:sz="4" w:space="0" w:color="000000"/>
              <w:left w:val="single" w:sz="4" w:space="0" w:color="000000"/>
              <w:bottom w:val="single" w:sz="4" w:space="0" w:color="000000"/>
            </w:tcBorders>
          </w:tcPr>
          <w:p w14:paraId="61573C32" w14:textId="2672E429" w:rsidR="00BE1AD0" w:rsidRPr="00474112" w:rsidRDefault="00A963D3" w:rsidP="00474112">
            <w:pPr>
              <w:pStyle w:val="Odstavecseseznamem"/>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474112">
              <w:rPr>
                <w:rFonts w:ascii="Arial" w:eastAsia="Arial" w:hAnsi="Arial" w:cs="Arial"/>
                <w:b/>
                <w:color w:val="000000"/>
                <w:sz w:val="16"/>
                <w:szCs w:val="16"/>
              </w:rPr>
              <w:t>Splatnost</w:t>
            </w:r>
          </w:p>
        </w:tc>
        <w:tc>
          <w:tcPr>
            <w:tcW w:w="9106" w:type="dxa"/>
            <w:gridSpan w:val="2"/>
            <w:tcBorders>
              <w:top w:val="single" w:sz="4" w:space="0" w:color="000000"/>
              <w:left w:val="single" w:sz="4" w:space="0" w:color="000000"/>
              <w:bottom w:val="single" w:sz="4" w:space="0" w:color="000000"/>
              <w:right w:val="single" w:sz="4" w:space="0" w:color="000000"/>
            </w:tcBorders>
          </w:tcPr>
          <w:p w14:paraId="6AAD2666" w14:textId="38B440C9" w:rsidR="00BE1AD0" w:rsidRPr="00474112" w:rsidRDefault="00A963D3" w:rsidP="00474112">
            <w:pPr>
              <w:pStyle w:val="Odstavecseseznamem"/>
              <w:numPr>
                <w:ilvl w:val="0"/>
                <w:numId w:val="20"/>
              </w:numPr>
              <w:pBdr>
                <w:top w:val="nil"/>
                <w:left w:val="nil"/>
                <w:bottom w:val="nil"/>
                <w:right w:val="nil"/>
                <w:between w:val="nil"/>
              </w:pBdr>
              <w:spacing w:after="60" w:line="240" w:lineRule="auto"/>
              <w:ind w:leftChars="0" w:firstLineChars="0"/>
              <w:contextualSpacing/>
              <w:jc w:val="both"/>
              <w:outlineLvl w:val="9"/>
              <w:rPr>
                <w:rFonts w:ascii="Arial" w:eastAsia="Arial" w:hAnsi="Arial" w:cs="Arial"/>
                <w:sz w:val="16"/>
                <w:szCs w:val="16"/>
              </w:rPr>
            </w:pPr>
            <w:proofErr w:type="spellStart"/>
            <w:r w:rsidRPr="00474112">
              <w:rPr>
                <w:rFonts w:ascii="Arial" w:eastAsia="Arial" w:hAnsi="Arial" w:cs="Arial"/>
                <w:b/>
                <w:sz w:val="16"/>
                <w:szCs w:val="16"/>
              </w:rPr>
              <w:t>nů</w:t>
            </w:r>
            <w:proofErr w:type="spellEnd"/>
            <w:r w:rsidRPr="00474112">
              <w:rPr>
                <w:rFonts w:ascii="Arial" w:eastAsia="Arial" w:hAnsi="Arial" w:cs="Arial"/>
                <w:sz w:val="16"/>
                <w:szCs w:val="16"/>
              </w:rPr>
              <w:t xml:space="preserve"> ode dne vystavení daňového dokladu.</w:t>
            </w:r>
          </w:p>
        </w:tc>
      </w:tr>
      <w:tr w:rsidR="00BE1AD0" w14:paraId="4DE60652" w14:textId="77777777" w:rsidTr="00474112">
        <w:trPr>
          <w:trHeight w:val="632"/>
        </w:trPr>
        <w:tc>
          <w:tcPr>
            <w:tcW w:w="1610" w:type="dxa"/>
            <w:tcBorders>
              <w:top w:val="single" w:sz="4" w:space="0" w:color="000000"/>
              <w:left w:val="single" w:sz="4" w:space="0" w:color="000000"/>
              <w:bottom w:val="single" w:sz="4" w:space="0" w:color="000000"/>
            </w:tcBorders>
          </w:tcPr>
          <w:p w14:paraId="15E6CB2A" w14:textId="352A0A32" w:rsidR="00BE1AD0" w:rsidRPr="00474112" w:rsidRDefault="00A963D3" w:rsidP="00474112">
            <w:pPr>
              <w:pStyle w:val="Odstavecseseznamem"/>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474112">
              <w:rPr>
                <w:rFonts w:ascii="Arial" w:eastAsia="Arial" w:hAnsi="Arial" w:cs="Arial"/>
                <w:b/>
                <w:color w:val="000000"/>
                <w:sz w:val="16"/>
                <w:szCs w:val="16"/>
              </w:rPr>
              <w:t>Reklamace</w:t>
            </w:r>
          </w:p>
        </w:tc>
        <w:tc>
          <w:tcPr>
            <w:tcW w:w="9106" w:type="dxa"/>
            <w:gridSpan w:val="2"/>
            <w:tcBorders>
              <w:top w:val="single" w:sz="4" w:space="0" w:color="000000"/>
              <w:left w:val="single" w:sz="4" w:space="0" w:color="000000"/>
              <w:bottom w:val="single" w:sz="4" w:space="0" w:color="000000"/>
              <w:right w:val="single" w:sz="4" w:space="0" w:color="000000"/>
            </w:tcBorders>
          </w:tcPr>
          <w:p w14:paraId="520CBE1B" w14:textId="77777777" w:rsidR="00BE1AD0" w:rsidRPr="002D0717" w:rsidRDefault="00A963D3" w:rsidP="002D0717">
            <w:pPr>
              <w:pBdr>
                <w:top w:val="nil"/>
                <w:left w:val="nil"/>
                <w:bottom w:val="nil"/>
                <w:right w:val="nil"/>
                <w:between w:val="nil"/>
              </w:pBdr>
              <w:spacing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V případě, že TT nedodrží smluvené podmínky je Klient oprávněn tuto skutečnost reklamovat na adrese reditel@ticktack.cz, a to do 7 dní od uskutečnění jízdy. TT je povinen se k reklamaci vyjádřit nejpozději do 14 dní. Nároky z vadného plnění se řídí příslušnými ustanoveními této Smlouvy a zákonem č. 89/2012 Sb., občanský zákoník („</w:t>
            </w:r>
            <w:r w:rsidRPr="002D0717">
              <w:rPr>
                <w:rFonts w:ascii="Arial" w:eastAsia="Arial" w:hAnsi="Arial" w:cs="Arial"/>
                <w:b/>
                <w:sz w:val="16"/>
                <w:szCs w:val="16"/>
              </w:rPr>
              <w:t>NOZ</w:t>
            </w:r>
            <w:r w:rsidRPr="002D0717">
              <w:rPr>
                <w:rFonts w:ascii="Arial" w:eastAsia="Arial" w:hAnsi="Arial" w:cs="Arial"/>
                <w:sz w:val="16"/>
                <w:szCs w:val="16"/>
              </w:rPr>
              <w:t>“).</w:t>
            </w:r>
          </w:p>
        </w:tc>
      </w:tr>
      <w:tr w:rsidR="00BE1AD0" w14:paraId="74D72271" w14:textId="77777777" w:rsidTr="00474112">
        <w:tc>
          <w:tcPr>
            <w:tcW w:w="1610" w:type="dxa"/>
            <w:tcBorders>
              <w:top w:val="single" w:sz="4" w:space="0" w:color="000000"/>
              <w:left w:val="single" w:sz="4" w:space="0" w:color="000000"/>
              <w:bottom w:val="single" w:sz="4" w:space="0" w:color="000000"/>
            </w:tcBorders>
          </w:tcPr>
          <w:p w14:paraId="0C8D62F1" w14:textId="1E26BB6D" w:rsidR="00BE1AD0" w:rsidRPr="00474112" w:rsidRDefault="00A963D3" w:rsidP="00474112">
            <w:pPr>
              <w:pStyle w:val="Odstavecseseznamem"/>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474112">
              <w:rPr>
                <w:rFonts w:ascii="Arial" w:eastAsia="Arial" w:hAnsi="Arial" w:cs="Arial"/>
                <w:b/>
                <w:color w:val="000000"/>
                <w:sz w:val="16"/>
                <w:szCs w:val="16"/>
              </w:rPr>
              <w:t xml:space="preserve">Další podmínky </w:t>
            </w:r>
          </w:p>
        </w:tc>
        <w:tc>
          <w:tcPr>
            <w:tcW w:w="9106" w:type="dxa"/>
            <w:gridSpan w:val="2"/>
            <w:tcBorders>
              <w:top w:val="single" w:sz="4" w:space="0" w:color="000000"/>
              <w:left w:val="single" w:sz="4" w:space="0" w:color="000000"/>
              <w:bottom w:val="single" w:sz="4" w:space="0" w:color="000000"/>
              <w:right w:val="single" w:sz="4" w:space="0" w:color="000000"/>
            </w:tcBorders>
          </w:tcPr>
          <w:p w14:paraId="63578AF0" w14:textId="33E7C3B9" w:rsidR="004331C6" w:rsidRPr="002D0717" w:rsidRDefault="004331C6" w:rsidP="002D0717">
            <w:pPr>
              <w:pBdr>
                <w:top w:val="nil"/>
                <w:left w:val="nil"/>
                <w:bottom w:val="nil"/>
                <w:right w:val="nil"/>
                <w:between w:val="nil"/>
              </w:pBdr>
              <w:spacing w:after="60"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Klient.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2719614A" w14:textId="35784E10" w:rsidR="00BE1AD0" w:rsidRPr="002D0717" w:rsidRDefault="00A963D3" w:rsidP="002D0717">
            <w:pPr>
              <w:pBdr>
                <w:top w:val="nil"/>
                <w:left w:val="nil"/>
                <w:bottom w:val="nil"/>
                <w:right w:val="nil"/>
                <w:between w:val="nil"/>
              </w:pBdr>
              <w:spacing w:after="60"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 xml:space="preserve">Další podmínky provádění Přeprav jsou stanoveny ve Všeobecných obchodních podmínkách k Rámcové smlouvě o přepravě TT </w:t>
            </w:r>
            <w:proofErr w:type="spellStart"/>
            <w:r w:rsidRPr="002D0717">
              <w:rPr>
                <w:rFonts w:ascii="Arial" w:eastAsia="Arial" w:hAnsi="Arial" w:cs="Arial"/>
                <w:sz w:val="16"/>
                <w:szCs w:val="16"/>
              </w:rPr>
              <w:t>Comfort</w:t>
            </w:r>
            <w:proofErr w:type="spellEnd"/>
            <w:r w:rsidRPr="002D0717">
              <w:rPr>
                <w:rFonts w:ascii="Arial" w:eastAsia="Arial" w:hAnsi="Arial" w:cs="Arial"/>
                <w:sz w:val="16"/>
                <w:szCs w:val="16"/>
              </w:rPr>
              <w:t xml:space="preserve"> </w:t>
            </w:r>
            <w:proofErr w:type="spellStart"/>
            <w:r w:rsidRPr="002D0717">
              <w:rPr>
                <w:rFonts w:ascii="Arial" w:eastAsia="Arial" w:hAnsi="Arial" w:cs="Arial"/>
                <w:sz w:val="16"/>
                <w:szCs w:val="16"/>
              </w:rPr>
              <w:t>Class</w:t>
            </w:r>
            <w:proofErr w:type="spellEnd"/>
            <w:r w:rsidRPr="002D0717">
              <w:rPr>
                <w:rFonts w:ascii="Arial" w:eastAsia="Arial" w:hAnsi="Arial" w:cs="Arial"/>
                <w:sz w:val="16"/>
                <w:szCs w:val="16"/>
              </w:rPr>
              <w:t xml:space="preserve"> s.r.o. („</w:t>
            </w:r>
            <w:r w:rsidRPr="002D0717">
              <w:rPr>
                <w:rFonts w:ascii="Arial" w:eastAsia="Arial" w:hAnsi="Arial" w:cs="Arial"/>
                <w:b/>
                <w:sz w:val="16"/>
                <w:szCs w:val="16"/>
              </w:rPr>
              <w:t>VOP</w:t>
            </w:r>
            <w:r w:rsidRPr="002D0717">
              <w:rPr>
                <w:rFonts w:ascii="Arial" w:eastAsia="Arial" w:hAnsi="Arial" w:cs="Arial"/>
                <w:sz w:val="16"/>
                <w:szCs w:val="16"/>
              </w:rPr>
              <w:t>“), přílohách a vedlejších ujednání k této Smlouvě, se kterými se Klient před podpisem Smlouvy seznámil a které Klient podpisem této Smlouvy akceptuje. Není-li v této Smlouvě dohodnuto jinak, řídí se Smlouva a všechna práva, povinnosti a právní vztahy, které z ní vyplývají nebo s ní souvisí, zákonem č. 89/2012 Sb., občanský zákoník („</w:t>
            </w:r>
            <w:r w:rsidRPr="002D0717">
              <w:rPr>
                <w:rFonts w:ascii="Arial" w:eastAsia="Arial" w:hAnsi="Arial" w:cs="Arial"/>
                <w:b/>
                <w:sz w:val="16"/>
                <w:szCs w:val="16"/>
              </w:rPr>
              <w:t>NOZ</w:t>
            </w:r>
            <w:r w:rsidRPr="002D0717">
              <w:rPr>
                <w:rFonts w:ascii="Arial" w:eastAsia="Arial" w:hAnsi="Arial" w:cs="Arial"/>
                <w:sz w:val="16"/>
                <w:szCs w:val="16"/>
              </w:rPr>
              <w:t xml:space="preserve">“) a ustanovením § 21 odst. 4 zákona č. 111/1994 Sb., o silniční dopravě. </w:t>
            </w:r>
          </w:p>
          <w:p w14:paraId="13B60E08" w14:textId="77777777" w:rsidR="00BE1AD0" w:rsidRPr="002D0717" w:rsidRDefault="00A963D3" w:rsidP="002D0717">
            <w:pPr>
              <w:pBdr>
                <w:top w:val="nil"/>
                <w:left w:val="nil"/>
                <w:bottom w:val="nil"/>
                <w:right w:val="nil"/>
                <w:between w:val="nil"/>
              </w:pBdr>
              <w:spacing w:after="60"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 xml:space="preserve">Smluvní strany prohlašují, že si Smlouvu a její přílohy před jejím podpisem přečetly, že jsou v nich srozumitelně a jednoznačně formulované práva, povinnosti a vzájemné vztahy, že rozumí v plném rozsahu jejich obsahu Smlouvy a bez výhrad s ním souhlasí, že tuto Smlouvu uzavírají s vážnými úmysly, po vzájemném projednání a ze své pravé a svobodné vůle. </w:t>
            </w:r>
          </w:p>
          <w:p w14:paraId="4A44FA95" w14:textId="77777777" w:rsidR="00BE1AD0" w:rsidRPr="002D0717" w:rsidRDefault="00A963D3" w:rsidP="002D0717">
            <w:pPr>
              <w:pBdr>
                <w:top w:val="nil"/>
                <w:left w:val="nil"/>
                <w:bottom w:val="nil"/>
                <w:right w:val="nil"/>
                <w:between w:val="nil"/>
              </w:pBdr>
              <w:spacing w:after="60"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Smluvní strany se dohodly na odchýlení od ustanovení NOZ o smlouvách uzavíraných adhezním způsobem a vylučují případnou neplatnost ustanovení této Smlouvy pro rozpor s uvedenými ustanoveními o smlouvách uzavíraných adhezním způsobem (zejména doložek odkazujících na podmínky mimo vlastní text této Smlouvy, doložek, které lze přečíst jen se zvláštními obtížemi, nebo doložek, které jsou pro osobu průměrného rozumu nesrozumitelné, a doložek, které jsou zvláště nevýhodné).</w:t>
            </w:r>
          </w:p>
          <w:p w14:paraId="534E1060" w14:textId="77777777" w:rsidR="00BE1AD0" w:rsidRPr="002D0717" w:rsidRDefault="00A963D3" w:rsidP="002D0717">
            <w:pPr>
              <w:pBdr>
                <w:top w:val="nil"/>
                <w:left w:val="nil"/>
                <w:bottom w:val="nil"/>
                <w:right w:val="nil"/>
                <w:between w:val="nil"/>
              </w:pBdr>
              <w:spacing w:after="60" w:line="240" w:lineRule="auto"/>
              <w:ind w:left="0" w:hanging="2"/>
              <w:contextualSpacing/>
              <w:jc w:val="both"/>
              <w:outlineLvl w:val="9"/>
              <w:rPr>
                <w:rFonts w:ascii="Arial" w:eastAsia="Arial" w:hAnsi="Arial" w:cs="Arial"/>
                <w:sz w:val="16"/>
                <w:szCs w:val="16"/>
              </w:rPr>
            </w:pPr>
            <w:r w:rsidRPr="002D0717">
              <w:rPr>
                <w:rFonts w:ascii="Arial" w:eastAsia="Arial" w:hAnsi="Arial" w:cs="Arial"/>
                <w:sz w:val="16"/>
                <w:szCs w:val="16"/>
              </w:rPr>
              <w:t>Tato Smlouva je vyhotovena ve dvou vyhotoveních, z nichž Klient obdrží jedno vyhotovení a TT obdrží druhé vyhotovení.</w:t>
            </w:r>
          </w:p>
        </w:tc>
      </w:tr>
      <w:tr w:rsidR="00BE1AD0" w14:paraId="6B974E0D" w14:textId="77777777">
        <w:tc>
          <w:tcPr>
            <w:tcW w:w="5303" w:type="dxa"/>
            <w:gridSpan w:val="2"/>
            <w:tcBorders>
              <w:top w:val="single" w:sz="4" w:space="0" w:color="000000"/>
              <w:left w:val="single" w:sz="4" w:space="0" w:color="000000"/>
              <w:bottom w:val="single" w:sz="4" w:space="0" w:color="000000"/>
            </w:tcBorders>
          </w:tcPr>
          <w:p w14:paraId="7C5134A5" w14:textId="60873A7B" w:rsidR="00BE1AD0" w:rsidRDefault="00A963D3" w:rsidP="00A62E71">
            <w:pPr>
              <w:pBdr>
                <w:top w:val="nil"/>
                <w:left w:val="nil"/>
                <w:bottom w:val="nil"/>
                <w:right w:val="nil"/>
                <w:between w:val="nil"/>
              </w:pBdr>
              <w:tabs>
                <w:tab w:val="left" w:pos="3060"/>
              </w:tabs>
              <w:spacing w:line="240" w:lineRule="auto"/>
              <w:ind w:left="0" w:hanging="2"/>
              <w:rPr>
                <w:rFonts w:ascii="Arial" w:eastAsia="Arial" w:hAnsi="Arial" w:cs="Arial"/>
                <w:color w:val="000000"/>
              </w:rPr>
            </w:pPr>
            <w:r>
              <w:rPr>
                <w:rFonts w:ascii="Arial" w:eastAsia="Arial" w:hAnsi="Arial" w:cs="Arial"/>
                <w:color w:val="000000"/>
                <w:sz w:val="16"/>
                <w:szCs w:val="16"/>
              </w:rPr>
              <w:t xml:space="preserve">Místo: </w:t>
            </w:r>
            <w:r w:rsidR="002040B3">
              <w:rPr>
                <w:rFonts w:ascii="Arial" w:eastAsia="Arial" w:hAnsi="Arial" w:cs="Arial"/>
                <w:color w:val="000000"/>
                <w:sz w:val="16"/>
                <w:szCs w:val="16"/>
              </w:rPr>
              <w:t>Praha</w:t>
            </w:r>
            <w:r>
              <w:rPr>
                <w:rFonts w:ascii="Arial" w:eastAsia="Arial" w:hAnsi="Arial" w:cs="Arial"/>
                <w:color w:val="000000"/>
                <w:sz w:val="16"/>
                <w:szCs w:val="16"/>
              </w:rPr>
              <w:t xml:space="preserve">                   Datum: </w:t>
            </w:r>
            <w:r w:rsidR="00A62E71">
              <w:rPr>
                <w:rFonts w:ascii="Arial" w:eastAsia="Arial" w:hAnsi="Arial" w:cs="Arial"/>
                <w:color w:val="000000"/>
                <w:sz w:val="16"/>
                <w:szCs w:val="16"/>
              </w:rPr>
              <w:t xml:space="preserve">10. 5. </w:t>
            </w:r>
            <w:bookmarkStart w:id="5" w:name="_GoBack"/>
            <w:bookmarkEnd w:id="5"/>
            <w:r w:rsidR="00A62E71">
              <w:rPr>
                <w:rFonts w:ascii="Arial" w:eastAsia="Arial" w:hAnsi="Arial" w:cs="Arial"/>
                <w:color w:val="000000"/>
                <w:sz w:val="16"/>
                <w:szCs w:val="16"/>
              </w:rPr>
              <w:t>2022</w:t>
            </w:r>
          </w:p>
        </w:tc>
        <w:tc>
          <w:tcPr>
            <w:tcW w:w="5413" w:type="dxa"/>
            <w:tcBorders>
              <w:top w:val="single" w:sz="4" w:space="0" w:color="000000"/>
              <w:left w:val="single" w:sz="4" w:space="0" w:color="000000"/>
              <w:bottom w:val="single" w:sz="4" w:space="0" w:color="000000"/>
              <w:right w:val="single" w:sz="4" w:space="0" w:color="000000"/>
            </w:tcBorders>
          </w:tcPr>
          <w:p w14:paraId="525D97D9" w14:textId="0D240EF7" w:rsidR="00BE1AD0" w:rsidRDefault="00A963D3">
            <w:pPr>
              <w:pBdr>
                <w:top w:val="nil"/>
                <w:left w:val="nil"/>
                <w:bottom w:val="nil"/>
                <w:right w:val="nil"/>
                <w:between w:val="nil"/>
              </w:pBdr>
              <w:tabs>
                <w:tab w:val="left" w:pos="3060"/>
              </w:tabs>
              <w:spacing w:line="240" w:lineRule="auto"/>
              <w:ind w:left="0" w:hanging="2"/>
              <w:rPr>
                <w:rFonts w:ascii="Arial" w:eastAsia="Arial" w:hAnsi="Arial" w:cs="Arial"/>
                <w:color w:val="000000"/>
              </w:rPr>
            </w:pPr>
            <w:r>
              <w:rPr>
                <w:rFonts w:ascii="Arial" w:eastAsia="Arial" w:hAnsi="Arial" w:cs="Arial"/>
                <w:color w:val="000000"/>
                <w:sz w:val="16"/>
                <w:szCs w:val="16"/>
              </w:rPr>
              <w:t xml:space="preserve">Místo: Praha                    Datum: </w:t>
            </w:r>
            <w:r w:rsidR="00DC6234">
              <w:rPr>
                <w:rFonts w:ascii="Arial" w:eastAsia="Arial" w:hAnsi="Arial" w:cs="Arial"/>
                <w:color w:val="000000"/>
                <w:sz w:val="16"/>
                <w:szCs w:val="16"/>
              </w:rPr>
              <w:t>10. 5. 2022</w:t>
            </w:r>
          </w:p>
        </w:tc>
      </w:tr>
      <w:tr w:rsidR="00BE1AD0" w14:paraId="355E14B1" w14:textId="77777777" w:rsidTr="00DC6234">
        <w:trPr>
          <w:trHeight w:val="81"/>
        </w:trPr>
        <w:tc>
          <w:tcPr>
            <w:tcW w:w="5303" w:type="dxa"/>
            <w:gridSpan w:val="2"/>
            <w:tcBorders>
              <w:top w:val="single" w:sz="4" w:space="0" w:color="000000"/>
              <w:left w:val="single" w:sz="4" w:space="0" w:color="000000"/>
              <w:bottom w:val="single" w:sz="4" w:space="0" w:color="000000"/>
            </w:tcBorders>
          </w:tcPr>
          <w:p w14:paraId="269A29FB" w14:textId="77777777" w:rsidR="00BE1AD0" w:rsidRDefault="00BE1AD0">
            <w:pPr>
              <w:pBdr>
                <w:top w:val="nil"/>
                <w:left w:val="nil"/>
                <w:bottom w:val="nil"/>
                <w:right w:val="nil"/>
                <w:between w:val="nil"/>
              </w:pBdr>
              <w:tabs>
                <w:tab w:val="left" w:pos="3060"/>
              </w:tabs>
              <w:spacing w:line="240" w:lineRule="auto"/>
              <w:ind w:left="0" w:hanging="2"/>
              <w:jc w:val="center"/>
              <w:rPr>
                <w:rFonts w:ascii="Arial" w:eastAsia="Arial" w:hAnsi="Arial" w:cs="Arial"/>
                <w:color w:val="000000"/>
                <w:sz w:val="16"/>
                <w:szCs w:val="16"/>
              </w:rPr>
            </w:pPr>
          </w:p>
          <w:p w14:paraId="03495356" w14:textId="77777777" w:rsidR="00BE1AD0" w:rsidRDefault="00BE1AD0" w:rsidP="004331C6">
            <w:pPr>
              <w:pBdr>
                <w:top w:val="nil"/>
                <w:left w:val="nil"/>
                <w:bottom w:val="nil"/>
                <w:right w:val="nil"/>
                <w:between w:val="nil"/>
              </w:pBdr>
              <w:tabs>
                <w:tab w:val="left" w:pos="3060"/>
              </w:tabs>
              <w:spacing w:line="240" w:lineRule="auto"/>
              <w:ind w:leftChars="0" w:left="0" w:firstLineChars="0" w:firstLine="0"/>
              <w:rPr>
                <w:rFonts w:ascii="Arial" w:eastAsia="Arial" w:hAnsi="Arial" w:cs="Arial"/>
                <w:sz w:val="16"/>
                <w:szCs w:val="16"/>
              </w:rPr>
            </w:pPr>
          </w:p>
          <w:p w14:paraId="2F0EB2DB" w14:textId="77777777" w:rsidR="00BE1AD0" w:rsidRDefault="00BE1AD0">
            <w:pPr>
              <w:pBdr>
                <w:top w:val="nil"/>
                <w:left w:val="nil"/>
                <w:bottom w:val="nil"/>
                <w:right w:val="nil"/>
                <w:between w:val="nil"/>
              </w:pBdr>
              <w:tabs>
                <w:tab w:val="left" w:pos="3060"/>
              </w:tabs>
              <w:spacing w:line="240" w:lineRule="auto"/>
              <w:ind w:left="0" w:hanging="2"/>
              <w:jc w:val="center"/>
              <w:rPr>
                <w:rFonts w:ascii="Arial" w:eastAsia="Arial" w:hAnsi="Arial" w:cs="Arial"/>
                <w:sz w:val="16"/>
                <w:szCs w:val="16"/>
              </w:rPr>
            </w:pPr>
          </w:p>
          <w:p w14:paraId="61F04045" w14:textId="77777777" w:rsidR="00BE1AD0" w:rsidRDefault="00BE1AD0">
            <w:pPr>
              <w:pBdr>
                <w:top w:val="nil"/>
                <w:left w:val="nil"/>
                <w:bottom w:val="nil"/>
                <w:right w:val="nil"/>
                <w:between w:val="nil"/>
              </w:pBdr>
              <w:tabs>
                <w:tab w:val="left" w:pos="3060"/>
              </w:tabs>
              <w:spacing w:line="240" w:lineRule="auto"/>
              <w:ind w:left="0" w:hanging="2"/>
              <w:jc w:val="center"/>
              <w:rPr>
                <w:rFonts w:ascii="Arial" w:eastAsia="Arial" w:hAnsi="Arial" w:cs="Arial"/>
                <w:color w:val="000000"/>
                <w:sz w:val="16"/>
                <w:szCs w:val="16"/>
              </w:rPr>
            </w:pPr>
          </w:p>
          <w:p w14:paraId="58DE7733" w14:textId="77777777" w:rsidR="00BE1AD0" w:rsidRDefault="00A963D3">
            <w:pPr>
              <w:pBdr>
                <w:top w:val="nil"/>
                <w:left w:val="nil"/>
                <w:bottom w:val="nil"/>
                <w:right w:val="nil"/>
                <w:between w:val="nil"/>
              </w:pBdr>
              <w:tabs>
                <w:tab w:val="left" w:pos="3060"/>
              </w:tabs>
              <w:spacing w:line="240" w:lineRule="auto"/>
              <w:ind w:left="0" w:hanging="2"/>
              <w:jc w:val="center"/>
              <w:rPr>
                <w:rFonts w:ascii="Arial" w:eastAsia="Arial" w:hAnsi="Arial" w:cs="Arial"/>
                <w:color w:val="000000"/>
              </w:rPr>
            </w:pPr>
            <w:r>
              <w:rPr>
                <w:rFonts w:ascii="Arial" w:eastAsia="Arial" w:hAnsi="Arial" w:cs="Arial"/>
                <w:color w:val="000000"/>
                <w:sz w:val="16"/>
                <w:szCs w:val="16"/>
              </w:rPr>
              <w:t>_________________________________</w:t>
            </w:r>
          </w:p>
          <w:p w14:paraId="698FBB16" w14:textId="77777777" w:rsidR="00BE1AD0" w:rsidRDefault="00A963D3">
            <w:pPr>
              <w:pBdr>
                <w:top w:val="nil"/>
                <w:left w:val="nil"/>
                <w:bottom w:val="nil"/>
                <w:right w:val="nil"/>
                <w:between w:val="nil"/>
              </w:pBdr>
              <w:tabs>
                <w:tab w:val="left" w:pos="3060"/>
              </w:tabs>
              <w:spacing w:line="240" w:lineRule="auto"/>
              <w:ind w:left="0" w:hanging="2"/>
              <w:jc w:val="center"/>
              <w:rPr>
                <w:rFonts w:ascii="Arial" w:eastAsia="Arial" w:hAnsi="Arial" w:cs="Arial"/>
                <w:color w:val="000000"/>
              </w:rPr>
            </w:pPr>
            <w:r>
              <w:rPr>
                <w:rFonts w:ascii="Arial" w:eastAsia="Arial" w:hAnsi="Arial" w:cs="Arial"/>
                <w:b/>
                <w:color w:val="000000"/>
                <w:sz w:val="16"/>
                <w:szCs w:val="16"/>
              </w:rPr>
              <w:t>Klient</w:t>
            </w:r>
          </w:p>
          <w:p w14:paraId="4A0939D8" w14:textId="77777777" w:rsidR="00BE1AD0" w:rsidRDefault="00BE1AD0">
            <w:pPr>
              <w:pBdr>
                <w:top w:val="nil"/>
                <w:left w:val="nil"/>
                <w:bottom w:val="nil"/>
                <w:right w:val="nil"/>
                <w:between w:val="nil"/>
              </w:pBdr>
              <w:spacing w:line="240" w:lineRule="auto"/>
              <w:ind w:left="0" w:hanging="2"/>
              <w:jc w:val="center"/>
              <w:rPr>
                <w:rFonts w:ascii="Arial" w:eastAsia="Arial" w:hAnsi="Arial" w:cs="Arial"/>
                <w:color w:val="000000"/>
              </w:rPr>
            </w:pPr>
          </w:p>
        </w:tc>
        <w:tc>
          <w:tcPr>
            <w:tcW w:w="5413" w:type="dxa"/>
            <w:tcBorders>
              <w:top w:val="single" w:sz="4" w:space="0" w:color="000000"/>
              <w:left w:val="single" w:sz="4" w:space="0" w:color="000000"/>
              <w:bottom w:val="single" w:sz="4" w:space="0" w:color="000000"/>
              <w:right w:val="single" w:sz="4" w:space="0" w:color="000000"/>
            </w:tcBorders>
          </w:tcPr>
          <w:p w14:paraId="5EFD012A" w14:textId="77777777" w:rsidR="00BE1AD0" w:rsidRDefault="00BE1AD0">
            <w:pPr>
              <w:pBdr>
                <w:top w:val="nil"/>
                <w:left w:val="nil"/>
                <w:bottom w:val="nil"/>
                <w:right w:val="nil"/>
                <w:between w:val="nil"/>
              </w:pBdr>
              <w:tabs>
                <w:tab w:val="left" w:pos="3060"/>
              </w:tabs>
              <w:spacing w:line="240" w:lineRule="auto"/>
              <w:ind w:left="0" w:hanging="2"/>
              <w:jc w:val="center"/>
              <w:rPr>
                <w:rFonts w:ascii="Arial" w:eastAsia="Arial" w:hAnsi="Arial" w:cs="Arial"/>
                <w:color w:val="000000"/>
                <w:sz w:val="16"/>
                <w:szCs w:val="16"/>
              </w:rPr>
            </w:pPr>
          </w:p>
          <w:p w14:paraId="2B227F1A" w14:textId="77777777" w:rsidR="00BE1AD0" w:rsidRDefault="00BE1AD0" w:rsidP="004331C6">
            <w:pPr>
              <w:pBdr>
                <w:top w:val="nil"/>
                <w:left w:val="nil"/>
                <w:bottom w:val="nil"/>
                <w:right w:val="nil"/>
                <w:between w:val="nil"/>
              </w:pBdr>
              <w:tabs>
                <w:tab w:val="left" w:pos="3060"/>
              </w:tabs>
              <w:spacing w:line="240" w:lineRule="auto"/>
              <w:ind w:leftChars="0" w:left="0" w:firstLineChars="0" w:firstLine="0"/>
              <w:rPr>
                <w:rFonts w:ascii="Arial" w:eastAsia="Arial" w:hAnsi="Arial" w:cs="Arial"/>
                <w:sz w:val="16"/>
                <w:szCs w:val="16"/>
              </w:rPr>
            </w:pPr>
          </w:p>
          <w:p w14:paraId="6572CFED" w14:textId="77777777" w:rsidR="00BE1AD0" w:rsidRDefault="00BE1AD0">
            <w:pPr>
              <w:pBdr>
                <w:top w:val="nil"/>
                <w:left w:val="nil"/>
                <w:bottom w:val="nil"/>
                <w:right w:val="nil"/>
                <w:between w:val="nil"/>
              </w:pBdr>
              <w:tabs>
                <w:tab w:val="left" w:pos="3060"/>
              </w:tabs>
              <w:spacing w:line="240" w:lineRule="auto"/>
              <w:ind w:left="0" w:hanging="2"/>
              <w:jc w:val="center"/>
              <w:rPr>
                <w:rFonts w:ascii="Arial" w:eastAsia="Arial" w:hAnsi="Arial" w:cs="Arial"/>
                <w:sz w:val="16"/>
                <w:szCs w:val="16"/>
              </w:rPr>
            </w:pPr>
          </w:p>
          <w:p w14:paraId="009F9BE1" w14:textId="77777777" w:rsidR="00BE1AD0" w:rsidRDefault="00BE1AD0">
            <w:pPr>
              <w:pBdr>
                <w:top w:val="nil"/>
                <w:left w:val="nil"/>
                <w:bottom w:val="nil"/>
                <w:right w:val="nil"/>
                <w:between w:val="nil"/>
              </w:pBdr>
              <w:tabs>
                <w:tab w:val="left" w:pos="3060"/>
              </w:tabs>
              <w:spacing w:line="240" w:lineRule="auto"/>
              <w:ind w:left="0" w:hanging="2"/>
              <w:jc w:val="center"/>
              <w:rPr>
                <w:rFonts w:ascii="Arial" w:eastAsia="Arial" w:hAnsi="Arial" w:cs="Arial"/>
                <w:color w:val="000000"/>
                <w:sz w:val="16"/>
                <w:szCs w:val="16"/>
              </w:rPr>
            </w:pPr>
          </w:p>
          <w:p w14:paraId="062BC5FB" w14:textId="77777777" w:rsidR="00BE1AD0" w:rsidRDefault="00A963D3">
            <w:pPr>
              <w:pBdr>
                <w:top w:val="nil"/>
                <w:left w:val="nil"/>
                <w:bottom w:val="nil"/>
                <w:right w:val="nil"/>
                <w:between w:val="nil"/>
              </w:pBdr>
              <w:tabs>
                <w:tab w:val="left" w:pos="3060"/>
              </w:tabs>
              <w:spacing w:line="240" w:lineRule="auto"/>
              <w:ind w:left="0" w:hanging="2"/>
              <w:jc w:val="center"/>
              <w:rPr>
                <w:rFonts w:ascii="Arial" w:eastAsia="Arial" w:hAnsi="Arial" w:cs="Arial"/>
                <w:color w:val="000000"/>
              </w:rPr>
            </w:pPr>
            <w:r>
              <w:rPr>
                <w:rFonts w:ascii="Arial" w:eastAsia="Arial" w:hAnsi="Arial" w:cs="Arial"/>
                <w:color w:val="000000"/>
                <w:sz w:val="16"/>
                <w:szCs w:val="16"/>
              </w:rPr>
              <w:t>_________________________________</w:t>
            </w:r>
          </w:p>
          <w:p w14:paraId="5856ED59" w14:textId="77777777" w:rsidR="00BE1AD0" w:rsidRDefault="00A963D3">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TT </w:t>
            </w:r>
            <w:proofErr w:type="spellStart"/>
            <w:r>
              <w:rPr>
                <w:rFonts w:ascii="Arial" w:eastAsia="Arial" w:hAnsi="Arial" w:cs="Arial"/>
                <w:b/>
                <w:color w:val="000000"/>
                <w:sz w:val="16"/>
                <w:szCs w:val="16"/>
              </w:rPr>
              <w:t>Comfort</w:t>
            </w:r>
            <w:proofErr w:type="spellEnd"/>
            <w:r>
              <w:rPr>
                <w:rFonts w:ascii="Arial" w:eastAsia="Arial" w:hAnsi="Arial" w:cs="Arial"/>
                <w:b/>
                <w:color w:val="000000"/>
                <w:sz w:val="16"/>
                <w:szCs w:val="16"/>
              </w:rPr>
              <w:t xml:space="preserve"> </w:t>
            </w:r>
            <w:proofErr w:type="spellStart"/>
            <w:r>
              <w:rPr>
                <w:rFonts w:ascii="Arial" w:eastAsia="Arial" w:hAnsi="Arial" w:cs="Arial"/>
                <w:b/>
                <w:color w:val="000000"/>
                <w:sz w:val="16"/>
                <w:szCs w:val="16"/>
              </w:rPr>
              <w:t>Class</w:t>
            </w:r>
            <w:proofErr w:type="spellEnd"/>
            <w:r>
              <w:rPr>
                <w:rFonts w:ascii="Arial" w:eastAsia="Arial" w:hAnsi="Arial" w:cs="Arial"/>
                <w:b/>
                <w:color w:val="000000"/>
                <w:sz w:val="16"/>
                <w:szCs w:val="16"/>
              </w:rPr>
              <w:t xml:space="preserve"> s.r.o.</w:t>
            </w:r>
          </w:p>
          <w:p w14:paraId="19DC5964" w14:textId="77777777" w:rsidR="00BE1AD0" w:rsidRDefault="00BE1AD0">
            <w:pPr>
              <w:pBdr>
                <w:top w:val="nil"/>
                <w:left w:val="nil"/>
                <w:bottom w:val="nil"/>
                <w:right w:val="nil"/>
                <w:between w:val="nil"/>
              </w:pBdr>
              <w:spacing w:line="240" w:lineRule="auto"/>
              <w:ind w:left="0" w:hanging="2"/>
              <w:jc w:val="center"/>
              <w:rPr>
                <w:rFonts w:ascii="Arial" w:eastAsia="Arial" w:hAnsi="Arial" w:cs="Arial"/>
                <w:color w:val="000000"/>
              </w:rPr>
            </w:pPr>
          </w:p>
        </w:tc>
      </w:tr>
    </w:tbl>
    <w:p w14:paraId="754C8916" w14:textId="77777777" w:rsidR="00BE1AD0" w:rsidRDefault="00BE1AD0">
      <w:pPr>
        <w:pBdr>
          <w:top w:val="nil"/>
          <w:left w:val="nil"/>
          <w:bottom w:val="nil"/>
          <w:right w:val="nil"/>
          <w:between w:val="nil"/>
        </w:pBdr>
        <w:spacing w:line="240" w:lineRule="auto"/>
        <w:ind w:left="0" w:hanging="2"/>
        <w:rPr>
          <w:rFonts w:ascii="Arial" w:eastAsia="Arial" w:hAnsi="Arial" w:cs="Arial"/>
          <w:color w:val="000000"/>
        </w:rPr>
        <w:sectPr w:rsidR="00BE1AD0">
          <w:headerReference w:type="default" r:id="rId10"/>
          <w:footerReference w:type="default" r:id="rId11"/>
          <w:pgSz w:w="11906" w:h="16838"/>
          <w:pgMar w:top="764" w:right="720" w:bottom="764" w:left="720" w:header="708" w:footer="708" w:gutter="0"/>
          <w:pgNumType w:start="1"/>
          <w:cols w:space="708"/>
        </w:sectPr>
      </w:pPr>
    </w:p>
    <w:p w14:paraId="14341971" w14:textId="77777777" w:rsidR="00BE1AD0" w:rsidRDefault="00A963D3">
      <w:pPr>
        <w:numPr>
          <w:ilvl w:val="0"/>
          <w:numId w:val="1"/>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b/>
          <w:color w:val="000000"/>
          <w:sz w:val="15"/>
          <w:szCs w:val="15"/>
        </w:rPr>
        <w:lastRenderedPageBreak/>
        <w:t>Předmět Smlouvy</w:t>
      </w:r>
    </w:p>
    <w:p w14:paraId="2DC0AEB0" w14:textId="77777777" w:rsidR="00BE1AD0" w:rsidRDefault="00A963D3">
      <w:pPr>
        <w:numPr>
          <w:ilvl w:val="0"/>
          <w:numId w:val="6"/>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Předmět Smlouvy</w:t>
      </w:r>
      <w:r>
        <w:rPr>
          <w:rFonts w:ascii="Arial" w:eastAsia="Arial" w:hAnsi="Arial" w:cs="Arial"/>
          <w:color w:val="000000"/>
          <w:sz w:val="15"/>
          <w:szCs w:val="15"/>
        </w:rPr>
        <w:t xml:space="preserve">. Předmětem Smlouvy je stanovit práva a povinnosti smluvních stran v souvislosti s prováděním osobní silniční přepravy ze strany  společnosti TT </w:t>
      </w:r>
      <w:proofErr w:type="spellStart"/>
      <w:r>
        <w:rPr>
          <w:rFonts w:ascii="Arial" w:eastAsia="Arial" w:hAnsi="Arial" w:cs="Arial"/>
          <w:color w:val="000000"/>
          <w:sz w:val="15"/>
          <w:szCs w:val="15"/>
        </w:rPr>
        <w:t>Comfort</w:t>
      </w:r>
      <w:proofErr w:type="spellEnd"/>
      <w:r>
        <w:rPr>
          <w:rFonts w:ascii="Arial" w:eastAsia="Arial" w:hAnsi="Arial" w:cs="Arial"/>
          <w:color w:val="000000"/>
          <w:sz w:val="15"/>
          <w:szCs w:val="15"/>
        </w:rPr>
        <w:t xml:space="preserve"> </w:t>
      </w:r>
      <w:proofErr w:type="spellStart"/>
      <w:r>
        <w:rPr>
          <w:rFonts w:ascii="Arial" w:eastAsia="Arial" w:hAnsi="Arial" w:cs="Arial"/>
          <w:color w:val="000000"/>
          <w:sz w:val="15"/>
          <w:szCs w:val="15"/>
        </w:rPr>
        <w:t>Class</w:t>
      </w:r>
      <w:proofErr w:type="spellEnd"/>
      <w:r>
        <w:rPr>
          <w:rFonts w:ascii="Arial" w:eastAsia="Arial" w:hAnsi="Arial" w:cs="Arial"/>
          <w:color w:val="000000"/>
          <w:sz w:val="15"/>
          <w:szCs w:val="15"/>
        </w:rPr>
        <w:t xml:space="preserve"> s.r.o., IČ: 01613707, se sídlem Vrchlického 1321/5b, Praha 5, PSČ 150 00, zapsané v obchodním rejstříku vedeném Městským soudem v Praze, </w:t>
      </w:r>
      <w:proofErr w:type="spellStart"/>
      <w:r>
        <w:rPr>
          <w:rFonts w:ascii="Arial" w:eastAsia="Arial" w:hAnsi="Arial" w:cs="Arial"/>
          <w:color w:val="000000"/>
          <w:sz w:val="15"/>
          <w:szCs w:val="15"/>
        </w:rPr>
        <w:t>sp</w:t>
      </w:r>
      <w:proofErr w:type="spellEnd"/>
      <w:r>
        <w:rPr>
          <w:rFonts w:ascii="Arial" w:eastAsia="Arial" w:hAnsi="Arial" w:cs="Arial"/>
          <w:color w:val="000000"/>
          <w:sz w:val="15"/>
          <w:szCs w:val="15"/>
        </w:rPr>
        <w:t>. zn. C 209292 („</w:t>
      </w:r>
      <w:r>
        <w:rPr>
          <w:rFonts w:ascii="Arial" w:eastAsia="Arial" w:hAnsi="Arial" w:cs="Arial"/>
          <w:b/>
          <w:color w:val="000000"/>
          <w:sz w:val="15"/>
          <w:szCs w:val="15"/>
        </w:rPr>
        <w:t>TT</w:t>
      </w:r>
      <w:r>
        <w:rPr>
          <w:rFonts w:ascii="Arial" w:eastAsia="Arial" w:hAnsi="Arial" w:cs="Arial"/>
          <w:color w:val="000000"/>
          <w:sz w:val="15"/>
          <w:szCs w:val="15"/>
        </w:rPr>
        <w:t>“) vůči Klientovi („</w:t>
      </w:r>
      <w:r>
        <w:rPr>
          <w:rFonts w:ascii="Arial" w:eastAsia="Arial" w:hAnsi="Arial" w:cs="Arial"/>
          <w:b/>
          <w:color w:val="000000"/>
          <w:sz w:val="15"/>
          <w:szCs w:val="15"/>
        </w:rPr>
        <w:t>Klient</w:t>
      </w:r>
      <w:r>
        <w:rPr>
          <w:rFonts w:ascii="Arial" w:eastAsia="Arial" w:hAnsi="Arial" w:cs="Arial"/>
          <w:color w:val="000000"/>
          <w:sz w:val="15"/>
          <w:szCs w:val="15"/>
        </w:rPr>
        <w:t>“), jakož i další podmínky závazků smluvních stran uvedené ve Smlouvě, Základních podmínkách obsažených ve Smlouvě („</w:t>
      </w:r>
      <w:r>
        <w:rPr>
          <w:rFonts w:ascii="Arial" w:eastAsia="Arial" w:hAnsi="Arial" w:cs="Arial"/>
          <w:b/>
          <w:color w:val="000000"/>
          <w:sz w:val="15"/>
          <w:szCs w:val="15"/>
        </w:rPr>
        <w:t>Základní podmínky</w:t>
      </w:r>
      <w:r>
        <w:rPr>
          <w:rFonts w:ascii="Arial" w:eastAsia="Arial" w:hAnsi="Arial" w:cs="Arial"/>
          <w:color w:val="000000"/>
          <w:sz w:val="15"/>
          <w:szCs w:val="15"/>
        </w:rPr>
        <w:t>“), v těchto Všeobecných obchodních podmínkách ke Smlouvě („</w:t>
      </w:r>
      <w:r>
        <w:rPr>
          <w:rFonts w:ascii="Arial" w:eastAsia="Arial" w:hAnsi="Arial" w:cs="Arial"/>
          <w:b/>
          <w:color w:val="000000"/>
          <w:sz w:val="15"/>
          <w:szCs w:val="15"/>
        </w:rPr>
        <w:t>VOP</w:t>
      </w:r>
      <w:r>
        <w:rPr>
          <w:rFonts w:ascii="Arial" w:eastAsia="Arial" w:hAnsi="Arial" w:cs="Arial"/>
          <w:color w:val="000000"/>
          <w:sz w:val="15"/>
          <w:szCs w:val="15"/>
        </w:rPr>
        <w:t>“), přílohách Smlouvy.</w:t>
      </w:r>
    </w:p>
    <w:p w14:paraId="53FA56F9"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45E781C6" w14:textId="77777777" w:rsidR="00BE1AD0" w:rsidRDefault="00A963D3">
      <w:pPr>
        <w:numPr>
          <w:ilvl w:val="0"/>
          <w:numId w:val="6"/>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Základní závazek TT</w:t>
      </w:r>
      <w:r>
        <w:rPr>
          <w:rFonts w:ascii="Arial" w:eastAsia="Arial" w:hAnsi="Arial" w:cs="Arial"/>
          <w:color w:val="000000"/>
          <w:sz w:val="15"/>
          <w:szCs w:val="15"/>
        </w:rPr>
        <w:t>. TT se zavazuje provést pro Klienta, resp. jím určené osoby – zákazníky, zaměstnance a obchodní partnery – („</w:t>
      </w:r>
      <w:r>
        <w:rPr>
          <w:rFonts w:ascii="Arial" w:eastAsia="Arial" w:hAnsi="Arial" w:cs="Arial"/>
          <w:b/>
          <w:color w:val="000000"/>
          <w:sz w:val="15"/>
          <w:szCs w:val="15"/>
        </w:rPr>
        <w:t>Pasažér</w:t>
      </w:r>
      <w:r>
        <w:rPr>
          <w:rFonts w:ascii="Arial" w:eastAsia="Arial" w:hAnsi="Arial" w:cs="Arial"/>
          <w:color w:val="000000"/>
          <w:sz w:val="15"/>
          <w:szCs w:val="15"/>
        </w:rPr>
        <w:t>“) osobní silniční dopravu motorovými vozidly („</w:t>
      </w:r>
      <w:r>
        <w:rPr>
          <w:rFonts w:ascii="Arial" w:eastAsia="Arial" w:hAnsi="Arial" w:cs="Arial"/>
          <w:b/>
          <w:color w:val="000000"/>
          <w:sz w:val="15"/>
          <w:szCs w:val="15"/>
        </w:rPr>
        <w:t>Přepravy</w:t>
      </w:r>
      <w:r>
        <w:rPr>
          <w:rFonts w:ascii="Arial" w:eastAsia="Arial" w:hAnsi="Arial" w:cs="Arial"/>
          <w:color w:val="000000"/>
          <w:sz w:val="15"/>
          <w:szCs w:val="15"/>
        </w:rPr>
        <w:t>“) za podmínek stanovených Smlouvou.</w:t>
      </w:r>
    </w:p>
    <w:p w14:paraId="5D6A514F"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52BE2F5F" w14:textId="77777777" w:rsidR="00BE1AD0" w:rsidRDefault="00A963D3">
      <w:pPr>
        <w:numPr>
          <w:ilvl w:val="0"/>
          <w:numId w:val="6"/>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Základní závazek Klienta</w:t>
      </w:r>
      <w:r>
        <w:rPr>
          <w:rFonts w:ascii="Arial" w:eastAsia="Arial" w:hAnsi="Arial" w:cs="Arial"/>
          <w:color w:val="000000"/>
          <w:sz w:val="15"/>
          <w:szCs w:val="15"/>
        </w:rPr>
        <w:t>. Klient se zavazuje hradit TT za poskytnuté Přepravy úplatu dle Smlouvy.</w:t>
      </w:r>
    </w:p>
    <w:p w14:paraId="652C2A06"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6A551233" w14:textId="77777777" w:rsidR="00BE1AD0" w:rsidRDefault="00A963D3">
      <w:pPr>
        <w:numPr>
          <w:ilvl w:val="0"/>
          <w:numId w:val="1"/>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b/>
          <w:color w:val="000000"/>
          <w:sz w:val="15"/>
          <w:szCs w:val="15"/>
        </w:rPr>
        <w:t>Přepravy - sjednávání</w:t>
      </w:r>
    </w:p>
    <w:p w14:paraId="5CA82F8D" w14:textId="77777777" w:rsidR="00BE1AD0" w:rsidRDefault="00A963D3">
      <w:pPr>
        <w:numPr>
          <w:ilvl w:val="1"/>
          <w:numId w:val="7"/>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Jednotlivé Přepravy</w:t>
      </w:r>
      <w:r>
        <w:rPr>
          <w:rFonts w:ascii="Arial" w:eastAsia="Arial" w:hAnsi="Arial" w:cs="Arial"/>
          <w:color w:val="000000"/>
          <w:sz w:val="15"/>
          <w:szCs w:val="15"/>
        </w:rPr>
        <w:t>. Smluvní strany se dohodly, že jednotlivé Přepravy budou prováděny na základě objednávky Klienta učiněné způsobem specifikovaným v Základních podmínkách a její akceptací ze strany TT, přičemž podrobná úprava provádění jednotlivých Přeprav je specifikována dále v tomto článku VOP.</w:t>
      </w:r>
    </w:p>
    <w:p w14:paraId="3B352C2F"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01ECD980" w14:textId="77777777" w:rsidR="00BE1AD0" w:rsidRDefault="00A963D3">
      <w:pPr>
        <w:numPr>
          <w:ilvl w:val="1"/>
          <w:numId w:val="7"/>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Jednotlivé Přepravy</w:t>
      </w:r>
      <w:r>
        <w:rPr>
          <w:rFonts w:ascii="Arial" w:eastAsia="Arial" w:hAnsi="Arial" w:cs="Arial"/>
          <w:color w:val="000000"/>
          <w:sz w:val="15"/>
          <w:szCs w:val="15"/>
        </w:rPr>
        <w:t>. Při provádění jednotlivých Přeprav bude postupováno následovně:</w:t>
      </w:r>
    </w:p>
    <w:p w14:paraId="7660AF7B" w14:textId="77777777" w:rsidR="00BE1AD0" w:rsidRDefault="00A963D3">
      <w:pPr>
        <w:numPr>
          <w:ilvl w:val="0"/>
          <w:numId w:val="9"/>
        </w:numPr>
        <w:pBdr>
          <w:top w:val="nil"/>
          <w:left w:val="nil"/>
          <w:bottom w:val="nil"/>
          <w:right w:val="nil"/>
          <w:between w:val="nil"/>
        </w:pBdr>
        <w:spacing w:line="240" w:lineRule="auto"/>
        <w:ind w:left="-1" w:hanging="1"/>
        <w:jc w:val="both"/>
        <w:rPr>
          <w:color w:val="000000"/>
        </w:rPr>
      </w:pPr>
      <w:r>
        <w:rPr>
          <w:rFonts w:ascii="Arial" w:eastAsia="Arial" w:hAnsi="Arial" w:cs="Arial"/>
          <w:color w:val="000000"/>
          <w:sz w:val="15"/>
          <w:szCs w:val="15"/>
        </w:rPr>
        <w:t>Klient, resp. osoba oprávněná Klienta zastupovat v rozsahu pro uzavření smlouvy o přepravě, provede způsobem uvedeným v Základních podmínkách objednávku přepravy s uvedením požadovaného segmentu vozidla, cílové místo přepravy, údaje o přepravovaných osobách, a případně další údaje, které TT umožní provést přepravu dle dispozic Klienta („</w:t>
      </w:r>
      <w:r>
        <w:rPr>
          <w:rFonts w:ascii="Arial" w:eastAsia="Arial" w:hAnsi="Arial" w:cs="Arial"/>
          <w:b/>
          <w:color w:val="000000"/>
          <w:sz w:val="15"/>
          <w:szCs w:val="15"/>
        </w:rPr>
        <w:t>Objednávka</w:t>
      </w:r>
      <w:r>
        <w:rPr>
          <w:rFonts w:ascii="Arial" w:eastAsia="Arial" w:hAnsi="Arial" w:cs="Arial"/>
          <w:color w:val="000000"/>
          <w:sz w:val="15"/>
          <w:szCs w:val="15"/>
        </w:rPr>
        <w:t>“);</w:t>
      </w:r>
    </w:p>
    <w:p w14:paraId="7638F36D" w14:textId="77777777" w:rsidR="00BE1AD0" w:rsidRDefault="00A963D3">
      <w:pPr>
        <w:numPr>
          <w:ilvl w:val="0"/>
          <w:numId w:val="9"/>
        </w:numPr>
        <w:pBdr>
          <w:top w:val="nil"/>
          <w:left w:val="nil"/>
          <w:bottom w:val="nil"/>
          <w:right w:val="nil"/>
          <w:between w:val="nil"/>
        </w:pBdr>
        <w:spacing w:line="240" w:lineRule="auto"/>
        <w:ind w:left="-1" w:hanging="1"/>
        <w:jc w:val="both"/>
        <w:rPr>
          <w:rFonts w:ascii="Arial" w:eastAsia="Arial" w:hAnsi="Arial" w:cs="Arial"/>
          <w:color w:val="000000"/>
        </w:rPr>
      </w:pPr>
      <w:r>
        <w:rPr>
          <w:rFonts w:ascii="Arial" w:eastAsia="Arial" w:hAnsi="Arial" w:cs="Arial"/>
          <w:color w:val="000000"/>
          <w:sz w:val="15"/>
          <w:szCs w:val="15"/>
        </w:rPr>
        <w:t>TT dle své volby potvrdí Objednávku Klientovi, na základě níž bude provedena jednotlivá Přeprava;</w:t>
      </w:r>
    </w:p>
    <w:p w14:paraId="01DF832E" w14:textId="77777777" w:rsidR="00BE1AD0" w:rsidRDefault="00A963D3">
      <w:pPr>
        <w:numPr>
          <w:ilvl w:val="0"/>
          <w:numId w:val="9"/>
        </w:numPr>
        <w:pBdr>
          <w:top w:val="nil"/>
          <w:left w:val="nil"/>
          <w:bottom w:val="nil"/>
          <w:right w:val="nil"/>
          <w:between w:val="nil"/>
        </w:pBdr>
        <w:spacing w:line="240" w:lineRule="auto"/>
        <w:ind w:left="-1" w:hanging="1"/>
        <w:jc w:val="both"/>
        <w:rPr>
          <w:color w:val="000000"/>
        </w:rPr>
      </w:pPr>
      <w:r>
        <w:rPr>
          <w:rFonts w:ascii="Arial" w:eastAsia="Arial" w:hAnsi="Arial" w:cs="Arial"/>
          <w:color w:val="000000"/>
          <w:sz w:val="15"/>
          <w:szCs w:val="15"/>
        </w:rPr>
        <w:t>po potvrzení Objednávky vystaví TT zakázku („</w:t>
      </w:r>
      <w:r>
        <w:rPr>
          <w:rFonts w:ascii="Arial" w:eastAsia="Arial" w:hAnsi="Arial" w:cs="Arial"/>
          <w:b/>
          <w:color w:val="000000"/>
          <w:sz w:val="15"/>
          <w:szCs w:val="15"/>
        </w:rPr>
        <w:t>Zakázka</w:t>
      </w:r>
      <w:r>
        <w:rPr>
          <w:rFonts w:ascii="Arial" w:eastAsia="Arial" w:hAnsi="Arial" w:cs="Arial"/>
          <w:color w:val="000000"/>
          <w:sz w:val="15"/>
          <w:szCs w:val="15"/>
        </w:rPr>
        <w:t>“) obsahující podmínky dle potvrzené Objednávky Klienta. Zakázku vystavuje TT jménem a na účet Klienta, k čemuž Klient TT výslovně zmocňuje;</w:t>
      </w:r>
    </w:p>
    <w:p w14:paraId="76B82272" w14:textId="77777777" w:rsidR="00BE1AD0" w:rsidRDefault="00A963D3">
      <w:pPr>
        <w:numPr>
          <w:ilvl w:val="0"/>
          <w:numId w:val="9"/>
        </w:numPr>
        <w:pBdr>
          <w:top w:val="nil"/>
          <w:left w:val="nil"/>
          <w:bottom w:val="nil"/>
          <w:right w:val="nil"/>
          <w:between w:val="nil"/>
        </w:pBdr>
        <w:spacing w:line="240" w:lineRule="auto"/>
        <w:ind w:left="-1" w:hanging="1"/>
        <w:jc w:val="both"/>
        <w:rPr>
          <w:rFonts w:ascii="Arial" w:eastAsia="Arial" w:hAnsi="Arial" w:cs="Arial"/>
          <w:color w:val="000000"/>
        </w:rPr>
      </w:pPr>
      <w:r>
        <w:rPr>
          <w:rFonts w:ascii="Arial" w:eastAsia="Arial" w:hAnsi="Arial" w:cs="Arial"/>
          <w:color w:val="000000"/>
          <w:sz w:val="15"/>
          <w:szCs w:val="15"/>
        </w:rPr>
        <w:t>po vystavení Zakázky budou provedeny za sjednaných podmínek Přepravy, které následně budou TT vyúčtovány Klientovi.</w:t>
      </w:r>
    </w:p>
    <w:p w14:paraId="110E6C1A"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7155CF39" w14:textId="77777777" w:rsidR="00BE1AD0" w:rsidRDefault="00A963D3">
      <w:pPr>
        <w:numPr>
          <w:ilvl w:val="1"/>
          <w:numId w:val="7"/>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Provádění Přeprav</w:t>
      </w:r>
      <w:r>
        <w:rPr>
          <w:rFonts w:ascii="Arial" w:eastAsia="Arial" w:hAnsi="Arial" w:cs="Arial"/>
          <w:color w:val="000000"/>
          <w:sz w:val="15"/>
          <w:szCs w:val="15"/>
        </w:rPr>
        <w:t>. Smluvní strany výslovně sjednávají, že TT je oprávněn přepravy provést taktéž s využitím jiné flotily svých vozidel. TT v takovém případě ručí za kvalitu Přeprav tak, jak je sjednáno ve Smlouvě a v těchto VOP.</w:t>
      </w:r>
    </w:p>
    <w:p w14:paraId="03FBBD3D"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6B9786A1" w14:textId="77777777" w:rsidR="00BE1AD0" w:rsidRDefault="00A963D3">
      <w:pPr>
        <w:numPr>
          <w:ilvl w:val="0"/>
          <w:numId w:val="1"/>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b/>
          <w:color w:val="000000"/>
          <w:sz w:val="15"/>
          <w:szCs w:val="15"/>
        </w:rPr>
        <w:t>Způsob poskytování Přeprav</w:t>
      </w:r>
    </w:p>
    <w:p w14:paraId="2F14B48B" w14:textId="77777777" w:rsidR="00BE1AD0" w:rsidRDefault="00A963D3">
      <w:pPr>
        <w:numPr>
          <w:ilvl w:val="1"/>
          <w:numId w:val="4"/>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Místo provádění Přeprav</w:t>
      </w:r>
      <w:r>
        <w:rPr>
          <w:rFonts w:ascii="Arial" w:eastAsia="Arial" w:hAnsi="Arial" w:cs="Arial"/>
          <w:color w:val="000000"/>
          <w:sz w:val="15"/>
          <w:szCs w:val="15"/>
        </w:rPr>
        <w:t>. Místem provádění Přeprav je Hlavní město Praha a další místa v ČR nebo v zahraničí pokud TT v těchto místech splňuje zákonné podmínky pro poskytování Přeprav.</w:t>
      </w:r>
    </w:p>
    <w:p w14:paraId="485EFB42"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7ED9E6BE" w14:textId="77777777" w:rsidR="00BE1AD0" w:rsidRDefault="00A963D3">
      <w:pPr>
        <w:numPr>
          <w:ilvl w:val="1"/>
          <w:numId w:val="4"/>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Překážky v poskytování Přeprav</w:t>
      </w:r>
      <w:r>
        <w:rPr>
          <w:rFonts w:ascii="Arial" w:eastAsia="Arial" w:hAnsi="Arial" w:cs="Arial"/>
          <w:color w:val="000000"/>
          <w:sz w:val="15"/>
          <w:szCs w:val="15"/>
        </w:rPr>
        <w:t xml:space="preserve">. TT je povinen ihned informovat Klienta v případě, že zjistí, že nebude schopen provést Přepravu včas. TT není povinen provést Přepravu v případě, že Klient porušil Smlouvu, a to až do odstranění závadného stavu. TT není v takovém případě v prodlení s poskytováním Přeprav. </w:t>
      </w:r>
    </w:p>
    <w:p w14:paraId="08760A14" w14:textId="77777777" w:rsidR="00BE1AD0" w:rsidRDefault="00BE1AD0">
      <w:pPr>
        <w:pBdr>
          <w:top w:val="nil"/>
          <w:left w:val="nil"/>
          <w:bottom w:val="nil"/>
          <w:right w:val="nil"/>
          <w:between w:val="nil"/>
        </w:pBdr>
        <w:spacing w:line="240" w:lineRule="auto"/>
        <w:jc w:val="both"/>
        <w:rPr>
          <w:rFonts w:ascii="Arial" w:eastAsia="Arial" w:hAnsi="Arial" w:cs="Arial"/>
          <w:sz w:val="15"/>
          <w:szCs w:val="15"/>
        </w:rPr>
      </w:pPr>
    </w:p>
    <w:p w14:paraId="336D48E7" w14:textId="77777777" w:rsidR="00BE1AD0" w:rsidRDefault="00A963D3">
      <w:pPr>
        <w:numPr>
          <w:ilvl w:val="0"/>
          <w:numId w:val="1"/>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b/>
          <w:color w:val="000000"/>
          <w:sz w:val="15"/>
          <w:szCs w:val="15"/>
        </w:rPr>
        <w:t>Ceny, úplata, splatnost</w:t>
      </w:r>
    </w:p>
    <w:p w14:paraId="0292A322" w14:textId="77777777" w:rsidR="00BE1AD0" w:rsidRDefault="00A963D3">
      <w:pPr>
        <w:numPr>
          <w:ilvl w:val="1"/>
          <w:numId w:val="12"/>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lastRenderedPageBreak/>
        <w:t>Ceny</w:t>
      </w:r>
      <w:r>
        <w:rPr>
          <w:rFonts w:ascii="Arial" w:eastAsia="Arial" w:hAnsi="Arial" w:cs="Arial"/>
          <w:color w:val="000000"/>
          <w:sz w:val="15"/>
          <w:szCs w:val="15"/>
        </w:rPr>
        <w:t>. Strany se dohodly, že Přepravy budou provedeny za ceny ve výši uvedené ve vedlejším ujednání ke Smlouvě – Ceníku („</w:t>
      </w:r>
      <w:r>
        <w:rPr>
          <w:rFonts w:ascii="Arial" w:eastAsia="Arial" w:hAnsi="Arial" w:cs="Arial"/>
          <w:b/>
          <w:color w:val="000000"/>
          <w:sz w:val="15"/>
          <w:szCs w:val="15"/>
        </w:rPr>
        <w:t>Ceník</w:t>
      </w:r>
      <w:r>
        <w:rPr>
          <w:rFonts w:ascii="Arial" w:eastAsia="Arial" w:hAnsi="Arial" w:cs="Arial"/>
          <w:color w:val="000000"/>
          <w:sz w:val="15"/>
          <w:szCs w:val="15"/>
        </w:rPr>
        <w:t>“).</w:t>
      </w:r>
    </w:p>
    <w:p w14:paraId="4E890154"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7904D346" w14:textId="77777777" w:rsidR="00BE1AD0" w:rsidRDefault="00A963D3">
      <w:pPr>
        <w:numPr>
          <w:ilvl w:val="1"/>
          <w:numId w:val="12"/>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Hrazení ceny za Přepravy</w:t>
      </w:r>
      <w:r>
        <w:rPr>
          <w:rFonts w:ascii="Arial" w:eastAsia="Arial" w:hAnsi="Arial" w:cs="Arial"/>
          <w:color w:val="000000"/>
          <w:sz w:val="15"/>
          <w:szCs w:val="15"/>
        </w:rPr>
        <w:t xml:space="preserve">. Smluvní strany se dohodly, že cena za Přepravy bude vyúčtována Klientovi. Lhůta splatnosti daňových dokladů je uvedena v Základních podmínkách. Ve faktuře, resp. její příloze, bude soupis poskytnutých Přeprav, tj. uskutečněných jízd, které jsou předmětem faktury, s uvedením údajů o uskutečněných Přepravách, zejména datum Přepravy, nástupní a cílové místo, cena za Přepravu, jméno přepravených osob. Údaje o uskutečněných jednotlivých fakturovaných Přepravách budou Klientovi zaslány rovněž v elektronické podobě, která umožní použít údaje o Přepravách pro jejich zaúčtování, např. </w:t>
      </w:r>
      <w:r>
        <w:rPr>
          <w:rFonts w:ascii="Arial" w:eastAsia="Arial" w:hAnsi="Arial" w:cs="Arial"/>
          <w:sz w:val="15"/>
          <w:szCs w:val="15"/>
        </w:rPr>
        <w:t xml:space="preserve">dokument </w:t>
      </w:r>
      <w:r>
        <w:rPr>
          <w:rFonts w:ascii="Arial" w:eastAsia="Arial" w:hAnsi="Arial" w:cs="Arial"/>
          <w:color w:val="000000"/>
          <w:sz w:val="15"/>
          <w:szCs w:val="15"/>
        </w:rPr>
        <w:t xml:space="preserve">ve formátu PDF. </w:t>
      </w:r>
    </w:p>
    <w:p w14:paraId="492A1A84" w14:textId="77777777" w:rsidR="00BE1AD0" w:rsidRDefault="00BE1AD0">
      <w:pPr>
        <w:pBdr>
          <w:top w:val="nil"/>
          <w:left w:val="nil"/>
          <w:bottom w:val="nil"/>
          <w:right w:val="nil"/>
          <w:between w:val="nil"/>
        </w:pBdr>
        <w:spacing w:line="240" w:lineRule="auto"/>
        <w:jc w:val="both"/>
        <w:rPr>
          <w:rFonts w:ascii="Arial" w:eastAsia="Arial" w:hAnsi="Arial" w:cs="Arial"/>
          <w:sz w:val="15"/>
          <w:szCs w:val="15"/>
        </w:rPr>
      </w:pPr>
    </w:p>
    <w:p w14:paraId="6F481DFB" w14:textId="77777777" w:rsidR="00BE1AD0" w:rsidRDefault="00A963D3">
      <w:pPr>
        <w:numPr>
          <w:ilvl w:val="1"/>
          <w:numId w:val="12"/>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Fakturace</w:t>
      </w:r>
      <w:r>
        <w:rPr>
          <w:rFonts w:ascii="Arial" w:eastAsia="Arial" w:hAnsi="Arial" w:cs="Arial"/>
          <w:color w:val="000000"/>
          <w:sz w:val="15"/>
          <w:szCs w:val="15"/>
        </w:rPr>
        <w:t xml:space="preserve">. Plnění dle této Smlouvy budou TT vyúčtována Klientovi vždy za uplynulý kalendářní měsíc k poslednímu dni tohoto měsíce s uskutečněným zdanitelným plněním tohoto dne. TT fakturu/účetní doklad podá k poštovní přepravě nejpozději do sedmého pracovního dne následujícího po datu zdanitelného plnění, za které jsou plnění účtována. Je-li sjednána možnost elektronického zasílání faktur, aplikuje se toto ustanovení adekvátně pro odeslání faktury na smluvně stanovený e-mail. </w:t>
      </w:r>
    </w:p>
    <w:p w14:paraId="3CB312D5"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u w:val="single"/>
        </w:rPr>
      </w:pPr>
    </w:p>
    <w:p w14:paraId="3CE6378B" w14:textId="77777777" w:rsidR="00BE1AD0" w:rsidRDefault="00A963D3">
      <w:pPr>
        <w:numPr>
          <w:ilvl w:val="1"/>
          <w:numId w:val="12"/>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Vrácení faktur</w:t>
      </w:r>
      <w:r>
        <w:rPr>
          <w:rFonts w:ascii="Arial" w:eastAsia="Arial" w:hAnsi="Arial" w:cs="Arial"/>
          <w:color w:val="000000"/>
          <w:sz w:val="15"/>
          <w:szCs w:val="15"/>
        </w:rPr>
        <w:t>. Klient je oprávněn před uplynutím lhůty splatnosti vrátit TT fakturu/účetní doklad, který nemá náležitosti požadované Smlouvou nebo neobsahuje zákonné náležitosti, vždy však s uvedením důvodu vrácení</w:t>
      </w:r>
    </w:p>
    <w:p w14:paraId="66ED91E1"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43026265"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4D85879F" w14:textId="77777777" w:rsidR="00BE1AD0" w:rsidRDefault="00A963D3">
      <w:pPr>
        <w:numPr>
          <w:ilvl w:val="1"/>
          <w:numId w:val="12"/>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Platby</w:t>
      </w:r>
      <w:r>
        <w:rPr>
          <w:rFonts w:ascii="Arial" w:eastAsia="Arial" w:hAnsi="Arial" w:cs="Arial"/>
          <w:color w:val="000000"/>
          <w:sz w:val="15"/>
          <w:szCs w:val="15"/>
        </w:rPr>
        <w:t xml:space="preserve">. Veškeré platby ze strany Klienta proběhnou bankovním převodem ve prospěch účtu TT uvedeného v záhlaví Smlouvy, pokud se smluvní strany nedohodnou jinak. TT je oprávněn číslo účtu jednostranně změnit a změna nabývá účinnosti okamžikem písemného oznámení podepsaného osobou oprávněnou zastupovat TT Klientovi. Platba se považuje za zaplacenou včas tehdy, je-li nejpozději ve sjednané lhůtě připsána na účet TT. </w:t>
      </w:r>
    </w:p>
    <w:p w14:paraId="16B0AAD1"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u w:val="single"/>
        </w:rPr>
      </w:pPr>
    </w:p>
    <w:p w14:paraId="1295D56B" w14:textId="77777777" w:rsidR="00BE1AD0" w:rsidRDefault="00A963D3">
      <w:pPr>
        <w:numPr>
          <w:ilvl w:val="1"/>
          <w:numId w:val="12"/>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DPH</w:t>
      </w:r>
      <w:r>
        <w:rPr>
          <w:rFonts w:ascii="Arial" w:eastAsia="Arial" w:hAnsi="Arial" w:cs="Arial"/>
          <w:color w:val="000000"/>
          <w:sz w:val="15"/>
          <w:szCs w:val="15"/>
        </w:rPr>
        <w:t>. Veškeré částky uvedené ve Smlouvě, jejích přílohách a vedlejších ujednáních ke Smlouvě jsou uvedeny bez DPH, není-li uvedeno jinak. K jednotlivým částkám bude připočtena DPH v zákonné výši.</w:t>
      </w:r>
    </w:p>
    <w:p w14:paraId="192913E9"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u w:val="single"/>
        </w:rPr>
      </w:pPr>
    </w:p>
    <w:p w14:paraId="57ED814C" w14:textId="77777777" w:rsidR="00BE1AD0" w:rsidRDefault="00A963D3">
      <w:pPr>
        <w:numPr>
          <w:ilvl w:val="1"/>
          <w:numId w:val="12"/>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Prodlení</w:t>
      </w:r>
      <w:r>
        <w:rPr>
          <w:rFonts w:ascii="Arial" w:eastAsia="Arial" w:hAnsi="Arial" w:cs="Arial"/>
          <w:color w:val="000000"/>
          <w:sz w:val="15"/>
          <w:szCs w:val="15"/>
        </w:rPr>
        <w:t xml:space="preserve">. V případě prodlení Klienta s jakoukoli úhradou vůči TT je Klient povinen TT uhradit úrok z prodlení ve výši 0,05% denně za každý započatý den prodlení. TT je oprávněn vyúčtovat Klientovi smluvní pokutu ve výši 500,- Kč za každou oprávněně vystavenou a odeslanou písemnou upomínku v případě prodlení Klienta s placením řádně vystavené faktury a Klient je povinen tuto smluvní pokutu TT uhradit. V případě, že dluh Klienta vůči TT po splatnosti přesáhne </w:t>
      </w:r>
      <w:r>
        <w:rPr>
          <w:rFonts w:ascii="Arial" w:eastAsia="Arial" w:hAnsi="Arial" w:cs="Arial"/>
          <w:sz w:val="15"/>
          <w:szCs w:val="15"/>
        </w:rPr>
        <w:t>10</w:t>
      </w:r>
      <w:r>
        <w:rPr>
          <w:rFonts w:ascii="Arial" w:eastAsia="Arial" w:hAnsi="Arial" w:cs="Arial"/>
          <w:color w:val="000000"/>
          <w:sz w:val="15"/>
          <w:szCs w:val="15"/>
        </w:rPr>
        <w:t> 000,- Kč, anebo je dluh po splatnosti déle než 30 dní, je TT oprávněn pozastavit plnění Smlouvy, a to až do úhrady všech závazků Klienta. Prodlení Klienta s úhradou závazků po dobu delší než 30 dnů se považuje za podstatné porušení Smlouvy.</w:t>
      </w:r>
    </w:p>
    <w:p w14:paraId="4D862E87"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u w:val="single"/>
        </w:rPr>
      </w:pPr>
    </w:p>
    <w:p w14:paraId="2FB3DCCB"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u w:val="single"/>
        </w:rPr>
      </w:pPr>
    </w:p>
    <w:p w14:paraId="222A12DE" w14:textId="77777777" w:rsidR="00BE1AD0" w:rsidRDefault="00A963D3">
      <w:pPr>
        <w:numPr>
          <w:ilvl w:val="1"/>
          <w:numId w:val="12"/>
        </w:numPr>
        <w:pBdr>
          <w:top w:val="nil"/>
          <w:left w:val="nil"/>
          <w:bottom w:val="nil"/>
          <w:right w:val="nil"/>
          <w:between w:val="nil"/>
        </w:pBdr>
        <w:spacing w:line="240" w:lineRule="auto"/>
        <w:ind w:left="-1" w:hanging="1"/>
        <w:jc w:val="both"/>
        <w:rPr>
          <w:color w:val="000000"/>
          <w:sz w:val="15"/>
          <w:szCs w:val="15"/>
        </w:rPr>
      </w:pPr>
      <w:r>
        <w:rPr>
          <w:rFonts w:ascii="Arial" w:eastAsia="Arial" w:hAnsi="Arial" w:cs="Arial"/>
          <w:color w:val="000000"/>
          <w:sz w:val="15"/>
          <w:szCs w:val="15"/>
          <w:u w:val="single"/>
        </w:rPr>
        <w:t>Elektronické faktury</w:t>
      </w:r>
      <w:r>
        <w:rPr>
          <w:rFonts w:ascii="Arial" w:eastAsia="Arial" w:hAnsi="Arial" w:cs="Arial"/>
          <w:color w:val="000000"/>
          <w:sz w:val="15"/>
          <w:szCs w:val="15"/>
        </w:rPr>
        <w:t>. Smluvní strany vyjadřují, v souladu se zákonem č. 235/2004 Sb., o DPH, svůj souhlas s elektronickým zasíláním faktur, a to na e-mailovou adresu uvedenou v záhlaví Smlouvy.</w:t>
      </w:r>
    </w:p>
    <w:p w14:paraId="43228E30"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u w:val="single"/>
        </w:rPr>
      </w:pPr>
    </w:p>
    <w:p w14:paraId="1FB5A27A" w14:textId="77777777" w:rsidR="00BE1AD0" w:rsidRDefault="00A963D3">
      <w:pPr>
        <w:numPr>
          <w:ilvl w:val="0"/>
          <w:numId w:val="1"/>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b/>
          <w:color w:val="000000"/>
          <w:sz w:val="15"/>
          <w:szCs w:val="15"/>
        </w:rPr>
        <w:t>Práva a povinnosti TT</w:t>
      </w:r>
    </w:p>
    <w:p w14:paraId="1626F066"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6EE136DE" w14:textId="77777777" w:rsidR="00BE1AD0" w:rsidRDefault="00A963D3">
      <w:pPr>
        <w:numPr>
          <w:ilvl w:val="1"/>
          <w:numId w:val="13"/>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lastRenderedPageBreak/>
        <w:t>Odborná péče</w:t>
      </w:r>
      <w:r>
        <w:rPr>
          <w:rFonts w:ascii="Arial" w:eastAsia="Arial" w:hAnsi="Arial" w:cs="Arial"/>
          <w:color w:val="000000"/>
          <w:sz w:val="15"/>
          <w:szCs w:val="15"/>
        </w:rPr>
        <w:t>. TT je povinen provést Přepravy, resp. zajistit provedení Přepravy prostřednictvím jiné flotily svých vozidel, vždy s odbornou péčí, řádně, včas a hospodárně, z výchozího místa Přepravy do cílového místa nebo míst dle instrukce Klienta a Pasažérů. TT je povinen učinit veškerá opatření, aby dopravce provádějící Přepravu zajistil bezpečnost Pasažérů a jejich zavazadel.</w:t>
      </w:r>
    </w:p>
    <w:p w14:paraId="5102DD3B"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75EE0090" w14:textId="77777777" w:rsidR="00BE1AD0" w:rsidRDefault="00A963D3">
      <w:pPr>
        <w:numPr>
          <w:ilvl w:val="1"/>
          <w:numId w:val="13"/>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Přeprava zavazadel</w:t>
      </w:r>
      <w:r>
        <w:rPr>
          <w:rFonts w:ascii="Arial" w:eastAsia="Arial" w:hAnsi="Arial" w:cs="Arial"/>
          <w:color w:val="000000"/>
          <w:sz w:val="15"/>
          <w:szCs w:val="15"/>
        </w:rPr>
        <w:t>. Provedení Přepravy bude zahrnovat rovněž i přepravu zavazadel Pasažérů, a to těch, které je možno bez obtíží umístit v dopravním prostředku a jejichž přeprava není zakázána právními či jinými normami či jinými předpisy dopravce.</w:t>
      </w:r>
    </w:p>
    <w:p w14:paraId="4698963D"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66C87ACC" w14:textId="77777777" w:rsidR="00BE1AD0" w:rsidRDefault="00A963D3">
      <w:pPr>
        <w:numPr>
          <w:ilvl w:val="1"/>
          <w:numId w:val="13"/>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Ošetření</w:t>
      </w:r>
      <w:r>
        <w:rPr>
          <w:rFonts w:ascii="Arial" w:eastAsia="Arial" w:hAnsi="Arial" w:cs="Arial"/>
          <w:color w:val="000000"/>
          <w:sz w:val="15"/>
          <w:szCs w:val="15"/>
        </w:rPr>
        <w:t>. TT je povinen učinit veškerá opatření, aby dopravce provádějící Přepravu zajistil přepravu Pasažéra do místa lékařského ošetření v případě, že u Pasažéra během Přepravy vznikne potřeba lékařského ošetření a není-li Pasažér schopen sám lékařskou pomoc vyhledat. O této skutečnosti bude TT či dopravce neprodleně informovat Klienta.</w:t>
      </w:r>
    </w:p>
    <w:p w14:paraId="341BDFBE"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2C634AA0" w14:textId="77777777" w:rsidR="00BE1AD0" w:rsidRDefault="00A963D3">
      <w:pPr>
        <w:numPr>
          <w:ilvl w:val="1"/>
          <w:numId w:val="13"/>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Oprávnění, povolení</w:t>
      </w:r>
      <w:r>
        <w:rPr>
          <w:rFonts w:ascii="Arial" w:eastAsia="Arial" w:hAnsi="Arial" w:cs="Arial"/>
          <w:color w:val="000000"/>
          <w:sz w:val="15"/>
          <w:szCs w:val="15"/>
        </w:rPr>
        <w:t xml:space="preserve">. TT je povinen zajistit, aby Přepravy byly prováděny osobami disponujícími veškerými potřebnými oprávněními pro provozování osobní přepravy. </w:t>
      </w:r>
    </w:p>
    <w:p w14:paraId="7832A45A"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49D814CB" w14:textId="77777777" w:rsidR="00BE1AD0" w:rsidRDefault="00A963D3">
      <w:pPr>
        <w:numPr>
          <w:ilvl w:val="0"/>
          <w:numId w:val="1"/>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b/>
          <w:color w:val="000000"/>
          <w:sz w:val="15"/>
          <w:szCs w:val="15"/>
        </w:rPr>
        <w:t>Práva a povinnosti Klienta</w:t>
      </w:r>
    </w:p>
    <w:p w14:paraId="01A29295" w14:textId="77777777" w:rsidR="00BE1AD0" w:rsidRDefault="00A963D3">
      <w:pPr>
        <w:numPr>
          <w:ilvl w:val="1"/>
          <w:numId w:val="2"/>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Povinnosti Pasažérů</w:t>
      </w:r>
      <w:r>
        <w:rPr>
          <w:rFonts w:ascii="Arial" w:eastAsia="Arial" w:hAnsi="Arial" w:cs="Arial"/>
          <w:color w:val="000000"/>
          <w:sz w:val="15"/>
          <w:szCs w:val="15"/>
        </w:rPr>
        <w:t>. Klient je povinen zajistit, aby Pasažéři udržovali v dopravním prostředku pořádek, dbali pokynů řidiče a dodržovali přepravní řád TT a dopravce (dostupné na www.ticktack.cz), aby nebyli silně znečištěni, pod silným vlivem omamných či psychotropních látek, vulgární či agresivní. Dále je Klient povinen zajistit, aby se Pasažéři zdrželi takového jednání, které by mohlo ovlivnit plynulost Přepravy, anebo takového jednání, které by mohlo způsobit škodu. Nebudou-li splněny podmínky dle tohoto článku, nebude Přeprava provedena.</w:t>
      </w:r>
    </w:p>
    <w:p w14:paraId="54DE01A5"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63F1F487" w14:textId="77777777" w:rsidR="00BE1AD0" w:rsidRDefault="00A963D3">
      <w:pPr>
        <w:numPr>
          <w:ilvl w:val="1"/>
          <w:numId w:val="2"/>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Odpovědnost za škodu</w:t>
      </w:r>
      <w:r>
        <w:rPr>
          <w:rFonts w:ascii="Arial" w:eastAsia="Arial" w:hAnsi="Arial" w:cs="Arial"/>
          <w:color w:val="000000"/>
          <w:sz w:val="15"/>
          <w:szCs w:val="15"/>
        </w:rPr>
        <w:t>. V případě, že TT či dopravce utrpí jednáním Pasažéra škodu, oznámí TT vznik dané škody neprodleně Klientovi. Klient je povinen prokázanou škodu způsobenou Pasažérem uhradit.</w:t>
      </w:r>
    </w:p>
    <w:p w14:paraId="543EBF53" w14:textId="77777777" w:rsidR="00BE1AD0" w:rsidRDefault="00BE1AD0">
      <w:pPr>
        <w:pBdr>
          <w:top w:val="nil"/>
          <w:left w:val="nil"/>
          <w:bottom w:val="nil"/>
          <w:right w:val="nil"/>
          <w:between w:val="nil"/>
        </w:pBdr>
        <w:spacing w:line="240" w:lineRule="auto"/>
        <w:jc w:val="both"/>
        <w:rPr>
          <w:rFonts w:ascii="Arial" w:eastAsia="Arial" w:hAnsi="Arial" w:cs="Arial"/>
          <w:sz w:val="15"/>
          <w:szCs w:val="15"/>
        </w:rPr>
      </w:pPr>
    </w:p>
    <w:p w14:paraId="063EBCA8" w14:textId="77777777" w:rsidR="00BE1AD0" w:rsidRDefault="00A963D3">
      <w:pPr>
        <w:numPr>
          <w:ilvl w:val="1"/>
          <w:numId w:val="2"/>
        </w:numPr>
        <w:pBdr>
          <w:top w:val="nil"/>
          <w:left w:val="nil"/>
          <w:bottom w:val="nil"/>
          <w:right w:val="nil"/>
          <w:between w:val="nil"/>
        </w:pBdr>
        <w:spacing w:line="240" w:lineRule="auto"/>
        <w:ind w:left="-1" w:hanging="1"/>
        <w:jc w:val="both"/>
        <w:rPr>
          <w:rFonts w:ascii="Arial" w:eastAsia="Arial" w:hAnsi="Arial" w:cs="Arial"/>
          <w:sz w:val="15"/>
          <w:szCs w:val="15"/>
        </w:rPr>
      </w:pPr>
      <w:r>
        <w:rPr>
          <w:rFonts w:ascii="Arial" w:eastAsia="Arial" w:hAnsi="Arial" w:cs="Arial"/>
          <w:sz w:val="15"/>
          <w:szCs w:val="15"/>
          <w:u w:val="single"/>
        </w:rPr>
        <w:t>Zrušení Objednávky Klienta.</w:t>
      </w:r>
      <w:r>
        <w:rPr>
          <w:rFonts w:ascii="Arial" w:eastAsia="Arial" w:hAnsi="Arial" w:cs="Arial"/>
          <w:sz w:val="15"/>
          <w:szCs w:val="15"/>
        </w:rPr>
        <w:t xml:space="preserve"> Klient je oprávněn Objednávku Přepravy zrušit, a to nejpozději před zahájením Přepravy. Zruší-li Klient během jednoho kalendářního měsíce trvání účinnosti Smlouvy více než 2 Objednávky v době kratší než 60 minut před požadovaným čas přistavení vozidla, zavazuje se Klient za 3. a každý další zrušený požadavek uhradit TT kompenzaci ve výši odpovídající cena Přepravy obvyklé pro danou trasu a není-li známo místo výstupu pak paušální  kompenzaci ve výši 200 Kč. V případě, že Klient zruší Objednávku až po přistavení vozidla do místa zahájení Přepravy, je TT oprávněn požadovat vedle případné kompenzace dle věty předchozí kompenzaci ve výši 100 Kč a cenu čekací doby, která uběhne od doby přistavení vozidla do doby zrušení Objednávky Klientem a Klient se zavazuje danou kompenzaci uhradit. Kompenzace bude vyúčtována společně s úhradou Přeprav dle čl. 4.2. VOP.</w:t>
      </w:r>
    </w:p>
    <w:p w14:paraId="2FD822EB" w14:textId="77777777" w:rsidR="00BE1AD0" w:rsidRDefault="00BE1AD0">
      <w:pPr>
        <w:pBdr>
          <w:top w:val="nil"/>
          <w:left w:val="nil"/>
          <w:bottom w:val="nil"/>
          <w:right w:val="nil"/>
          <w:between w:val="nil"/>
        </w:pBdr>
        <w:spacing w:line="240" w:lineRule="auto"/>
        <w:jc w:val="both"/>
        <w:rPr>
          <w:rFonts w:ascii="Arial" w:eastAsia="Arial" w:hAnsi="Arial" w:cs="Arial"/>
          <w:sz w:val="15"/>
          <w:szCs w:val="15"/>
        </w:rPr>
      </w:pPr>
    </w:p>
    <w:p w14:paraId="11C05975" w14:textId="77777777" w:rsidR="00BE1AD0" w:rsidRDefault="00A963D3">
      <w:pPr>
        <w:numPr>
          <w:ilvl w:val="0"/>
          <w:numId w:val="1"/>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b/>
          <w:color w:val="000000"/>
          <w:sz w:val="15"/>
          <w:szCs w:val="15"/>
        </w:rPr>
        <w:t>Mlčenlivost, ochrana osobních údajů</w:t>
      </w:r>
    </w:p>
    <w:p w14:paraId="1B3486F1" w14:textId="77777777" w:rsidR="00BE1AD0" w:rsidRDefault="00A963D3">
      <w:pPr>
        <w:numPr>
          <w:ilvl w:val="1"/>
          <w:numId w:val="5"/>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Zachování mlčenlivosti</w:t>
      </w:r>
      <w:r>
        <w:rPr>
          <w:rFonts w:ascii="Arial" w:eastAsia="Arial" w:hAnsi="Arial" w:cs="Arial"/>
          <w:color w:val="000000"/>
          <w:sz w:val="15"/>
          <w:szCs w:val="15"/>
        </w:rPr>
        <w:t xml:space="preserve">. </w:t>
      </w:r>
      <w:r>
        <w:rPr>
          <w:rFonts w:ascii="Arial" w:eastAsia="Arial" w:hAnsi="Arial" w:cs="Arial"/>
          <w:sz w:val="15"/>
          <w:szCs w:val="15"/>
        </w:rPr>
        <w:t xml:space="preserve">Klient se zavazuje, že bude považovat veškeré neveřejné obchodní a jiné informace, se kterými se seznámí v průběhu smluvního vztahu s TT včetně informací o osobách provádějících Přepravy, za důvěrné a za obchodní tajemství. Jakékoliv dokumenty a podklady TT nesmí být zpřístupněny ani jinak poskytnuty třetím osobám bez předchozího </w:t>
      </w:r>
      <w:r>
        <w:rPr>
          <w:rFonts w:ascii="Arial" w:eastAsia="Arial" w:hAnsi="Arial" w:cs="Arial"/>
          <w:sz w:val="15"/>
          <w:szCs w:val="15"/>
        </w:rPr>
        <w:lastRenderedPageBreak/>
        <w:t xml:space="preserve">písemného souhlasu TT. Jakékoli reprodukování a rozšiřování těchto dokumentů je Klient oprávněn činit pouze s předchozím písemným souhlasem TT a v rozsahu předpisů na úseku práva duševního vlastnictví. Klient není oprávněn bez předchozího písemného souhlasu TT sdělovat jakýmkoli třetím osobám informace o vzniku, podmínkách a obsahu smluvního vztahu mezi Klientem a TT a obchodní spolupráci mezi Klientem a TT. Povinnost mlčenlivosti trvá i po ukončení účinnosti Smlouvy. </w:t>
      </w:r>
    </w:p>
    <w:p w14:paraId="4929902F"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5A8D4399" w14:textId="77777777" w:rsidR="00BE1AD0" w:rsidRDefault="00A963D3">
      <w:pPr>
        <w:numPr>
          <w:ilvl w:val="1"/>
          <w:numId w:val="5"/>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Ochrana osobních údajů</w:t>
      </w:r>
      <w:r>
        <w:rPr>
          <w:rFonts w:ascii="Arial" w:eastAsia="Arial" w:hAnsi="Arial" w:cs="Arial"/>
          <w:color w:val="000000"/>
          <w:sz w:val="15"/>
          <w:szCs w:val="15"/>
        </w:rPr>
        <w:t xml:space="preserve">. </w:t>
      </w:r>
      <w:r>
        <w:rPr>
          <w:rFonts w:ascii="Arial" w:eastAsia="Arial" w:hAnsi="Arial" w:cs="Arial"/>
          <w:sz w:val="15"/>
          <w:szCs w:val="15"/>
        </w:rPr>
        <w:t>Klient uděluje TT souhlas ke zpracováním osobních údajů získaných TT v souvislosti s uzavřením nebo plněním Smlouvy, jakož i jejich zpracování externím telefonním call-centrem, a Klient je povinen disponovat veškerými souhlasy k tomuto zpracování osobních údajů rovněž od Pasažérů.</w:t>
      </w:r>
      <w:r>
        <w:rPr>
          <w:rFonts w:ascii="Arial" w:eastAsia="Arial" w:hAnsi="Arial" w:cs="Arial"/>
          <w:color w:val="000000"/>
          <w:sz w:val="15"/>
          <w:szCs w:val="15"/>
        </w:rPr>
        <w:t xml:space="preserve"> Zpracováním se rozumí zejména shromažďování, ukládání na nosiče, používání, uchovávání, třídění a předávání osobních údajů vč. pořizování audiovizuálních záznamů. Dále </w:t>
      </w:r>
      <w:r>
        <w:rPr>
          <w:rFonts w:ascii="Arial" w:eastAsia="Arial" w:hAnsi="Arial" w:cs="Arial"/>
          <w:sz w:val="15"/>
          <w:szCs w:val="15"/>
        </w:rPr>
        <w:t xml:space="preserve">tímto </w:t>
      </w:r>
      <w:r>
        <w:rPr>
          <w:rFonts w:ascii="Arial" w:eastAsia="Arial" w:hAnsi="Arial" w:cs="Arial"/>
          <w:color w:val="000000"/>
          <w:sz w:val="15"/>
          <w:szCs w:val="15"/>
        </w:rPr>
        <w:t xml:space="preserve">Klient uděluje obecný souhlas k tomu, aby osobní údaje dle této Smlouvy zpracovávali řidiči (dopravci), kteří mají s </w:t>
      </w:r>
      <w:r>
        <w:rPr>
          <w:rFonts w:ascii="Arial" w:eastAsia="Arial" w:hAnsi="Arial" w:cs="Arial"/>
          <w:sz w:val="15"/>
          <w:szCs w:val="15"/>
        </w:rPr>
        <w:t>TT</w:t>
      </w:r>
      <w:r>
        <w:rPr>
          <w:rFonts w:ascii="Arial" w:eastAsia="Arial" w:hAnsi="Arial" w:cs="Arial"/>
          <w:color w:val="000000"/>
          <w:sz w:val="15"/>
          <w:szCs w:val="15"/>
        </w:rPr>
        <w:t xml:space="preserve"> uzavřenou platnou a účinnou smlouvu o poskytování přepravních služeb.</w:t>
      </w:r>
      <w:r>
        <w:rPr>
          <w:rFonts w:ascii="Arial" w:eastAsia="Arial" w:hAnsi="Arial" w:cs="Arial"/>
          <w:sz w:val="15"/>
          <w:szCs w:val="15"/>
        </w:rPr>
        <w:t xml:space="preserve"> </w:t>
      </w:r>
      <w:r>
        <w:rPr>
          <w:rFonts w:ascii="Arial" w:eastAsia="Arial" w:hAnsi="Arial" w:cs="Arial"/>
          <w:color w:val="000000"/>
          <w:sz w:val="15"/>
          <w:szCs w:val="15"/>
        </w:rPr>
        <w:t xml:space="preserve">Osobním údajem se rozumí zejména jméno, příjmení, rodné příjmení, titul, </w:t>
      </w:r>
      <w:r>
        <w:rPr>
          <w:rFonts w:ascii="Arial" w:eastAsia="Arial" w:hAnsi="Arial" w:cs="Arial"/>
          <w:sz w:val="15"/>
          <w:szCs w:val="15"/>
        </w:rPr>
        <w:t>telefonní číslo</w:t>
      </w:r>
      <w:r>
        <w:rPr>
          <w:rFonts w:ascii="Arial" w:eastAsia="Arial" w:hAnsi="Arial" w:cs="Arial"/>
          <w:color w:val="000000"/>
          <w:sz w:val="15"/>
          <w:szCs w:val="15"/>
        </w:rPr>
        <w:t xml:space="preserve">, adresa trvalého bydliště. TT je oprávněn zpracovávat tyto osobní údaje po dobu trvání Smlouvy a po dobu </w:t>
      </w:r>
      <w:r>
        <w:rPr>
          <w:rFonts w:ascii="Arial" w:eastAsia="Arial" w:hAnsi="Arial" w:cs="Arial"/>
          <w:sz w:val="15"/>
          <w:szCs w:val="15"/>
        </w:rPr>
        <w:t>5 (pěti)</w:t>
      </w:r>
      <w:r>
        <w:rPr>
          <w:rFonts w:ascii="Arial" w:eastAsia="Arial" w:hAnsi="Arial" w:cs="Arial"/>
          <w:color w:val="000000"/>
          <w:sz w:val="15"/>
          <w:szCs w:val="15"/>
        </w:rPr>
        <w:t xml:space="preserve"> let od data skončení Smlouvy. TT je oprávněn sdělit tyto osobní údaje koncernovým či jinak propojeným společnostem TT.</w:t>
      </w:r>
    </w:p>
    <w:p w14:paraId="78672D54"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2942ED2C" w14:textId="77777777" w:rsidR="00BE1AD0" w:rsidRDefault="00A963D3">
      <w:pPr>
        <w:numPr>
          <w:ilvl w:val="0"/>
          <w:numId w:val="1"/>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b/>
          <w:color w:val="000000"/>
          <w:sz w:val="15"/>
          <w:szCs w:val="15"/>
        </w:rPr>
        <w:t xml:space="preserve">Trvání a ukončení smlouvy </w:t>
      </w:r>
    </w:p>
    <w:p w14:paraId="07917BFE"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734E6BEE" w14:textId="77777777" w:rsidR="00BE1AD0" w:rsidRDefault="00A963D3">
      <w:pPr>
        <w:numPr>
          <w:ilvl w:val="0"/>
          <w:numId w:val="10"/>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Trvání Smlouvy, prodlužování</w:t>
      </w:r>
      <w:r>
        <w:rPr>
          <w:rFonts w:ascii="Arial" w:eastAsia="Arial" w:hAnsi="Arial" w:cs="Arial"/>
          <w:color w:val="000000"/>
          <w:sz w:val="15"/>
          <w:szCs w:val="15"/>
        </w:rPr>
        <w:t>. Smlouva se uzavírá na dobu neurčitou, není-li v Základních podmínkách stanoveno jinak.</w:t>
      </w:r>
    </w:p>
    <w:p w14:paraId="228F6D31"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735CC1A5" w14:textId="77777777" w:rsidR="00BE1AD0" w:rsidRDefault="00A963D3">
      <w:pPr>
        <w:numPr>
          <w:ilvl w:val="0"/>
          <w:numId w:val="10"/>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Výpověď</w:t>
      </w:r>
      <w:r>
        <w:rPr>
          <w:rFonts w:ascii="Arial" w:eastAsia="Arial" w:hAnsi="Arial" w:cs="Arial"/>
          <w:color w:val="000000"/>
          <w:sz w:val="15"/>
          <w:szCs w:val="15"/>
        </w:rPr>
        <w:t>. Kterákoli ze smluvních stran je oprávněna Smlouvu vypovědět, a to písemnou výpovědí doručenou druhé smluvní straně. Výpovědní doba činí 1 měsíc a počne běžet prvním dnem měsíce následujícího po měsíci, v němž byla výpověď doručena druhé smluvní straně.</w:t>
      </w:r>
    </w:p>
    <w:p w14:paraId="487DD6C5" w14:textId="77777777" w:rsidR="00BE1AD0" w:rsidRDefault="00A963D3">
      <w:pPr>
        <w:numPr>
          <w:ilvl w:val="0"/>
          <w:numId w:val="10"/>
        </w:numPr>
        <w:pBdr>
          <w:top w:val="nil"/>
          <w:left w:val="nil"/>
          <w:bottom w:val="nil"/>
          <w:right w:val="nil"/>
          <w:between w:val="nil"/>
        </w:pBdr>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Odstoupení</w:t>
      </w:r>
      <w:r>
        <w:rPr>
          <w:rFonts w:ascii="Arial" w:eastAsia="Arial" w:hAnsi="Arial" w:cs="Arial"/>
          <w:color w:val="000000"/>
          <w:sz w:val="15"/>
          <w:szCs w:val="15"/>
        </w:rPr>
        <w:t>. Každá ze smluvních stran je oprávněna od Smlouvy odstoupit v případě podstatného a/nebo opakovaného závažného porušení povinností ze Smlouvy resultujících druhou smluvní stranou. Podstatným porušením povinnosti se rozumí zejména (nikoli však výlučně) porušení povinností označených ve Smlouvě či VOP za podstatné porušení Smlouvy. Nárok jedné smluvní strany na náhradu škody vzniklé v důsledku porušení povinnosti dle Smlouvy druhou smluvní stranou zůstává odstoupením od Smlouvy nedotčen.</w:t>
      </w:r>
    </w:p>
    <w:p w14:paraId="1EA518E9" w14:textId="77777777" w:rsidR="00BE1AD0" w:rsidRDefault="00BE1AD0">
      <w:pPr>
        <w:pBdr>
          <w:top w:val="nil"/>
          <w:left w:val="nil"/>
          <w:bottom w:val="nil"/>
          <w:right w:val="nil"/>
          <w:between w:val="nil"/>
        </w:pBdr>
        <w:spacing w:line="240" w:lineRule="auto"/>
        <w:jc w:val="both"/>
        <w:rPr>
          <w:rFonts w:ascii="Arial" w:eastAsia="Arial" w:hAnsi="Arial" w:cs="Arial"/>
          <w:sz w:val="15"/>
          <w:szCs w:val="15"/>
        </w:rPr>
      </w:pPr>
    </w:p>
    <w:p w14:paraId="3EB97837" w14:textId="77777777" w:rsidR="00BE1AD0" w:rsidRDefault="00BE1AD0">
      <w:pPr>
        <w:pBdr>
          <w:top w:val="nil"/>
          <w:left w:val="nil"/>
          <w:bottom w:val="nil"/>
          <w:right w:val="nil"/>
          <w:between w:val="nil"/>
        </w:pBdr>
        <w:spacing w:line="240" w:lineRule="auto"/>
        <w:jc w:val="both"/>
        <w:rPr>
          <w:rFonts w:ascii="Arial" w:eastAsia="Arial" w:hAnsi="Arial" w:cs="Arial"/>
          <w:sz w:val="15"/>
          <w:szCs w:val="15"/>
        </w:rPr>
      </w:pPr>
    </w:p>
    <w:p w14:paraId="6C459A17" w14:textId="77777777" w:rsidR="00BE1AD0" w:rsidRDefault="00BE1AD0">
      <w:pPr>
        <w:pBdr>
          <w:top w:val="nil"/>
          <w:left w:val="nil"/>
          <w:bottom w:val="nil"/>
          <w:right w:val="nil"/>
          <w:between w:val="nil"/>
        </w:pBdr>
        <w:spacing w:line="240" w:lineRule="auto"/>
        <w:jc w:val="both"/>
        <w:rPr>
          <w:rFonts w:ascii="Arial" w:eastAsia="Arial" w:hAnsi="Arial" w:cs="Arial"/>
          <w:color w:val="000000"/>
          <w:sz w:val="15"/>
          <w:szCs w:val="15"/>
        </w:rPr>
      </w:pPr>
    </w:p>
    <w:p w14:paraId="45354277" w14:textId="77777777" w:rsidR="00BE1AD0" w:rsidRDefault="00A963D3">
      <w:pPr>
        <w:numPr>
          <w:ilvl w:val="0"/>
          <w:numId w:val="1"/>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b/>
          <w:color w:val="000000"/>
          <w:sz w:val="15"/>
          <w:szCs w:val="15"/>
        </w:rPr>
        <w:t>Závěrečná ustanovení</w:t>
      </w:r>
    </w:p>
    <w:p w14:paraId="2743AE77" w14:textId="77777777" w:rsidR="00BE1AD0" w:rsidRDefault="00A963D3">
      <w:pPr>
        <w:numPr>
          <w:ilvl w:val="0"/>
          <w:numId w:val="8"/>
        </w:numPr>
        <w:pBdr>
          <w:top w:val="nil"/>
          <w:left w:val="nil"/>
          <w:bottom w:val="nil"/>
          <w:right w:val="nil"/>
          <w:between w:val="nil"/>
        </w:pBdr>
        <w:tabs>
          <w:tab w:val="left" w:pos="360"/>
        </w:tabs>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Započtení</w:t>
      </w:r>
      <w:r>
        <w:rPr>
          <w:rFonts w:ascii="Arial" w:eastAsia="Arial" w:hAnsi="Arial" w:cs="Arial"/>
          <w:color w:val="000000"/>
          <w:sz w:val="15"/>
          <w:szCs w:val="15"/>
        </w:rPr>
        <w:t>. TT je kdykoli oprávněn jednostranně započíst své pohledávky za Klientem vůči svým závazkům vůči Klientovi. Smluvní strany se dohodly, že TT je oprávněn započíst i nesplatné pohledávky vůči pohledávkám splatným. Jednostranné započtení ze strany Klienta je vyloučeno.</w:t>
      </w:r>
    </w:p>
    <w:p w14:paraId="6A88DFE6"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20025E23" w14:textId="77777777" w:rsidR="00BE1AD0" w:rsidRDefault="00A963D3">
      <w:pPr>
        <w:numPr>
          <w:ilvl w:val="0"/>
          <w:numId w:val="8"/>
        </w:numPr>
        <w:pBdr>
          <w:top w:val="nil"/>
          <w:left w:val="nil"/>
          <w:bottom w:val="nil"/>
          <w:right w:val="nil"/>
          <w:between w:val="nil"/>
        </w:pBdr>
        <w:tabs>
          <w:tab w:val="left" w:pos="360"/>
        </w:tabs>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Postoupení</w:t>
      </w:r>
      <w:r>
        <w:rPr>
          <w:rFonts w:ascii="Arial" w:eastAsia="Arial" w:hAnsi="Arial" w:cs="Arial"/>
          <w:color w:val="000000"/>
          <w:sz w:val="15"/>
          <w:szCs w:val="15"/>
        </w:rPr>
        <w:t>. TT je kdykoli oprávněn postoupit své pohledávky za Klientem na třetí osobu. Postoupení pohledávek za TT ze strany Klienta je vyloučeno.</w:t>
      </w:r>
    </w:p>
    <w:p w14:paraId="15E2278E"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201426F7" w14:textId="77777777" w:rsidR="00BE1AD0" w:rsidRDefault="00A963D3">
      <w:pPr>
        <w:numPr>
          <w:ilvl w:val="0"/>
          <w:numId w:val="8"/>
        </w:numPr>
        <w:pBdr>
          <w:top w:val="nil"/>
          <w:left w:val="nil"/>
          <w:bottom w:val="nil"/>
          <w:right w:val="nil"/>
          <w:between w:val="nil"/>
        </w:pBdr>
        <w:tabs>
          <w:tab w:val="left" w:pos="360"/>
        </w:tabs>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NOZ</w:t>
      </w:r>
      <w:r>
        <w:rPr>
          <w:rFonts w:ascii="Arial" w:eastAsia="Arial" w:hAnsi="Arial" w:cs="Arial"/>
          <w:color w:val="000000"/>
          <w:sz w:val="15"/>
          <w:szCs w:val="15"/>
        </w:rPr>
        <w:t>. Smluvní</w:t>
      </w:r>
      <w:r>
        <w:rPr>
          <w:rFonts w:ascii="Arial" w:eastAsia="Arial" w:hAnsi="Arial" w:cs="Arial"/>
          <w:color w:val="000000"/>
          <w:sz w:val="15"/>
          <w:szCs w:val="15"/>
          <w:u w:val="single"/>
        </w:rPr>
        <w:t xml:space="preserve"> </w:t>
      </w:r>
      <w:r>
        <w:rPr>
          <w:rFonts w:ascii="Arial" w:eastAsia="Arial" w:hAnsi="Arial" w:cs="Arial"/>
          <w:color w:val="000000"/>
          <w:sz w:val="15"/>
          <w:szCs w:val="15"/>
        </w:rPr>
        <w:t>strany se dohodly, že na smluvní vztah Klienta a TT se nepoužije § 1798 až  § 1801, § 2434 až 2435 a § 2442 NOZ.</w:t>
      </w:r>
    </w:p>
    <w:p w14:paraId="402783EF"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46FD3620" w14:textId="77777777" w:rsidR="00BE1AD0" w:rsidRDefault="00A963D3">
      <w:pPr>
        <w:numPr>
          <w:ilvl w:val="0"/>
          <w:numId w:val="8"/>
        </w:numPr>
        <w:pBdr>
          <w:top w:val="nil"/>
          <w:left w:val="nil"/>
          <w:bottom w:val="nil"/>
          <w:right w:val="nil"/>
          <w:between w:val="nil"/>
        </w:pBdr>
        <w:tabs>
          <w:tab w:val="left" w:pos="360"/>
        </w:tabs>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Změny Smlouvy</w:t>
      </w:r>
      <w:r>
        <w:rPr>
          <w:rFonts w:ascii="Arial" w:eastAsia="Arial" w:hAnsi="Arial" w:cs="Arial"/>
          <w:color w:val="000000"/>
          <w:sz w:val="15"/>
          <w:szCs w:val="15"/>
        </w:rPr>
        <w:t xml:space="preserve">. Smlouvu je možné měnit pouze písemnou dohodou, s výjimkou VOP a </w:t>
      </w:r>
      <w:r>
        <w:rPr>
          <w:rFonts w:ascii="Arial" w:eastAsia="Arial" w:hAnsi="Arial" w:cs="Arial"/>
          <w:color w:val="000000"/>
          <w:sz w:val="15"/>
          <w:szCs w:val="15"/>
        </w:rPr>
        <w:lastRenderedPageBreak/>
        <w:t>příloh, v nichž je uvedeno, že je může TT měnit a doplňovat jednostranně.</w:t>
      </w:r>
    </w:p>
    <w:p w14:paraId="7B123C58"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05A1EA31" w14:textId="77777777" w:rsidR="00BE1AD0" w:rsidRDefault="00A963D3">
      <w:pPr>
        <w:numPr>
          <w:ilvl w:val="0"/>
          <w:numId w:val="8"/>
        </w:numPr>
        <w:pBdr>
          <w:top w:val="nil"/>
          <w:left w:val="nil"/>
          <w:bottom w:val="nil"/>
          <w:right w:val="nil"/>
          <w:between w:val="nil"/>
        </w:pBdr>
        <w:tabs>
          <w:tab w:val="left" w:pos="360"/>
        </w:tabs>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VOP</w:t>
      </w:r>
      <w:r>
        <w:rPr>
          <w:rFonts w:ascii="Arial" w:eastAsia="Arial" w:hAnsi="Arial" w:cs="Arial"/>
          <w:color w:val="000000"/>
          <w:sz w:val="15"/>
          <w:szCs w:val="15"/>
        </w:rPr>
        <w:t>. Otázky neupravené smlouvou se řídí VOP,</w:t>
      </w:r>
    </w:p>
    <w:p w14:paraId="2FA214C5" w14:textId="77777777" w:rsidR="00BE1AD0" w:rsidRDefault="00A963D3">
      <w:pPr>
        <w:pBdr>
          <w:top w:val="nil"/>
          <w:left w:val="nil"/>
          <w:bottom w:val="nil"/>
          <w:right w:val="nil"/>
          <w:between w:val="nil"/>
        </w:pBdr>
        <w:tabs>
          <w:tab w:val="left" w:pos="360"/>
        </w:tabs>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 se kterými byl Klient seznámen. V případě nesouladu mezi Smlouvou a VOP má přednost Smlouva. Použití všeobecných obchodních podmínek Klienta je vyloučeno. TT je oprávněn tyto VOP jednostranně měnit. Nová verze VOP bude umístěna na internetových stánkách TT – </w:t>
      </w:r>
      <w:hyperlink r:id="rId12">
        <w:r>
          <w:rPr>
            <w:rFonts w:ascii="Arial" w:eastAsia="Arial" w:hAnsi="Arial" w:cs="Arial"/>
            <w:color w:val="0000FF"/>
            <w:sz w:val="15"/>
            <w:szCs w:val="15"/>
            <w:u w:val="single"/>
          </w:rPr>
          <w:t>www.ticktack.cz</w:t>
        </w:r>
      </w:hyperlink>
      <w:r>
        <w:rPr>
          <w:rFonts w:ascii="Arial" w:eastAsia="Arial" w:hAnsi="Arial" w:cs="Arial"/>
          <w:color w:val="000000"/>
          <w:sz w:val="15"/>
          <w:szCs w:val="15"/>
        </w:rPr>
        <w:t xml:space="preserve"> nejméně 30 dnů před datem její účinnosti. Vydání nové verze VOP TT rovněž oznámí Klientovi. V případě, že Klient nesouhlasí s podmínkami nových VOP, je oprávněn Smlouvu vypovědět písemným oznámením TT s výpovědní lhůtou 30 dnů ode dne doručení výpovědi TT.</w:t>
      </w:r>
    </w:p>
    <w:p w14:paraId="7803A187"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3E58C1B0" w14:textId="77777777" w:rsidR="00BE1AD0" w:rsidRDefault="00A963D3">
      <w:pPr>
        <w:numPr>
          <w:ilvl w:val="0"/>
          <w:numId w:val="8"/>
        </w:numPr>
        <w:pBdr>
          <w:top w:val="nil"/>
          <w:left w:val="nil"/>
          <w:bottom w:val="nil"/>
          <w:right w:val="nil"/>
          <w:between w:val="nil"/>
        </w:pBdr>
        <w:tabs>
          <w:tab w:val="left" w:pos="360"/>
        </w:tabs>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Doručování</w:t>
      </w:r>
      <w:r>
        <w:rPr>
          <w:rFonts w:ascii="Arial" w:eastAsia="Arial" w:hAnsi="Arial" w:cs="Arial"/>
          <w:color w:val="000000"/>
          <w:sz w:val="15"/>
          <w:szCs w:val="15"/>
        </w:rPr>
        <w:t xml:space="preserve">. Všechna sdělení nebo dokumenty budou zasílány e-mailem a/nebo doporučeně na adresy smluvních stran uvedené v záhlaví Smlouvy. Stejné účinky jako doručení jakéhokoli písemného právního jednání druhé smluvní straně má odmítnutí takovéto strany písemný dokument obsahující právní jednání převzít. </w:t>
      </w:r>
    </w:p>
    <w:p w14:paraId="6E0B4A56"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422FB76F" w14:textId="77777777" w:rsidR="00BE1AD0" w:rsidRDefault="00A963D3">
      <w:pPr>
        <w:numPr>
          <w:ilvl w:val="0"/>
          <w:numId w:val="8"/>
        </w:numPr>
        <w:pBdr>
          <w:top w:val="nil"/>
          <w:left w:val="nil"/>
          <w:bottom w:val="nil"/>
          <w:right w:val="nil"/>
          <w:between w:val="nil"/>
        </w:pBdr>
        <w:tabs>
          <w:tab w:val="left" w:pos="360"/>
        </w:tabs>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Obchodní zvyklost</w:t>
      </w:r>
      <w:r>
        <w:rPr>
          <w:rFonts w:ascii="Arial" w:eastAsia="Arial" w:hAnsi="Arial" w:cs="Arial"/>
          <w:color w:val="000000"/>
          <w:sz w:val="15"/>
          <w:szCs w:val="15"/>
        </w:rPr>
        <w:t>. Obchodní zvyklost nemá dle § 558 odst. 2 NOZ přednost před ustanovením zákona, jež nemá donucující účinky.</w:t>
      </w:r>
    </w:p>
    <w:p w14:paraId="3B9CF045"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0EBA63D5" w14:textId="77777777" w:rsidR="00BE1AD0" w:rsidRDefault="00A963D3">
      <w:pPr>
        <w:numPr>
          <w:ilvl w:val="0"/>
          <w:numId w:val="8"/>
        </w:numPr>
        <w:pBdr>
          <w:top w:val="nil"/>
          <w:left w:val="nil"/>
          <w:bottom w:val="nil"/>
          <w:right w:val="nil"/>
          <w:between w:val="nil"/>
        </w:pBdr>
        <w:tabs>
          <w:tab w:val="left" w:pos="360"/>
        </w:tabs>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Salvátorská klauzule</w:t>
      </w:r>
      <w:r>
        <w:rPr>
          <w:rFonts w:ascii="Arial" w:eastAsia="Arial" w:hAnsi="Arial" w:cs="Arial"/>
          <w:color w:val="000000"/>
          <w:sz w:val="15"/>
          <w:szCs w:val="15"/>
        </w:rPr>
        <w:t xml:space="preserve">. Je-li některé z ustanovení Smlouvy, jejích příloh či VOP neplatné či neúčinné nebo pozbude-li platnosti, zůstává tím platnost ostatních ustanovení nedotčena. Namísto neplatného nebo neúčinného ustanovení nastupuje ustanovení všeobecně závazných předpisů, které řeší danou otázku smluvního vztahu. V tomto případě se smluvní strany zavazují změnit svůj smluvní vztah přijetím nového ustanovení, které bude svým obsahem nejlépe odpovídat neplatnému nebo neúčinnému ustanovení. </w:t>
      </w:r>
    </w:p>
    <w:p w14:paraId="1F9490E9" w14:textId="77777777" w:rsidR="00BE1AD0" w:rsidRDefault="00BE1AD0">
      <w:pPr>
        <w:pBdr>
          <w:top w:val="nil"/>
          <w:left w:val="nil"/>
          <w:bottom w:val="nil"/>
          <w:right w:val="nil"/>
          <w:between w:val="nil"/>
        </w:pBdr>
        <w:tabs>
          <w:tab w:val="left" w:pos="360"/>
        </w:tabs>
        <w:spacing w:line="240" w:lineRule="auto"/>
        <w:jc w:val="both"/>
        <w:rPr>
          <w:rFonts w:ascii="Arial" w:eastAsia="Arial" w:hAnsi="Arial" w:cs="Arial"/>
          <w:sz w:val="15"/>
          <w:szCs w:val="15"/>
        </w:rPr>
      </w:pPr>
    </w:p>
    <w:p w14:paraId="21880CC5" w14:textId="77777777" w:rsidR="00BE1AD0" w:rsidRDefault="00A963D3">
      <w:pPr>
        <w:numPr>
          <w:ilvl w:val="0"/>
          <w:numId w:val="8"/>
        </w:numPr>
        <w:pBdr>
          <w:top w:val="nil"/>
          <w:left w:val="nil"/>
          <w:bottom w:val="nil"/>
          <w:right w:val="nil"/>
          <w:between w:val="nil"/>
        </w:pBdr>
        <w:tabs>
          <w:tab w:val="left" w:pos="360"/>
        </w:tabs>
        <w:spacing w:line="240" w:lineRule="auto"/>
        <w:ind w:left="-1" w:hanging="1"/>
        <w:jc w:val="both"/>
        <w:rPr>
          <w:rFonts w:ascii="Arial" w:eastAsia="Arial" w:hAnsi="Arial" w:cs="Arial"/>
          <w:color w:val="000000"/>
          <w:sz w:val="15"/>
          <w:szCs w:val="15"/>
        </w:rPr>
      </w:pPr>
      <w:r>
        <w:rPr>
          <w:rFonts w:ascii="Arial" w:eastAsia="Arial" w:hAnsi="Arial" w:cs="Arial"/>
          <w:color w:val="000000"/>
          <w:sz w:val="15"/>
          <w:szCs w:val="15"/>
          <w:u w:val="single"/>
        </w:rPr>
        <w:t>Přepravní podmínky</w:t>
      </w:r>
      <w:r>
        <w:rPr>
          <w:rFonts w:ascii="Arial" w:eastAsia="Arial" w:hAnsi="Arial" w:cs="Arial"/>
          <w:color w:val="000000"/>
          <w:sz w:val="15"/>
          <w:szCs w:val="15"/>
        </w:rPr>
        <w:t>. TT zveřejňuje Přepravní podmínky na svých internetových stránkách. Klient je povinen sledovat jejich aktuální znění.</w:t>
      </w:r>
    </w:p>
    <w:p w14:paraId="7B5E9809" w14:textId="77777777" w:rsidR="00BE1AD0" w:rsidRDefault="00BE1AD0">
      <w:pPr>
        <w:pBdr>
          <w:top w:val="nil"/>
          <w:left w:val="nil"/>
          <w:bottom w:val="nil"/>
          <w:right w:val="nil"/>
          <w:between w:val="nil"/>
        </w:pBdr>
        <w:spacing w:line="240" w:lineRule="auto"/>
        <w:rPr>
          <w:rFonts w:ascii="Arial" w:eastAsia="Arial" w:hAnsi="Arial" w:cs="Arial"/>
          <w:color w:val="000000"/>
          <w:sz w:val="15"/>
          <w:szCs w:val="15"/>
        </w:rPr>
      </w:pPr>
    </w:p>
    <w:p w14:paraId="76FB937E" w14:textId="77777777" w:rsidR="00BE1AD0" w:rsidRDefault="00BE1AD0">
      <w:pPr>
        <w:pBdr>
          <w:top w:val="nil"/>
          <w:left w:val="nil"/>
          <w:bottom w:val="nil"/>
          <w:right w:val="nil"/>
          <w:between w:val="nil"/>
        </w:pBdr>
        <w:tabs>
          <w:tab w:val="left" w:pos="1560"/>
        </w:tabs>
        <w:spacing w:line="240" w:lineRule="auto"/>
        <w:jc w:val="center"/>
        <w:rPr>
          <w:rFonts w:ascii="Arial" w:eastAsia="Arial" w:hAnsi="Arial" w:cs="Arial"/>
          <w:sz w:val="15"/>
          <w:szCs w:val="15"/>
        </w:rPr>
      </w:pPr>
    </w:p>
    <w:p w14:paraId="2C563D4A" w14:textId="77777777" w:rsidR="00BE1AD0" w:rsidRDefault="00BE1AD0">
      <w:pPr>
        <w:pBdr>
          <w:top w:val="nil"/>
          <w:left w:val="nil"/>
          <w:bottom w:val="nil"/>
          <w:right w:val="nil"/>
          <w:between w:val="nil"/>
        </w:pBdr>
        <w:tabs>
          <w:tab w:val="left" w:pos="1560"/>
        </w:tabs>
        <w:spacing w:line="240" w:lineRule="auto"/>
        <w:jc w:val="center"/>
        <w:rPr>
          <w:rFonts w:ascii="Arial" w:eastAsia="Arial" w:hAnsi="Arial" w:cs="Arial"/>
          <w:sz w:val="15"/>
          <w:szCs w:val="15"/>
        </w:rPr>
      </w:pPr>
    </w:p>
    <w:p w14:paraId="037A04BF" w14:textId="77777777" w:rsidR="00BE1AD0" w:rsidRDefault="00BE1AD0">
      <w:pPr>
        <w:pBdr>
          <w:top w:val="nil"/>
          <w:left w:val="nil"/>
          <w:bottom w:val="nil"/>
          <w:right w:val="nil"/>
          <w:between w:val="nil"/>
        </w:pBdr>
        <w:tabs>
          <w:tab w:val="left" w:pos="1560"/>
        </w:tabs>
        <w:spacing w:line="240" w:lineRule="auto"/>
        <w:jc w:val="center"/>
        <w:rPr>
          <w:rFonts w:ascii="Arial" w:eastAsia="Arial" w:hAnsi="Arial" w:cs="Arial"/>
          <w:sz w:val="15"/>
          <w:szCs w:val="15"/>
        </w:rPr>
      </w:pPr>
    </w:p>
    <w:p w14:paraId="7B14C416" w14:textId="77777777" w:rsidR="00BE1AD0" w:rsidRDefault="00BE1AD0">
      <w:pPr>
        <w:pBdr>
          <w:top w:val="nil"/>
          <w:left w:val="nil"/>
          <w:bottom w:val="nil"/>
          <w:right w:val="nil"/>
          <w:between w:val="nil"/>
        </w:pBdr>
        <w:tabs>
          <w:tab w:val="left" w:pos="1560"/>
        </w:tabs>
        <w:spacing w:line="240" w:lineRule="auto"/>
        <w:jc w:val="center"/>
        <w:rPr>
          <w:rFonts w:ascii="Arial" w:eastAsia="Arial" w:hAnsi="Arial" w:cs="Arial"/>
          <w:sz w:val="15"/>
          <w:szCs w:val="15"/>
        </w:rPr>
      </w:pPr>
    </w:p>
    <w:p w14:paraId="66B382BD" w14:textId="77777777" w:rsidR="00BE1AD0" w:rsidRDefault="00BE1AD0">
      <w:pPr>
        <w:pBdr>
          <w:top w:val="nil"/>
          <w:left w:val="nil"/>
          <w:bottom w:val="nil"/>
          <w:right w:val="nil"/>
          <w:between w:val="nil"/>
        </w:pBdr>
        <w:tabs>
          <w:tab w:val="left" w:pos="1560"/>
        </w:tabs>
        <w:spacing w:line="240" w:lineRule="auto"/>
        <w:jc w:val="center"/>
        <w:rPr>
          <w:rFonts w:ascii="Arial" w:eastAsia="Arial" w:hAnsi="Arial" w:cs="Arial"/>
          <w:sz w:val="15"/>
          <w:szCs w:val="15"/>
        </w:rPr>
      </w:pPr>
    </w:p>
    <w:p w14:paraId="0FAB8B84" w14:textId="77777777" w:rsidR="00BE1AD0" w:rsidRDefault="00BE1AD0">
      <w:pPr>
        <w:pBdr>
          <w:top w:val="nil"/>
          <w:left w:val="nil"/>
          <w:bottom w:val="nil"/>
          <w:right w:val="nil"/>
          <w:between w:val="nil"/>
        </w:pBdr>
        <w:tabs>
          <w:tab w:val="left" w:pos="1560"/>
        </w:tabs>
        <w:spacing w:line="240" w:lineRule="auto"/>
        <w:jc w:val="center"/>
        <w:rPr>
          <w:rFonts w:ascii="Arial" w:eastAsia="Arial" w:hAnsi="Arial" w:cs="Arial"/>
          <w:sz w:val="15"/>
          <w:szCs w:val="15"/>
        </w:rPr>
      </w:pPr>
    </w:p>
    <w:p w14:paraId="43140E49" w14:textId="77777777" w:rsidR="00BE1AD0" w:rsidRDefault="00BE1AD0">
      <w:pPr>
        <w:pBdr>
          <w:top w:val="nil"/>
          <w:left w:val="nil"/>
          <w:bottom w:val="nil"/>
          <w:right w:val="nil"/>
          <w:between w:val="nil"/>
        </w:pBdr>
        <w:tabs>
          <w:tab w:val="left" w:pos="1560"/>
        </w:tabs>
        <w:spacing w:line="240" w:lineRule="auto"/>
        <w:jc w:val="center"/>
        <w:rPr>
          <w:rFonts w:ascii="Arial" w:eastAsia="Arial" w:hAnsi="Arial" w:cs="Arial"/>
          <w:color w:val="000000"/>
          <w:sz w:val="15"/>
          <w:szCs w:val="15"/>
        </w:rPr>
      </w:pPr>
    </w:p>
    <w:p w14:paraId="7374DD5C" w14:textId="1F6DD8DD" w:rsidR="00BE1AD0" w:rsidRDefault="00A963D3">
      <w:pPr>
        <w:pBdr>
          <w:top w:val="nil"/>
          <w:left w:val="nil"/>
          <w:bottom w:val="nil"/>
          <w:right w:val="nil"/>
          <w:between w:val="nil"/>
        </w:pBdr>
        <w:tabs>
          <w:tab w:val="left" w:pos="1560"/>
        </w:tabs>
        <w:spacing w:line="240" w:lineRule="auto"/>
        <w:jc w:val="center"/>
        <w:rPr>
          <w:rFonts w:ascii="Arial" w:eastAsia="Arial" w:hAnsi="Arial" w:cs="Arial"/>
          <w:color w:val="000000"/>
          <w:sz w:val="15"/>
          <w:szCs w:val="15"/>
        </w:rPr>
      </w:pPr>
      <w:r>
        <w:rPr>
          <w:rFonts w:ascii="Arial" w:eastAsia="Arial" w:hAnsi="Arial" w:cs="Arial"/>
          <w:color w:val="000000"/>
          <w:sz w:val="15"/>
          <w:szCs w:val="15"/>
        </w:rPr>
        <w:t xml:space="preserve">Místo:  </w:t>
      </w:r>
      <w:r w:rsidR="00095794">
        <w:rPr>
          <w:rFonts w:ascii="Arial" w:eastAsia="Arial" w:hAnsi="Arial" w:cs="Arial"/>
          <w:color w:val="000000"/>
          <w:sz w:val="15"/>
          <w:szCs w:val="15"/>
        </w:rPr>
        <w:t>Praha</w:t>
      </w:r>
      <w:r>
        <w:rPr>
          <w:rFonts w:ascii="Arial" w:eastAsia="Arial" w:hAnsi="Arial" w:cs="Arial"/>
          <w:color w:val="000000"/>
          <w:sz w:val="15"/>
          <w:szCs w:val="15"/>
        </w:rPr>
        <w:t xml:space="preserve">                     Datum:</w:t>
      </w:r>
      <w:r w:rsidR="00095794">
        <w:rPr>
          <w:rFonts w:ascii="Arial" w:eastAsia="Arial" w:hAnsi="Arial" w:cs="Arial"/>
          <w:color w:val="000000"/>
          <w:sz w:val="15"/>
          <w:szCs w:val="15"/>
        </w:rPr>
        <w:t xml:space="preserve"> </w:t>
      </w:r>
    </w:p>
    <w:p w14:paraId="655D0044" w14:textId="77777777" w:rsidR="00BE1AD0" w:rsidRDefault="00BE1AD0">
      <w:pPr>
        <w:pBdr>
          <w:top w:val="nil"/>
          <w:left w:val="nil"/>
          <w:bottom w:val="nil"/>
          <w:right w:val="nil"/>
          <w:between w:val="nil"/>
        </w:pBdr>
        <w:tabs>
          <w:tab w:val="left" w:pos="1560"/>
        </w:tabs>
        <w:spacing w:line="240" w:lineRule="auto"/>
        <w:jc w:val="center"/>
        <w:rPr>
          <w:rFonts w:ascii="Arial" w:eastAsia="Arial" w:hAnsi="Arial" w:cs="Arial"/>
          <w:color w:val="000000"/>
          <w:sz w:val="15"/>
          <w:szCs w:val="15"/>
        </w:rPr>
      </w:pPr>
    </w:p>
    <w:p w14:paraId="3BE015A2" w14:textId="77777777" w:rsidR="00BE1AD0" w:rsidRDefault="00BE1AD0">
      <w:pPr>
        <w:pBdr>
          <w:top w:val="nil"/>
          <w:left w:val="nil"/>
          <w:bottom w:val="nil"/>
          <w:right w:val="nil"/>
          <w:between w:val="nil"/>
        </w:pBdr>
        <w:tabs>
          <w:tab w:val="left" w:pos="3060"/>
        </w:tabs>
        <w:spacing w:line="240" w:lineRule="auto"/>
        <w:jc w:val="center"/>
        <w:rPr>
          <w:rFonts w:ascii="Arial" w:eastAsia="Arial" w:hAnsi="Arial" w:cs="Arial"/>
          <w:color w:val="000000"/>
          <w:sz w:val="15"/>
          <w:szCs w:val="15"/>
        </w:rPr>
      </w:pPr>
    </w:p>
    <w:p w14:paraId="1EAAB508" w14:textId="77777777" w:rsidR="00BE1AD0" w:rsidRDefault="00BE1AD0">
      <w:pPr>
        <w:pBdr>
          <w:top w:val="nil"/>
          <w:left w:val="nil"/>
          <w:bottom w:val="nil"/>
          <w:right w:val="nil"/>
          <w:between w:val="nil"/>
        </w:pBdr>
        <w:tabs>
          <w:tab w:val="left" w:pos="3060"/>
        </w:tabs>
        <w:spacing w:line="240" w:lineRule="auto"/>
        <w:jc w:val="center"/>
        <w:rPr>
          <w:rFonts w:ascii="Arial" w:eastAsia="Arial" w:hAnsi="Arial" w:cs="Arial"/>
          <w:color w:val="000000"/>
          <w:sz w:val="15"/>
          <w:szCs w:val="15"/>
        </w:rPr>
      </w:pPr>
    </w:p>
    <w:p w14:paraId="15EFAAD5" w14:textId="77777777" w:rsidR="00BE1AD0" w:rsidRDefault="00A963D3">
      <w:pPr>
        <w:pBdr>
          <w:top w:val="nil"/>
          <w:left w:val="nil"/>
          <w:bottom w:val="nil"/>
          <w:right w:val="nil"/>
          <w:between w:val="nil"/>
        </w:pBdr>
        <w:tabs>
          <w:tab w:val="left" w:pos="3060"/>
        </w:tabs>
        <w:spacing w:line="240" w:lineRule="auto"/>
        <w:jc w:val="center"/>
        <w:rPr>
          <w:rFonts w:ascii="Arial" w:eastAsia="Arial" w:hAnsi="Arial" w:cs="Arial"/>
          <w:color w:val="000000"/>
          <w:sz w:val="15"/>
          <w:szCs w:val="15"/>
        </w:rPr>
      </w:pPr>
      <w:r>
        <w:rPr>
          <w:rFonts w:ascii="Arial" w:eastAsia="Arial" w:hAnsi="Arial" w:cs="Arial"/>
          <w:color w:val="000000"/>
          <w:sz w:val="15"/>
          <w:szCs w:val="15"/>
        </w:rPr>
        <w:t>_____________________________</w:t>
      </w:r>
    </w:p>
    <w:p w14:paraId="26796654" w14:textId="77777777" w:rsidR="00BE1AD0" w:rsidRDefault="00A963D3">
      <w:pPr>
        <w:pBdr>
          <w:top w:val="nil"/>
          <w:left w:val="nil"/>
          <w:bottom w:val="nil"/>
          <w:right w:val="nil"/>
          <w:between w:val="nil"/>
        </w:pBdr>
        <w:tabs>
          <w:tab w:val="left" w:pos="3060"/>
        </w:tabs>
        <w:spacing w:line="240" w:lineRule="auto"/>
        <w:jc w:val="center"/>
        <w:rPr>
          <w:rFonts w:ascii="Arial" w:eastAsia="Arial" w:hAnsi="Arial" w:cs="Arial"/>
        </w:rPr>
        <w:sectPr w:rsidR="00BE1AD0">
          <w:headerReference w:type="even" r:id="rId13"/>
          <w:headerReference w:type="default" r:id="rId14"/>
          <w:footerReference w:type="even" r:id="rId15"/>
          <w:footerReference w:type="default" r:id="rId16"/>
          <w:headerReference w:type="first" r:id="rId17"/>
          <w:footerReference w:type="first" r:id="rId18"/>
          <w:pgSz w:w="11906" w:h="16838"/>
          <w:pgMar w:top="764" w:right="720" w:bottom="764" w:left="720" w:header="708" w:footer="708" w:gutter="0"/>
          <w:cols w:num="3" w:space="708" w:equalWidth="0">
            <w:col w:w="3391" w:space="146"/>
            <w:col w:w="3391" w:space="146"/>
            <w:col w:w="3391" w:space="0"/>
          </w:cols>
        </w:sectPr>
      </w:pPr>
      <w:r>
        <w:rPr>
          <w:rFonts w:ascii="Arial" w:eastAsia="Arial" w:hAnsi="Arial" w:cs="Arial"/>
          <w:b/>
          <w:color w:val="000000"/>
          <w:sz w:val="15"/>
          <w:szCs w:val="15"/>
        </w:rPr>
        <w:t>Klient</w:t>
      </w:r>
    </w:p>
    <w:p w14:paraId="1A5759CB" w14:textId="77777777" w:rsidR="00BE1AD0" w:rsidRDefault="00A963D3">
      <w:pPr>
        <w:ind w:left="0" w:hanging="2"/>
        <w:jc w:val="center"/>
        <w:rPr>
          <w:rFonts w:ascii="Arial" w:eastAsia="Arial" w:hAnsi="Arial" w:cs="Arial"/>
          <w:sz w:val="22"/>
          <w:szCs w:val="22"/>
        </w:rPr>
      </w:pPr>
      <w:r>
        <w:rPr>
          <w:rFonts w:ascii="Arial" w:eastAsia="Arial" w:hAnsi="Arial" w:cs="Arial"/>
          <w:b/>
          <w:sz w:val="22"/>
          <w:szCs w:val="22"/>
        </w:rPr>
        <w:lastRenderedPageBreak/>
        <w:t>VEDLEJŠÍ UJEDNÁNÍ K RÁMCOVÉ SMLOUVĚ O PŘEPRAVĚ OSOB Č. 1</w:t>
      </w:r>
    </w:p>
    <w:p w14:paraId="241C79D8" w14:textId="77777777" w:rsidR="00BE1AD0" w:rsidRDefault="00A963D3">
      <w:pPr>
        <w:ind w:left="0" w:hanging="2"/>
        <w:jc w:val="center"/>
        <w:rPr>
          <w:rFonts w:ascii="Arial" w:eastAsia="Arial" w:hAnsi="Arial" w:cs="Arial"/>
        </w:rPr>
      </w:pPr>
      <w:r>
        <w:rPr>
          <w:rFonts w:ascii="Arial" w:eastAsia="Arial" w:hAnsi="Arial" w:cs="Arial"/>
          <w:b/>
          <w:sz w:val="22"/>
          <w:szCs w:val="22"/>
        </w:rPr>
        <w:t>CENÍK</w:t>
      </w:r>
    </w:p>
    <w:tbl>
      <w:tblPr>
        <w:tblStyle w:val="a9"/>
        <w:tblW w:w="10708" w:type="dxa"/>
        <w:tblInd w:w="-55" w:type="dxa"/>
        <w:tblLayout w:type="fixed"/>
        <w:tblLook w:val="0000" w:firstRow="0" w:lastRow="0" w:firstColumn="0" w:lastColumn="0" w:noHBand="0" w:noVBand="0"/>
      </w:tblPr>
      <w:tblGrid>
        <w:gridCol w:w="1875"/>
        <w:gridCol w:w="3420"/>
        <w:gridCol w:w="5413"/>
      </w:tblGrid>
      <w:tr w:rsidR="002A19EC" w14:paraId="0A2BD4D2" w14:textId="77777777">
        <w:tc>
          <w:tcPr>
            <w:tcW w:w="5295" w:type="dxa"/>
            <w:gridSpan w:val="2"/>
            <w:tcBorders>
              <w:top w:val="single" w:sz="4" w:space="0" w:color="000000"/>
              <w:left w:val="single" w:sz="4" w:space="0" w:color="000000"/>
              <w:bottom w:val="single" w:sz="4" w:space="0" w:color="000000"/>
            </w:tcBorders>
          </w:tcPr>
          <w:p w14:paraId="0F334723" w14:textId="77777777" w:rsidR="002A19EC" w:rsidRDefault="002A19EC" w:rsidP="002A19EC">
            <w:pPr>
              <w:spacing w:after="120"/>
              <w:ind w:left="0" w:right="-108" w:hanging="2"/>
              <w:jc w:val="both"/>
              <w:rPr>
                <w:rFonts w:ascii="Arial" w:eastAsia="Arial" w:hAnsi="Arial" w:cs="Arial"/>
                <w:b/>
              </w:rPr>
            </w:pPr>
            <w:r>
              <w:rPr>
                <w:rFonts w:ascii="Arial" w:eastAsia="Arial" w:hAnsi="Arial" w:cs="Arial"/>
                <w:b/>
              </w:rPr>
              <w:t>NÁZEV SPOLEČNOSTI</w:t>
            </w:r>
          </w:p>
          <w:p w14:paraId="3D3CBC97" w14:textId="77777777" w:rsidR="002A19EC" w:rsidRPr="002A19EC" w:rsidRDefault="002A19EC" w:rsidP="002A19EC">
            <w:pPr>
              <w:ind w:left="0" w:right="-108" w:hanging="2"/>
              <w:jc w:val="both"/>
              <w:rPr>
                <w:rFonts w:ascii="Arial" w:eastAsia="Arial" w:hAnsi="Arial" w:cs="Arial"/>
                <w:sz w:val="32"/>
                <w:szCs w:val="32"/>
              </w:rPr>
            </w:pPr>
            <w:r w:rsidRPr="002A19EC">
              <w:rPr>
                <w:rFonts w:ascii="Arial" w:eastAsia="Arial" w:hAnsi="Arial" w:cs="Arial"/>
                <w:b/>
                <w:color w:val="000000"/>
              </w:rPr>
              <w:t>Pražský filharmonický sbor</w:t>
            </w:r>
          </w:p>
          <w:p w14:paraId="5E1BD381" w14:textId="77777777" w:rsidR="002A19EC" w:rsidRPr="002A19EC" w:rsidRDefault="002A19EC" w:rsidP="002A19EC">
            <w:pPr>
              <w:spacing w:before="120" w:line="240" w:lineRule="auto"/>
              <w:ind w:left="0" w:hanging="2"/>
              <w:rPr>
                <w:rFonts w:ascii="Arial" w:eastAsia="Arial" w:hAnsi="Arial" w:cs="Arial"/>
                <w:color w:val="000000"/>
                <w:sz w:val="20"/>
                <w:szCs w:val="20"/>
              </w:rPr>
            </w:pPr>
            <w:r w:rsidRPr="002A19EC">
              <w:rPr>
                <w:rFonts w:ascii="Arial" w:eastAsia="Arial" w:hAnsi="Arial" w:cs="Arial"/>
                <w:smallCaps/>
                <w:sz w:val="20"/>
                <w:szCs w:val="20"/>
              </w:rPr>
              <w:t>IČ:</w:t>
            </w:r>
            <w:r w:rsidRPr="002A19EC">
              <w:rPr>
                <w:rFonts w:ascii="Arial" w:eastAsia="Arial" w:hAnsi="Arial" w:cs="Arial"/>
                <w:sz w:val="20"/>
                <w:szCs w:val="20"/>
              </w:rPr>
              <w:t>14450577</w:t>
            </w:r>
            <w:r w:rsidRPr="002A19EC">
              <w:rPr>
                <w:rFonts w:ascii="Arial" w:eastAsia="Arial" w:hAnsi="Arial" w:cs="Arial"/>
                <w:sz w:val="20"/>
                <w:szCs w:val="20"/>
              </w:rPr>
              <w:br/>
            </w:r>
            <w:r w:rsidRPr="002A19EC">
              <w:rPr>
                <w:rFonts w:ascii="Arial" w:eastAsia="Arial" w:hAnsi="Arial" w:cs="Arial"/>
                <w:color w:val="000000"/>
                <w:sz w:val="20"/>
                <w:szCs w:val="20"/>
              </w:rPr>
              <w:t>se sídlem: Melantrichova 970/17, Praha 1</w:t>
            </w:r>
          </w:p>
          <w:p w14:paraId="6C8DF638" w14:textId="77777777" w:rsidR="002A19EC" w:rsidRDefault="002A19EC" w:rsidP="002A19EC">
            <w:pPr>
              <w:spacing w:line="240" w:lineRule="auto"/>
              <w:ind w:left="0" w:hanging="2"/>
              <w:rPr>
                <w:rFonts w:ascii="Arial" w:eastAsia="Arial" w:hAnsi="Arial" w:cs="Arial"/>
                <w:color w:val="000000"/>
                <w:sz w:val="20"/>
                <w:szCs w:val="20"/>
              </w:rPr>
            </w:pPr>
            <w:r w:rsidRPr="002A19EC">
              <w:rPr>
                <w:rFonts w:ascii="Arial" w:eastAsia="Arial" w:hAnsi="Arial" w:cs="Arial"/>
                <w:color w:val="000000"/>
                <w:sz w:val="20"/>
                <w:szCs w:val="20"/>
              </w:rPr>
              <w:t>zapsaná u Ministerstva kultury pod č.j. 13.000/2001</w:t>
            </w:r>
          </w:p>
          <w:p w14:paraId="1D2BB3F0" w14:textId="77777777" w:rsidR="002A19EC" w:rsidRDefault="002A19EC" w:rsidP="002A19EC">
            <w:pPr>
              <w:spacing w:before="120" w:line="240" w:lineRule="auto"/>
              <w:ind w:left="0" w:hanging="2"/>
              <w:rPr>
                <w:rFonts w:ascii="Arial" w:eastAsia="Arial" w:hAnsi="Arial" w:cs="Arial"/>
                <w:color w:val="000000"/>
                <w:sz w:val="20"/>
                <w:szCs w:val="20"/>
              </w:rPr>
            </w:pPr>
            <w:proofErr w:type="spellStart"/>
            <w:r w:rsidRPr="002A19EC">
              <w:rPr>
                <w:rFonts w:ascii="Arial" w:eastAsia="Arial" w:hAnsi="Arial" w:cs="Arial"/>
                <w:sz w:val="20"/>
                <w:szCs w:val="20"/>
              </w:rPr>
              <w:t>č</w:t>
            </w:r>
            <w:r w:rsidRPr="002A19EC">
              <w:rPr>
                <w:rFonts w:ascii="Arial" w:eastAsia="Arial" w:hAnsi="Arial" w:cs="Arial"/>
                <w:color w:val="000000"/>
                <w:sz w:val="20"/>
                <w:szCs w:val="20"/>
              </w:rPr>
              <w:t>.ú</w:t>
            </w:r>
            <w:proofErr w:type="spellEnd"/>
            <w:r w:rsidRPr="002A19EC">
              <w:rPr>
                <w:rFonts w:ascii="Arial" w:eastAsia="Arial" w:hAnsi="Arial" w:cs="Arial"/>
                <w:color w:val="000000"/>
                <w:sz w:val="20"/>
                <w:szCs w:val="20"/>
              </w:rPr>
              <w:t>.: 58035011/0710</w:t>
            </w:r>
            <w:r w:rsidRPr="002A19EC">
              <w:rPr>
                <w:rFonts w:ascii="Arial" w:eastAsia="Arial" w:hAnsi="Arial" w:cs="Arial"/>
                <w:color w:val="000000"/>
                <w:sz w:val="20"/>
                <w:szCs w:val="20"/>
              </w:rPr>
              <w:br/>
              <w:t xml:space="preserve">e-mail: </w:t>
            </w:r>
            <w:hyperlink r:id="rId19" w:history="1">
              <w:r w:rsidRPr="00C304E1">
                <w:rPr>
                  <w:rStyle w:val="Hypertextovodkaz"/>
                  <w:rFonts w:ascii="Arial" w:eastAsia="Arial" w:hAnsi="Arial" w:cs="Arial"/>
                  <w:sz w:val="20"/>
                  <w:szCs w:val="20"/>
                </w:rPr>
                <w:t>info@choir.cz</w:t>
              </w:r>
            </w:hyperlink>
          </w:p>
          <w:p w14:paraId="30A2BFC0" w14:textId="77777777" w:rsidR="002A19EC" w:rsidRPr="002A19EC" w:rsidRDefault="002A19EC" w:rsidP="002A19EC">
            <w:pPr>
              <w:spacing w:before="120" w:line="240" w:lineRule="auto"/>
              <w:ind w:left="0" w:hanging="2"/>
              <w:rPr>
                <w:rFonts w:ascii="Arial" w:eastAsia="Arial" w:hAnsi="Arial" w:cs="Arial"/>
                <w:color w:val="000000"/>
                <w:sz w:val="20"/>
                <w:szCs w:val="20"/>
              </w:rPr>
            </w:pPr>
            <w:proofErr w:type="gramStart"/>
            <w:r w:rsidRPr="002A19EC">
              <w:rPr>
                <w:rFonts w:ascii="Arial" w:eastAsia="Arial" w:hAnsi="Arial" w:cs="Arial"/>
                <w:color w:val="000000"/>
                <w:sz w:val="20"/>
                <w:szCs w:val="20"/>
              </w:rPr>
              <w:t>zastoupená : Hanou</w:t>
            </w:r>
            <w:proofErr w:type="gramEnd"/>
            <w:r w:rsidRPr="002A19EC">
              <w:rPr>
                <w:rFonts w:ascii="Arial" w:eastAsia="Arial" w:hAnsi="Arial" w:cs="Arial"/>
                <w:color w:val="000000"/>
                <w:sz w:val="20"/>
                <w:szCs w:val="20"/>
              </w:rPr>
              <w:t xml:space="preserve"> Barylovou</w:t>
            </w:r>
          </w:p>
          <w:p w14:paraId="064EB101" w14:textId="6EA3001D" w:rsidR="002A19EC" w:rsidRDefault="002A19EC" w:rsidP="002A19EC">
            <w:pPr>
              <w:ind w:left="0" w:hanging="2"/>
              <w:jc w:val="both"/>
              <w:rPr>
                <w:rFonts w:ascii="Arial" w:eastAsia="Arial" w:hAnsi="Arial" w:cs="Arial"/>
                <w:b/>
              </w:rPr>
            </w:pPr>
            <w:r w:rsidRPr="002A19EC">
              <w:rPr>
                <w:rFonts w:ascii="Arial" w:eastAsia="Arial" w:hAnsi="Arial" w:cs="Arial"/>
                <w:color w:val="000000"/>
                <w:sz w:val="20"/>
                <w:szCs w:val="20"/>
              </w:rPr>
              <w:t>(dále také jako „</w:t>
            </w:r>
            <w:r w:rsidRPr="002A19EC">
              <w:rPr>
                <w:rFonts w:ascii="Arial" w:eastAsia="Arial" w:hAnsi="Arial" w:cs="Arial"/>
                <w:b/>
                <w:bCs/>
                <w:color w:val="000000"/>
                <w:sz w:val="20"/>
                <w:szCs w:val="20"/>
              </w:rPr>
              <w:t>Klient</w:t>
            </w:r>
            <w:r w:rsidRPr="002A19EC">
              <w:rPr>
                <w:rFonts w:ascii="Arial" w:eastAsia="Arial" w:hAnsi="Arial" w:cs="Arial"/>
                <w:color w:val="000000"/>
                <w:sz w:val="20"/>
                <w:szCs w:val="20"/>
              </w:rPr>
              <w:t>“)</w:t>
            </w:r>
          </w:p>
        </w:tc>
        <w:tc>
          <w:tcPr>
            <w:tcW w:w="5413" w:type="dxa"/>
            <w:tcBorders>
              <w:top w:val="single" w:sz="4" w:space="0" w:color="000000"/>
              <w:left w:val="single" w:sz="4" w:space="0" w:color="000000"/>
              <w:bottom w:val="single" w:sz="4" w:space="0" w:color="000000"/>
              <w:right w:val="single" w:sz="4" w:space="0" w:color="000000"/>
            </w:tcBorders>
          </w:tcPr>
          <w:p w14:paraId="37506A1E" w14:textId="77777777" w:rsidR="002A19EC" w:rsidRDefault="002A19EC" w:rsidP="002A19EC">
            <w:pPr>
              <w:pBdr>
                <w:top w:val="nil"/>
                <w:left w:val="nil"/>
                <w:bottom w:val="nil"/>
                <w:right w:val="nil"/>
                <w:between w:val="nil"/>
              </w:pBdr>
              <w:spacing w:line="240" w:lineRule="auto"/>
              <w:ind w:left="0" w:hanging="2"/>
              <w:rPr>
                <w:rFonts w:ascii="Arial" w:eastAsia="Arial" w:hAnsi="Arial" w:cs="Arial"/>
                <w:b/>
                <w:color w:val="000000"/>
                <w:sz w:val="20"/>
                <w:szCs w:val="20"/>
              </w:rPr>
            </w:pPr>
          </w:p>
          <w:p w14:paraId="2303C9CE" w14:textId="77777777" w:rsidR="002A19EC" w:rsidRPr="002A19EC" w:rsidRDefault="002A19EC" w:rsidP="002A19EC">
            <w:pPr>
              <w:pBdr>
                <w:top w:val="nil"/>
                <w:left w:val="nil"/>
                <w:bottom w:val="nil"/>
                <w:right w:val="nil"/>
                <w:between w:val="nil"/>
              </w:pBdr>
              <w:spacing w:line="240" w:lineRule="auto"/>
              <w:ind w:left="0" w:hanging="2"/>
              <w:rPr>
                <w:rFonts w:ascii="Arial" w:eastAsia="Arial" w:hAnsi="Arial" w:cs="Arial"/>
                <w:color w:val="000000"/>
              </w:rPr>
            </w:pPr>
            <w:r w:rsidRPr="002A19EC">
              <w:rPr>
                <w:rFonts w:ascii="Arial" w:eastAsia="Arial" w:hAnsi="Arial" w:cs="Arial"/>
                <w:b/>
                <w:color w:val="000000"/>
              </w:rPr>
              <w:t xml:space="preserve">TT </w:t>
            </w:r>
            <w:proofErr w:type="spellStart"/>
            <w:r w:rsidRPr="002A19EC">
              <w:rPr>
                <w:rFonts w:ascii="Arial" w:eastAsia="Arial" w:hAnsi="Arial" w:cs="Arial"/>
                <w:b/>
                <w:color w:val="000000"/>
              </w:rPr>
              <w:t>Comfort</w:t>
            </w:r>
            <w:proofErr w:type="spellEnd"/>
            <w:r w:rsidRPr="002A19EC">
              <w:rPr>
                <w:rFonts w:ascii="Arial" w:eastAsia="Arial" w:hAnsi="Arial" w:cs="Arial"/>
                <w:b/>
                <w:color w:val="000000"/>
              </w:rPr>
              <w:t xml:space="preserve"> </w:t>
            </w:r>
            <w:proofErr w:type="spellStart"/>
            <w:r w:rsidRPr="002A19EC">
              <w:rPr>
                <w:rFonts w:ascii="Arial" w:eastAsia="Arial" w:hAnsi="Arial" w:cs="Arial"/>
                <w:b/>
                <w:color w:val="000000"/>
              </w:rPr>
              <w:t>Class</w:t>
            </w:r>
            <w:proofErr w:type="spellEnd"/>
            <w:r w:rsidRPr="002A19EC">
              <w:rPr>
                <w:rFonts w:ascii="Arial" w:eastAsia="Arial" w:hAnsi="Arial" w:cs="Arial"/>
                <w:b/>
                <w:color w:val="000000"/>
              </w:rPr>
              <w:t xml:space="preserve"> s.r.o.</w:t>
            </w:r>
          </w:p>
          <w:p w14:paraId="6361B38F" w14:textId="77777777" w:rsidR="002A19EC" w:rsidRPr="002A19EC" w:rsidRDefault="002A19EC" w:rsidP="002A19EC">
            <w:pPr>
              <w:pBdr>
                <w:top w:val="nil"/>
                <w:left w:val="nil"/>
                <w:bottom w:val="nil"/>
                <w:right w:val="nil"/>
                <w:between w:val="nil"/>
              </w:pBdr>
              <w:spacing w:before="120" w:line="240" w:lineRule="auto"/>
              <w:ind w:left="0" w:hanging="2"/>
              <w:rPr>
                <w:rFonts w:ascii="Arial" w:eastAsia="Arial" w:hAnsi="Arial" w:cs="Arial"/>
                <w:color w:val="000000"/>
                <w:sz w:val="20"/>
                <w:szCs w:val="20"/>
              </w:rPr>
            </w:pPr>
            <w:r w:rsidRPr="002A19EC">
              <w:rPr>
                <w:rFonts w:ascii="Arial" w:eastAsia="Arial" w:hAnsi="Arial" w:cs="Arial"/>
                <w:smallCaps/>
                <w:color w:val="000000"/>
                <w:sz w:val="20"/>
                <w:szCs w:val="20"/>
              </w:rPr>
              <w:t xml:space="preserve">IČ: </w:t>
            </w:r>
            <w:r w:rsidRPr="002A19EC">
              <w:rPr>
                <w:rFonts w:ascii="Arial" w:eastAsia="Arial" w:hAnsi="Arial" w:cs="Arial"/>
                <w:color w:val="000000"/>
                <w:sz w:val="20"/>
                <w:szCs w:val="20"/>
              </w:rPr>
              <w:t>016 13 707</w:t>
            </w:r>
          </w:p>
          <w:p w14:paraId="363258FB" w14:textId="77777777" w:rsidR="002A19EC" w:rsidRPr="002A19EC" w:rsidRDefault="002A19EC" w:rsidP="002A19EC">
            <w:pPr>
              <w:pBdr>
                <w:top w:val="nil"/>
                <w:left w:val="nil"/>
                <w:bottom w:val="nil"/>
                <w:right w:val="nil"/>
                <w:between w:val="nil"/>
              </w:pBdr>
              <w:spacing w:line="240" w:lineRule="auto"/>
              <w:ind w:left="0" w:hanging="2"/>
              <w:rPr>
                <w:rFonts w:ascii="Arial" w:eastAsia="Arial" w:hAnsi="Arial" w:cs="Arial"/>
                <w:color w:val="000000"/>
                <w:sz w:val="20"/>
                <w:szCs w:val="20"/>
              </w:rPr>
            </w:pPr>
            <w:r w:rsidRPr="002A19EC">
              <w:rPr>
                <w:rFonts w:ascii="Arial" w:eastAsia="Arial" w:hAnsi="Arial" w:cs="Arial"/>
                <w:color w:val="000000"/>
                <w:sz w:val="20"/>
                <w:szCs w:val="20"/>
              </w:rPr>
              <w:t>se sídlem Vrchlického 1321/5b, Košíře, 150 00 Praha 5</w:t>
            </w:r>
          </w:p>
          <w:p w14:paraId="448C5B77" w14:textId="77777777" w:rsidR="002A19EC" w:rsidRPr="002A19EC" w:rsidRDefault="002A19EC" w:rsidP="002A19EC">
            <w:pPr>
              <w:pBdr>
                <w:top w:val="nil"/>
                <w:left w:val="nil"/>
                <w:bottom w:val="nil"/>
                <w:right w:val="nil"/>
                <w:between w:val="nil"/>
              </w:pBdr>
              <w:spacing w:line="240" w:lineRule="auto"/>
              <w:ind w:left="0" w:hanging="2"/>
              <w:rPr>
                <w:rFonts w:ascii="Arial" w:eastAsia="Arial" w:hAnsi="Arial" w:cs="Arial"/>
                <w:color w:val="000000"/>
                <w:sz w:val="20"/>
                <w:szCs w:val="20"/>
              </w:rPr>
            </w:pPr>
            <w:r w:rsidRPr="002A19EC">
              <w:rPr>
                <w:rFonts w:ascii="Arial" w:eastAsia="Arial" w:hAnsi="Arial" w:cs="Arial"/>
                <w:color w:val="000000"/>
                <w:sz w:val="20"/>
                <w:szCs w:val="20"/>
              </w:rPr>
              <w:t xml:space="preserve">zapsaná v obchodním rejstříku vedeném Městským soudem v Praze, </w:t>
            </w:r>
            <w:proofErr w:type="spellStart"/>
            <w:r w:rsidRPr="002A19EC">
              <w:rPr>
                <w:rFonts w:ascii="Arial" w:eastAsia="Arial" w:hAnsi="Arial" w:cs="Arial"/>
                <w:color w:val="000000"/>
                <w:sz w:val="20"/>
                <w:szCs w:val="20"/>
              </w:rPr>
              <w:t>sp</w:t>
            </w:r>
            <w:proofErr w:type="spellEnd"/>
            <w:r w:rsidRPr="002A19EC">
              <w:rPr>
                <w:rFonts w:ascii="Arial" w:eastAsia="Arial" w:hAnsi="Arial" w:cs="Arial"/>
                <w:color w:val="000000"/>
                <w:sz w:val="20"/>
                <w:szCs w:val="20"/>
              </w:rPr>
              <w:t>. zn. C 209292</w:t>
            </w:r>
          </w:p>
          <w:p w14:paraId="579DCC9B" w14:textId="77777777" w:rsidR="002A19EC" w:rsidRPr="002A19EC" w:rsidRDefault="002A19EC" w:rsidP="002A19EC">
            <w:pPr>
              <w:pBdr>
                <w:top w:val="nil"/>
                <w:left w:val="nil"/>
                <w:bottom w:val="nil"/>
                <w:right w:val="nil"/>
                <w:between w:val="nil"/>
              </w:pBdr>
              <w:spacing w:before="120" w:line="240" w:lineRule="auto"/>
              <w:ind w:left="0" w:hanging="2"/>
              <w:rPr>
                <w:rFonts w:ascii="Arial" w:eastAsia="Arial" w:hAnsi="Arial" w:cs="Arial"/>
                <w:color w:val="000000"/>
                <w:sz w:val="20"/>
                <w:szCs w:val="20"/>
              </w:rPr>
            </w:pPr>
            <w:proofErr w:type="spellStart"/>
            <w:r w:rsidRPr="002A19EC">
              <w:rPr>
                <w:rFonts w:ascii="Arial" w:eastAsia="Arial" w:hAnsi="Arial" w:cs="Arial"/>
                <w:color w:val="000000"/>
                <w:sz w:val="20"/>
                <w:szCs w:val="20"/>
              </w:rPr>
              <w:t>č.ú</w:t>
            </w:r>
            <w:proofErr w:type="spellEnd"/>
            <w:r w:rsidRPr="002A19EC">
              <w:rPr>
                <w:rFonts w:ascii="Arial" w:eastAsia="Arial" w:hAnsi="Arial" w:cs="Arial"/>
                <w:color w:val="000000"/>
                <w:sz w:val="20"/>
                <w:szCs w:val="20"/>
              </w:rPr>
              <w:t>.: 117518743/0300</w:t>
            </w:r>
          </w:p>
          <w:p w14:paraId="5BBF311F" w14:textId="77777777" w:rsidR="002A19EC" w:rsidRPr="002A19EC" w:rsidRDefault="002A19EC" w:rsidP="002A19EC">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2A19EC">
              <w:rPr>
                <w:rFonts w:ascii="Arial" w:eastAsia="Arial" w:hAnsi="Arial" w:cs="Arial"/>
                <w:color w:val="000000"/>
                <w:sz w:val="20"/>
                <w:szCs w:val="20"/>
              </w:rPr>
              <w:t>IBAN: CZ78 0300 0000 0001 1751 8743</w:t>
            </w:r>
          </w:p>
          <w:p w14:paraId="50CC51CB" w14:textId="77777777" w:rsidR="002A19EC" w:rsidRPr="002A19EC" w:rsidRDefault="002A19EC" w:rsidP="002A19EC">
            <w:p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2A19EC">
              <w:rPr>
                <w:rFonts w:ascii="Arial" w:eastAsia="Arial" w:hAnsi="Arial" w:cs="Arial"/>
                <w:color w:val="000000"/>
                <w:sz w:val="20"/>
                <w:szCs w:val="20"/>
              </w:rPr>
              <w:t>e-mail: obchod@ticktack.cz</w:t>
            </w:r>
          </w:p>
          <w:p w14:paraId="496AC94A" w14:textId="77777777" w:rsidR="002A19EC" w:rsidRPr="002A19EC" w:rsidRDefault="002A19EC" w:rsidP="002A19EC">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2A19EC">
              <w:rPr>
                <w:rFonts w:ascii="Arial" w:eastAsia="Arial" w:hAnsi="Arial" w:cs="Arial"/>
                <w:color w:val="000000"/>
                <w:sz w:val="20"/>
                <w:szCs w:val="20"/>
              </w:rPr>
              <w:t>zastoupená Patrikem Altmanem, jednatelem společnosti</w:t>
            </w:r>
          </w:p>
          <w:p w14:paraId="622D97F7" w14:textId="20B8EEFB" w:rsidR="002A19EC" w:rsidRDefault="002A19EC" w:rsidP="002A19EC">
            <w:pPr>
              <w:ind w:left="0" w:hanging="2"/>
              <w:jc w:val="both"/>
              <w:rPr>
                <w:rFonts w:ascii="Arial" w:eastAsia="Arial" w:hAnsi="Arial" w:cs="Arial"/>
                <w:sz w:val="22"/>
                <w:szCs w:val="22"/>
              </w:rPr>
            </w:pPr>
            <w:r w:rsidRPr="002A19EC">
              <w:rPr>
                <w:rFonts w:ascii="Arial" w:eastAsia="Arial" w:hAnsi="Arial" w:cs="Arial"/>
                <w:color w:val="000000"/>
                <w:sz w:val="20"/>
                <w:szCs w:val="20"/>
              </w:rPr>
              <w:t>(dále také jako „</w:t>
            </w:r>
            <w:r w:rsidRPr="002A19EC">
              <w:rPr>
                <w:rFonts w:ascii="Arial" w:eastAsia="Arial" w:hAnsi="Arial" w:cs="Arial"/>
                <w:b/>
                <w:color w:val="000000"/>
                <w:sz w:val="20"/>
                <w:szCs w:val="20"/>
              </w:rPr>
              <w:t>TT“)</w:t>
            </w:r>
            <w:r>
              <w:rPr>
                <w:rFonts w:ascii="Arial" w:eastAsia="Arial" w:hAnsi="Arial" w:cs="Arial"/>
                <w:b/>
                <w:color w:val="000000"/>
                <w:sz w:val="20"/>
                <w:szCs w:val="20"/>
              </w:rPr>
              <w:t xml:space="preserve"> </w:t>
            </w:r>
          </w:p>
        </w:tc>
      </w:tr>
      <w:tr w:rsidR="00BE1AD0" w14:paraId="0E0C324A" w14:textId="77777777">
        <w:trPr>
          <w:trHeight w:val="525"/>
        </w:trPr>
        <w:tc>
          <w:tcPr>
            <w:tcW w:w="10708" w:type="dxa"/>
            <w:gridSpan w:val="3"/>
            <w:tcBorders>
              <w:top w:val="single" w:sz="4" w:space="0" w:color="000000"/>
              <w:left w:val="single" w:sz="4" w:space="0" w:color="000000"/>
              <w:bottom w:val="single" w:sz="4" w:space="0" w:color="000000"/>
              <w:right w:val="single" w:sz="4" w:space="0" w:color="000000"/>
            </w:tcBorders>
          </w:tcPr>
          <w:p w14:paraId="4E9039F4" w14:textId="77777777" w:rsidR="00BE1AD0" w:rsidRDefault="00A963D3">
            <w:pPr>
              <w:widowControl w:val="0"/>
              <w:ind w:left="0" w:hanging="2"/>
              <w:jc w:val="both"/>
              <w:rPr>
                <w:rFonts w:ascii="Arial" w:eastAsia="Arial" w:hAnsi="Arial" w:cs="Arial"/>
              </w:rPr>
            </w:pPr>
            <w:r>
              <w:rPr>
                <w:rFonts w:ascii="Arial" w:eastAsia="Arial" w:hAnsi="Arial" w:cs="Arial"/>
              </w:rPr>
              <w:t>Smluvní strany se dohodly na následujícím vedlejším ujednání ke shora specifikované Rámcové smlouvě o přepravě osob uzavřené mezi smluvními stranami:</w:t>
            </w:r>
          </w:p>
        </w:tc>
      </w:tr>
      <w:tr w:rsidR="00BE1AD0" w14:paraId="259DFF86" w14:textId="77777777" w:rsidTr="002A19EC">
        <w:trPr>
          <w:trHeight w:val="6380"/>
        </w:trPr>
        <w:tc>
          <w:tcPr>
            <w:tcW w:w="1875" w:type="dxa"/>
            <w:tcBorders>
              <w:top w:val="single" w:sz="4" w:space="0" w:color="000000"/>
              <w:left w:val="single" w:sz="4" w:space="0" w:color="000000"/>
              <w:bottom w:val="single" w:sz="4" w:space="0" w:color="000000"/>
            </w:tcBorders>
          </w:tcPr>
          <w:p w14:paraId="04F202E6" w14:textId="77777777" w:rsidR="00BE1AD0" w:rsidRDefault="00A963D3">
            <w:pPr>
              <w:widowControl w:val="0"/>
              <w:numPr>
                <w:ilvl w:val="0"/>
                <w:numId w:val="11"/>
              </w:numPr>
              <w:ind w:left="0" w:hanging="2"/>
              <w:jc w:val="both"/>
              <w:rPr>
                <w:rFonts w:ascii="Arial" w:eastAsia="Arial" w:hAnsi="Arial" w:cs="Arial"/>
                <w:b/>
              </w:rPr>
            </w:pPr>
            <w:r>
              <w:rPr>
                <w:rFonts w:ascii="Arial" w:eastAsia="Arial" w:hAnsi="Arial" w:cs="Arial"/>
                <w:b/>
              </w:rPr>
              <w:t>Ceník</w:t>
            </w:r>
          </w:p>
          <w:p w14:paraId="5365E601" w14:textId="77777777" w:rsidR="00BE1AD0" w:rsidRDefault="00BE1AD0">
            <w:pPr>
              <w:widowControl w:val="0"/>
              <w:ind w:left="0" w:hanging="2"/>
              <w:jc w:val="both"/>
              <w:rPr>
                <w:rFonts w:ascii="Arial" w:eastAsia="Arial" w:hAnsi="Arial" w:cs="Arial"/>
                <w:b/>
              </w:rPr>
            </w:pPr>
          </w:p>
        </w:tc>
        <w:tc>
          <w:tcPr>
            <w:tcW w:w="8833" w:type="dxa"/>
            <w:gridSpan w:val="2"/>
            <w:tcBorders>
              <w:top w:val="single" w:sz="4" w:space="0" w:color="000000"/>
              <w:left w:val="single" w:sz="4" w:space="0" w:color="000000"/>
              <w:bottom w:val="single" w:sz="4" w:space="0" w:color="000000"/>
              <w:right w:val="single" w:sz="4" w:space="0" w:color="000000"/>
            </w:tcBorders>
          </w:tcPr>
          <w:p w14:paraId="073593E7" w14:textId="77777777" w:rsidR="00BE1AD0" w:rsidRDefault="00BE1AD0">
            <w:pPr>
              <w:keepNext/>
              <w:keepLines/>
              <w:jc w:val="both"/>
              <w:rPr>
                <w:rFonts w:ascii="Arial" w:eastAsia="Arial" w:hAnsi="Arial" w:cs="Arial"/>
                <w:sz w:val="12"/>
                <w:szCs w:val="12"/>
              </w:rPr>
            </w:pPr>
          </w:p>
          <w:p w14:paraId="2D77A8BC" w14:textId="77777777" w:rsidR="00BE1AD0" w:rsidRDefault="00A963D3">
            <w:pPr>
              <w:keepNext/>
              <w:keepLines/>
              <w:ind w:left="0" w:hanging="2"/>
              <w:jc w:val="both"/>
              <w:rPr>
                <w:rFonts w:ascii="Arial" w:eastAsia="Arial" w:hAnsi="Arial" w:cs="Arial"/>
                <w:b/>
              </w:rPr>
            </w:pPr>
            <w:r>
              <w:rPr>
                <w:rFonts w:ascii="Arial" w:eastAsia="Arial" w:hAnsi="Arial" w:cs="Arial"/>
                <w:b/>
              </w:rPr>
              <w:t>Přepravy provedené po území hl. města Prahy</w:t>
            </w:r>
          </w:p>
          <w:p w14:paraId="62910764" w14:textId="77777777" w:rsidR="00BE1AD0" w:rsidRDefault="00BE1AD0">
            <w:pPr>
              <w:keepNext/>
              <w:keepLines/>
              <w:ind w:left="0" w:hanging="2"/>
              <w:jc w:val="both"/>
              <w:rPr>
                <w:rFonts w:ascii="Arial" w:eastAsia="Arial" w:hAnsi="Arial" w:cs="Arial"/>
                <w:b/>
              </w:rPr>
            </w:pPr>
          </w:p>
          <w:tbl>
            <w:tblPr>
              <w:tblStyle w:val="aa"/>
              <w:tblW w:w="7251" w:type="dxa"/>
              <w:jc w:val="center"/>
              <w:tblInd w:w="0" w:type="dxa"/>
              <w:tblLayout w:type="fixed"/>
              <w:tblLook w:val="0000" w:firstRow="0" w:lastRow="0" w:firstColumn="0" w:lastColumn="0" w:noHBand="0" w:noVBand="0"/>
            </w:tblPr>
            <w:tblGrid>
              <w:gridCol w:w="3131"/>
              <w:gridCol w:w="1134"/>
              <w:gridCol w:w="1351"/>
              <w:gridCol w:w="1635"/>
            </w:tblGrid>
            <w:tr w:rsidR="00BE1AD0" w14:paraId="1D24A3B8" w14:textId="77777777">
              <w:trPr>
                <w:trHeight w:val="553"/>
                <w:jc w:val="center"/>
              </w:trPr>
              <w:tc>
                <w:tcPr>
                  <w:tcW w:w="3131" w:type="dxa"/>
                  <w:tcBorders>
                    <w:top w:val="single" w:sz="4" w:space="0" w:color="000000"/>
                    <w:left w:val="single" w:sz="4" w:space="0" w:color="000000"/>
                    <w:bottom w:val="single" w:sz="4" w:space="0" w:color="000000"/>
                  </w:tcBorders>
                </w:tcPr>
                <w:p w14:paraId="70D57206" w14:textId="77777777" w:rsidR="00BE1AD0" w:rsidRDefault="00A963D3">
                  <w:pPr>
                    <w:keepNext/>
                    <w:keepLines/>
                    <w:tabs>
                      <w:tab w:val="left" w:pos="1843"/>
                      <w:tab w:val="left" w:pos="3402"/>
                      <w:tab w:val="right" w:pos="8080"/>
                    </w:tabs>
                    <w:ind w:left="0" w:hanging="2"/>
                    <w:jc w:val="center"/>
                    <w:rPr>
                      <w:rFonts w:ascii="Arial" w:eastAsia="Arial" w:hAnsi="Arial" w:cs="Arial"/>
                    </w:rPr>
                  </w:pPr>
                  <w:r>
                    <w:rPr>
                      <w:rFonts w:ascii="Arial" w:eastAsia="Arial" w:hAnsi="Arial" w:cs="Arial"/>
                      <w:b/>
                    </w:rPr>
                    <w:t>Vozidlo</w:t>
                  </w:r>
                </w:p>
              </w:tc>
              <w:tc>
                <w:tcPr>
                  <w:tcW w:w="1134" w:type="dxa"/>
                  <w:tcBorders>
                    <w:top w:val="single" w:sz="4" w:space="0" w:color="000000"/>
                    <w:left w:val="single" w:sz="4" w:space="0" w:color="000000"/>
                    <w:bottom w:val="single" w:sz="4" w:space="0" w:color="000000"/>
                  </w:tcBorders>
                </w:tcPr>
                <w:p w14:paraId="47844332" w14:textId="77777777" w:rsidR="00BE1AD0" w:rsidRDefault="00A963D3">
                  <w:pPr>
                    <w:keepNext/>
                    <w:keepLines/>
                    <w:tabs>
                      <w:tab w:val="left" w:pos="1843"/>
                      <w:tab w:val="left" w:pos="3402"/>
                      <w:tab w:val="right" w:pos="8080"/>
                    </w:tabs>
                    <w:ind w:left="0" w:hanging="2"/>
                    <w:jc w:val="center"/>
                    <w:rPr>
                      <w:rFonts w:ascii="Arial" w:eastAsia="Arial" w:hAnsi="Arial" w:cs="Arial"/>
                    </w:rPr>
                  </w:pPr>
                  <w:r>
                    <w:rPr>
                      <w:rFonts w:ascii="Arial" w:eastAsia="Arial" w:hAnsi="Arial" w:cs="Arial"/>
                      <w:b/>
                    </w:rPr>
                    <w:t>Nástupní sazba</w:t>
                  </w:r>
                </w:p>
              </w:tc>
              <w:tc>
                <w:tcPr>
                  <w:tcW w:w="1351" w:type="dxa"/>
                  <w:tcBorders>
                    <w:top w:val="single" w:sz="4" w:space="0" w:color="000000"/>
                    <w:left w:val="single" w:sz="4" w:space="0" w:color="000000"/>
                    <w:bottom w:val="single" w:sz="4" w:space="0" w:color="000000"/>
                  </w:tcBorders>
                </w:tcPr>
                <w:p w14:paraId="3812A81C" w14:textId="77777777" w:rsidR="00BE1AD0" w:rsidRDefault="00A963D3">
                  <w:pPr>
                    <w:keepNext/>
                    <w:keepLines/>
                    <w:tabs>
                      <w:tab w:val="left" w:pos="1843"/>
                      <w:tab w:val="left" w:pos="3402"/>
                      <w:tab w:val="right" w:pos="8080"/>
                    </w:tabs>
                    <w:ind w:left="0" w:hanging="2"/>
                    <w:jc w:val="center"/>
                    <w:rPr>
                      <w:rFonts w:ascii="Arial" w:eastAsia="Arial" w:hAnsi="Arial" w:cs="Arial"/>
                    </w:rPr>
                  </w:pPr>
                  <w:r>
                    <w:rPr>
                      <w:rFonts w:ascii="Arial" w:eastAsia="Arial" w:hAnsi="Arial" w:cs="Arial"/>
                      <w:b/>
                    </w:rPr>
                    <w:t>Cena za 1 km jízdy</w:t>
                  </w:r>
                </w:p>
              </w:tc>
              <w:tc>
                <w:tcPr>
                  <w:tcW w:w="1635" w:type="dxa"/>
                  <w:tcBorders>
                    <w:top w:val="single" w:sz="4" w:space="0" w:color="000000"/>
                    <w:left w:val="single" w:sz="4" w:space="0" w:color="000000"/>
                    <w:bottom w:val="single" w:sz="4" w:space="0" w:color="000000"/>
                    <w:right w:val="single" w:sz="4" w:space="0" w:color="000000"/>
                  </w:tcBorders>
                </w:tcPr>
                <w:p w14:paraId="3EC816EF" w14:textId="77777777" w:rsidR="00BE1AD0" w:rsidRDefault="00A963D3">
                  <w:pPr>
                    <w:keepNext/>
                    <w:keepLines/>
                    <w:tabs>
                      <w:tab w:val="left" w:pos="1843"/>
                      <w:tab w:val="left" w:pos="3402"/>
                      <w:tab w:val="right" w:pos="8080"/>
                    </w:tabs>
                    <w:ind w:left="0" w:hanging="2"/>
                    <w:jc w:val="center"/>
                    <w:rPr>
                      <w:rFonts w:ascii="Arial" w:eastAsia="Arial" w:hAnsi="Arial" w:cs="Arial"/>
                    </w:rPr>
                  </w:pPr>
                  <w:r>
                    <w:rPr>
                      <w:rFonts w:ascii="Arial" w:eastAsia="Arial" w:hAnsi="Arial" w:cs="Arial"/>
                      <w:b/>
                    </w:rPr>
                    <w:t>Cena za 1 min. provoz. čekání</w:t>
                  </w:r>
                </w:p>
              </w:tc>
            </w:tr>
            <w:tr w:rsidR="00BE1AD0" w14:paraId="6757C990" w14:textId="77777777">
              <w:trPr>
                <w:trHeight w:val="272"/>
                <w:jc w:val="center"/>
              </w:trPr>
              <w:tc>
                <w:tcPr>
                  <w:tcW w:w="3131" w:type="dxa"/>
                  <w:tcBorders>
                    <w:top w:val="single" w:sz="4" w:space="0" w:color="000000"/>
                    <w:left w:val="single" w:sz="4" w:space="0" w:color="000000"/>
                    <w:bottom w:val="single" w:sz="4" w:space="0" w:color="000000"/>
                  </w:tcBorders>
                </w:tcPr>
                <w:p w14:paraId="21A99BF8" w14:textId="77777777" w:rsidR="00BE1AD0" w:rsidRDefault="00A963D3">
                  <w:pPr>
                    <w:keepNext/>
                    <w:keepLines/>
                    <w:tabs>
                      <w:tab w:val="left" w:pos="1843"/>
                      <w:tab w:val="left" w:pos="3402"/>
                      <w:tab w:val="right" w:pos="8080"/>
                    </w:tabs>
                    <w:ind w:left="0" w:hanging="2"/>
                    <w:rPr>
                      <w:rFonts w:ascii="Arial" w:eastAsia="Arial" w:hAnsi="Arial" w:cs="Arial"/>
                      <w:b/>
                    </w:rPr>
                  </w:pPr>
                  <w:r>
                    <w:rPr>
                      <w:rFonts w:ascii="Arial" w:eastAsia="Arial" w:hAnsi="Arial" w:cs="Arial"/>
                      <w:b/>
                    </w:rPr>
                    <w:t>Business třída</w:t>
                  </w:r>
                </w:p>
              </w:tc>
              <w:tc>
                <w:tcPr>
                  <w:tcW w:w="1134" w:type="dxa"/>
                  <w:tcBorders>
                    <w:top w:val="single" w:sz="4" w:space="0" w:color="000000"/>
                    <w:left w:val="single" w:sz="4" w:space="0" w:color="000000"/>
                    <w:bottom w:val="single" w:sz="4" w:space="0" w:color="000000"/>
                  </w:tcBorders>
                </w:tcPr>
                <w:p w14:paraId="02D12F92" w14:textId="3F9E1326" w:rsidR="00BE1AD0" w:rsidRDefault="00A62E71">
                  <w:pPr>
                    <w:keepNext/>
                    <w:keepLines/>
                    <w:tabs>
                      <w:tab w:val="left" w:pos="1843"/>
                      <w:tab w:val="left" w:pos="3402"/>
                      <w:tab w:val="right" w:pos="8080"/>
                    </w:tabs>
                    <w:ind w:left="0" w:hanging="2"/>
                    <w:jc w:val="right"/>
                    <w:rPr>
                      <w:rFonts w:ascii="Arial" w:eastAsia="Arial" w:hAnsi="Arial" w:cs="Arial"/>
                      <w:b/>
                    </w:rPr>
                  </w:pPr>
                  <w:proofErr w:type="spellStart"/>
                  <w:r>
                    <w:rPr>
                      <w:rFonts w:ascii="Arial" w:eastAsia="Arial" w:hAnsi="Arial" w:cs="Arial"/>
                      <w:b/>
                    </w:rPr>
                    <w:t>xx</w:t>
                  </w:r>
                  <w:proofErr w:type="spellEnd"/>
                  <w:r w:rsidR="00A963D3">
                    <w:rPr>
                      <w:rFonts w:ascii="Arial" w:eastAsia="Arial" w:hAnsi="Arial" w:cs="Arial"/>
                      <w:b/>
                    </w:rPr>
                    <w:t xml:space="preserve"> Kč</w:t>
                  </w:r>
                </w:p>
              </w:tc>
              <w:tc>
                <w:tcPr>
                  <w:tcW w:w="1351" w:type="dxa"/>
                  <w:tcBorders>
                    <w:top w:val="single" w:sz="4" w:space="0" w:color="000000"/>
                    <w:left w:val="single" w:sz="4" w:space="0" w:color="000000"/>
                    <w:bottom w:val="single" w:sz="4" w:space="0" w:color="000000"/>
                  </w:tcBorders>
                </w:tcPr>
                <w:p w14:paraId="2E1AA98A" w14:textId="6B4CEF68" w:rsidR="00BE1AD0" w:rsidRDefault="00A62E71">
                  <w:pPr>
                    <w:keepNext/>
                    <w:keepLines/>
                    <w:tabs>
                      <w:tab w:val="left" w:pos="1843"/>
                      <w:tab w:val="left" w:pos="3402"/>
                      <w:tab w:val="right" w:pos="8080"/>
                    </w:tabs>
                    <w:ind w:left="0" w:hanging="2"/>
                    <w:jc w:val="right"/>
                    <w:rPr>
                      <w:rFonts w:ascii="Arial" w:eastAsia="Arial" w:hAnsi="Arial" w:cs="Arial"/>
                      <w:b/>
                    </w:rPr>
                  </w:pPr>
                  <w:proofErr w:type="spellStart"/>
                  <w:r>
                    <w:rPr>
                      <w:rFonts w:ascii="Arial" w:eastAsia="Arial" w:hAnsi="Arial" w:cs="Arial"/>
                      <w:b/>
                    </w:rPr>
                    <w:t>xx</w:t>
                  </w:r>
                  <w:proofErr w:type="spellEnd"/>
                  <w:r w:rsidR="00A963D3">
                    <w:rPr>
                      <w:rFonts w:ascii="Arial" w:eastAsia="Arial" w:hAnsi="Arial" w:cs="Arial"/>
                      <w:b/>
                    </w:rPr>
                    <w:t xml:space="preserve"> Kč</w:t>
                  </w:r>
                </w:p>
              </w:tc>
              <w:tc>
                <w:tcPr>
                  <w:tcW w:w="1635" w:type="dxa"/>
                  <w:tcBorders>
                    <w:top w:val="single" w:sz="4" w:space="0" w:color="000000"/>
                    <w:left w:val="single" w:sz="4" w:space="0" w:color="000000"/>
                    <w:bottom w:val="single" w:sz="4" w:space="0" w:color="000000"/>
                    <w:right w:val="single" w:sz="4" w:space="0" w:color="000000"/>
                  </w:tcBorders>
                </w:tcPr>
                <w:p w14:paraId="4FE6E123" w14:textId="61ADB22C" w:rsidR="00BE1AD0" w:rsidRDefault="00A62E71">
                  <w:pPr>
                    <w:keepNext/>
                    <w:keepLines/>
                    <w:tabs>
                      <w:tab w:val="left" w:pos="1843"/>
                      <w:tab w:val="left" w:pos="3402"/>
                      <w:tab w:val="right" w:pos="8080"/>
                    </w:tabs>
                    <w:ind w:left="0" w:hanging="2"/>
                    <w:jc w:val="right"/>
                    <w:rPr>
                      <w:rFonts w:ascii="Arial" w:eastAsia="Arial" w:hAnsi="Arial" w:cs="Arial"/>
                      <w:b/>
                    </w:rPr>
                  </w:pPr>
                  <w:proofErr w:type="spellStart"/>
                  <w:r>
                    <w:rPr>
                      <w:rFonts w:ascii="Arial" w:eastAsia="Arial" w:hAnsi="Arial" w:cs="Arial"/>
                      <w:b/>
                    </w:rPr>
                    <w:t>xx</w:t>
                  </w:r>
                  <w:proofErr w:type="spellEnd"/>
                  <w:r w:rsidR="00A963D3">
                    <w:rPr>
                      <w:rFonts w:ascii="Arial" w:eastAsia="Arial" w:hAnsi="Arial" w:cs="Arial"/>
                      <w:b/>
                    </w:rPr>
                    <w:t xml:space="preserve"> Kč</w:t>
                  </w:r>
                </w:p>
              </w:tc>
            </w:tr>
            <w:tr w:rsidR="00BE1AD0" w14:paraId="7F1B2BEF" w14:textId="77777777">
              <w:trPr>
                <w:trHeight w:val="272"/>
                <w:jc w:val="center"/>
              </w:trPr>
              <w:tc>
                <w:tcPr>
                  <w:tcW w:w="3131" w:type="dxa"/>
                  <w:tcBorders>
                    <w:top w:val="single" w:sz="4" w:space="0" w:color="000000"/>
                    <w:left w:val="single" w:sz="4" w:space="0" w:color="000000"/>
                    <w:bottom w:val="single" w:sz="4" w:space="0" w:color="000000"/>
                  </w:tcBorders>
                </w:tcPr>
                <w:p w14:paraId="2DDC8EF4" w14:textId="77777777" w:rsidR="00BE1AD0" w:rsidRDefault="00A963D3">
                  <w:pPr>
                    <w:keepNext/>
                    <w:keepLines/>
                    <w:tabs>
                      <w:tab w:val="left" w:pos="1843"/>
                      <w:tab w:val="left" w:pos="3402"/>
                      <w:tab w:val="right" w:pos="8080"/>
                    </w:tabs>
                    <w:ind w:left="0" w:hanging="2"/>
                    <w:rPr>
                      <w:rFonts w:ascii="Arial" w:eastAsia="Arial" w:hAnsi="Arial" w:cs="Arial"/>
                    </w:rPr>
                  </w:pPr>
                  <w:proofErr w:type="spellStart"/>
                  <w:r>
                    <w:rPr>
                      <w:rFonts w:ascii="Arial" w:eastAsia="Arial" w:hAnsi="Arial" w:cs="Arial"/>
                      <w:b/>
                    </w:rPr>
                    <w:t>Economy</w:t>
                  </w:r>
                  <w:proofErr w:type="spellEnd"/>
                  <w:r>
                    <w:rPr>
                      <w:rFonts w:ascii="Arial" w:eastAsia="Arial" w:hAnsi="Arial" w:cs="Arial"/>
                      <w:b/>
                    </w:rPr>
                    <w:t xml:space="preserve"> třída </w:t>
                  </w:r>
                </w:p>
              </w:tc>
              <w:tc>
                <w:tcPr>
                  <w:tcW w:w="1134" w:type="dxa"/>
                  <w:tcBorders>
                    <w:top w:val="single" w:sz="4" w:space="0" w:color="000000"/>
                    <w:left w:val="single" w:sz="4" w:space="0" w:color="000000"/>
                    <w:bottom w:val="single" w:sz="4" w:space="0" w:color="000000"/>
                  </w:tcBorders>
                </w:tcPr>
                <w:p w14:paraId="0164E0DD" w14:textId="0C3C2627" w:rsidR="00BE1AD0" w:rsidRDefault="00A62E71">
                  <w:pPr>
                    <w:keepNext/>
                    <w:keepLines/>
                    <w:tabs>
                      <w:tab w:val="left" w:pos="1843"/>
                      <w:tab w:val="left" w:pos="3402"/>
                      <w:tab w:val="right" w:pos="8080"/>
                    </w:tabs>
                    <w:ind w:left="0" w:hanging="2"/>
                    <w:jc w:val="right"/>
                    <w:rPr>
                      <w:rFonts w:ascii="Arial" w:eastAsia="Arial" w:hAnsi="Arial" w:cs="Arial"/>
                    </w:rPr>
                  </w:pPr>
                  <w:proofErr w:type="spellStart"/>
                  <w:r>
                    <w:rPr>
                      <w:rFonts w:ascii="Arial" w:eastAsia="Arial" w:hAnsi="Arial" w:cs="Arial"/>
                      <w:b/>
                    </w:rPr>
                    <w:t>xx</w:t>
                  </w:r>
                  <w:proofErr w:type="spellEnd"/>
                  <w:r w:rsidR="00A963D3">
                    <w:rPr>
                      <w:rFonts w:ascii="Arial" w:eastAsia="Arial" w:hAnsi="Arial" w:cs="Arial"/>
                      <w:b/>
                    </w:rPr>
                    <w:t xml:space="preserve"> Kč</w:t>
                  </w:r>
                </w:p>
              </w:tc>
              <w:tc>
                <w:tcPr>
                  <w:tcW w:w="1351" w:type="dxa"/>
                  <w:tcBorders>
                    <w:top w:val="single" w:sz="4" w:space="0" w:color="000000"/>
                    <w:left w:val="single" w:sz="4" w:space="0" w:color="000000"/>
                    <w:bottom w:val="single" w:sz="4" w:space="0" w:color="000000"/>
                  </w:tcBorders>
                </w:tcPr>
                <w:p w14:paraId="161336EF" w14:textId="0481B67F" w:rsidR="00BE1AD0" w:rsidRDefault="00A62E71">
                  <w:pPr>
                    <w:keepNext/>
                    <w:keepLines/>
                    <w:tabs>
                      <w:tab w:val="left" w:pos="1843"/>
                      <w:tab w:val="left" w:pos="3402"/>
                      <w:tab w:val="right" w:pos="8080"/>
                    </w:tabs>
                    <w:ind w:left="0" w:hanging="2"/>
                    <w:jc w:val="right"/>
                    <w:rPr>
                      <w:rFonts w:ascii="Arial" w:eastAsia="Arial" w:hAnsi="Arial" w:cs="Arial"/>
                    </w:rPr>
                  </w:pPr>
                  <w:proofErr w:type="spellStart"/>
                  <w:r>
                    <w:rPr>
                      <w:rFonts w:ascii="Arial" w:eastAsia="Arial" w:hAnsi="Arial" w:cs="Arial"/>
                      <w:b/>
                    </w:rPr>
                    <w:t>xx</w:t>
                  </w:r>
                  <w:proofErr w:type="spellEnd"/>
                  <w:r w:rsidR="00A963D3">
                    <w:rPr>
                      <w:rFonts w:ascii="Arial" w:eastAsia="Arial" w:hAnsi="Arial" w:cs="Arial"/>
                      <w:b/>
                    </w:rPr>
                    <w:t xml:space="preserve"> Kč</w:t>
                  </w:r>
                </w:p>
              </w:tc>
              <w:tc>
                <w:tcPr>
                  <w:tcW w:w="1635" w:type="dxa"/>
                  <w:tcBorders>
                    <w:top w:val="single" w:sz="4" w:space="0" w:color="000000"/>
                    <w:left w:val="single" w:sz="4" w:space="0" w:color="000000"/>
                    <w:bottom w:val="single" w:sz="4" w:space="0" w:color="000000"/>
                    <w:right w:val="single" w:sz="4" w:space="0" w:color="000000"/>
                  </w:tcBorders>
                </w:tcPr>
                <w:p w14:paraId="7A2F2E96" w14:textId="14670F62" w:rsidR="00BE1AD0" w:rsidRDefault="00A62E71">
                  <w:pPr>
                    <w:keepNext/>
                    <w:keepLines/>
                    <w:tabs>
                      <w:tab w:val="left" w:pos="1843"/>
                      <w:tab w:val="left" w:pos="3402"/>
                      <w:tab w:val="right" w:pos="8080"/>
                    </w:tabs>
                    <w:ind w:left="0" w:hanging="2"/>
                    <w:jc w:val="right"/>
                    <w:rPr>
                      <w:rFonts w:ascii="Arial" w:eastAsia="Arial" w:hAnsi="Arial" w:cs="Arial"/>
                    </w:rPr>
                  </w:pPr>
                  <w:proofErr w:type="spellStart"/>
                  <w:r>
                    <w:rPr>
                      <w:rFonts w:ascii="Arial" w:eastAsia="Arial" w:hAnsi="Arial" w:cs="Arial"/>
                      <w:b/>
                    </w:rPr>
                    <w:t>xx</w:t>
                  </w:r>
                  <w:proofErr w:type="spellEnd"/>
                  <w:r w:rsidR="00A963D3">
                    <w:rPr>
                      <w:rFonts w:ascii="Arial" w:eastAsia="Arial" w:hAnsi="Arial" w:cs="Arial"/>
                      <w:b/>
                    </w:rPr>
                    <w:t xml:space="preserve"> Kč</w:t>
                  </w:r>
                </w:p>
              </w:tc>
            </w:tr>
          </w:tbl>
          <w:p w14:paraId="50716696" w14:textId="77777777" w:rsidR="00BE1AD0" w:rsidRDefault="00BE1AD0">
            <w:pPr>
              <w:keepNext/>
              <w:keepLines/>
              <w:ind w:left="0" w:hanging="2"/>
              <w:jc w:val="both"/>
              <w:rPr>
                <w:rFonts w:ascii="Arial" w:eastAsia="Arial" w:hAnsi="Arial" w:cs="Arial"/>
                <w:sz w:val="18"/>
                <w:szCs w:val="18"/>
              </w:rPr>
            </w:pPr>
          </w:p>
          <w:p w14:paraId="29795E96" w14:textId="77777777" w:rsidR="00BE1AD0" w:rsidRDefault="00A963D3">
            <w:pPr>
              <w:keepNext/>
              <w:keepLines/>
              <w:tabs>
                <w:tab w:val="left" w:pos="793"/>
              </w:tabs>
              <w:ind w:left="0" w:hanging="2"/>
              <w:jc w:val="both"/>
              <w:rPr>
                <w:rFonts w:ascii="Arial" w:eastAsia="Arial" w:hAnsi="Arial" w:cs="Arial"/>
                <w:sz w:val="16"/>
                <w:szCs w:val="16"/>
              </w:rPr>
            </w:pPr>
            <w:r>
              <w:rPr>
                <w:rFonts w:ascii="Arial" w:eastAsia="Arial" w:hAnsi="Arial" w:cs="Arial"/>
                <w:b/>
                <w:sz w:val="16"/>
                <w:szCs w:val="16"/>
              </w:rPr>
              <w:t>Jízdné mimo Prahu</w:t>
            </w:r>
          </w:p>
          <w:p w14:paraId="302E6F05" w14:textId="77777777" w:rsidR="00BE1AD0" w:rsidRDefault="00BE1AD0">
            <w:pPr>
              <w:keepNext/>
              <w:keepLines/>
              <w:tabs>
                <w:tab w:val="left" w:pos="793"/>
              </w:tabs>
              <w:jc w:val="both"/>
              <w:rPr>
                <w:rFonts w:ascii="Arial" w:eastAsia="Arial" w:hAnsi="Arial" w:cs="Arial"/>
                <w:sz w:val="8"/>
                <w:szCs w:val="8"/>
              </w:rPr>
            </w:pPr>
          </w:p>
          <w:p w14:paraId="0065D415" w14:textId="77777777" w:rsidR="00BE1AD0" w:rsidRDefault="00A963D3">
            <w:pPr>
              <w:ind w:left="0" w:hanging="2"/>
              <w:jc w:val="both"/>
              <w:rPr>
                <w:rFonts w:ascii="Arial" w:eastAsia="Arial" w:hAnsi="Arial" w:cs="Arial"/>
              </w:rPr>
            </w:pPr>
            <w:r>
              <w:rPr>
                <w:rFonts w:ascii="Arial" w:eastAsia="Arial" w:hAnsi="Arial" w:cs="Arial"/>
                <w:sz w:val="16"/>
                <w:szCs w:val="16"/>
              </w:rPr>
              <w:t>Místo nástupu Praha – jízdné se počítá od okamžiku nástupu Klienta do vozu. V případě, že se na Klienta bude čekat, je po celou dobu zapnutý taxametr. Při zpáteční jízdě je taxametr vypnutý a zapne se až na hranici Prahy.</w:t>
            </w:r>
          </w:p>
          <w:p w14:paraId="5D85E51F" w14:textId="77777777" w:rsidR="00BE1AD0" w:rsidRDefault="00A963D3">
            <w:pPr>
              <w:tabs>
                <w:tab w:val="left" w:pos="721"/>
              </w:tabs>
              <w:ind w:left="0" w:hanging="2"/>
              <w:jc w:val="both"/>
              <w:rPr>
                <w:rFonts w:ascii="Arial" w:eastAsia="Arial" w:hAnsi="Arial" w:cs="Arial"/>
              </w:rPr>
            </w:pPr>
            <w:r>
              <w:rPr>
                <w:rFonts w:ascii="Arial" w:eastAsia="Arial" w:hAnsi="Arial" w:cs="Arial"/>
                <w:sz w:val="16"/>
                <w:szCs w:val="16"/>
              </w:rPr>
              <w:t>Místo nástupu mimo Prahu</w:t>
            </w:r>
            <w:r>
              <w:rPr>
                <w:rFonts w:ascii="Arial" w:eastAsia="Arial" w:hAnsi="Arial" w:cs="Arial"/>
                <w:b/>
                <w:sz w:val="16"/>
                <w:szCs w:val="16"/>
              </w:rPr>
              <w:t xml:space="preserve"> </w:t>
            </w:r>
            <w:r>
              <w:rPr>
                <w:rFonts w:ascii="Arial" w:eastAsia="Arial" w:hAnsi="Arial" w:cs="Arial"/>
                <w:sz w:val="16"/>
                <w:szCs w:val="16"/>
              </w:rPr>
              <w:t>– řidič jede pro Klienta s vypnutým taxametrem. Jízdné se začne počítat v okamžiku nástupu Klienta do vozu a taxametr se vypíná až v okamžiku výstupu Klienta v Praze.  Pokud by se jednalo o místo výstupu i nástupu mimo Prahu, řidič zapíná taxametr na hranici Prahy.</w:t>
            </w:r>
          </w:p>
          <w:p w14:paraId="74B3B8A4" w14:textId="77777777" w:rsidR="00BE1AD0" w:rsidRDefault="00A963D3">
            <w:pPr>
              <w:tabs>
                <w:tab w:val="left" w:pos="721"/>
              </w:tabs>
              <w:ind w:left="0" w:hanging="2"/>
              <w:jc w:val="both"/>
              <w:rPr>
                <w:rFonts w:ascii="Arial" w:eastAsia="Arial" w:hAnsi="Arial" w:cs="Arial"/>
              </w:rPr>
            </w:pPr>
            <w:r>
              <w:rPr>
                <w:rFonts w:ascii="Arial" w:eastAsia="Arial" w:hAnsi="Arial" w:cs="Arial"/>
                <w:sz w:val="16"/>
                <w:szCs w:val="16"/>
              </w:rPr>
              <w:t xml:space="preserve">Ceny jsou dle aktuálního ceníku a počtu kilometrů. </w:t>
            </w:r>
          </w:p>
          <w:p w14:paraId="2DBF66C3" w14:textId="77777777" w:rsidR="00BE1AD0" w:rsidRDefault="00BE1AD0">
            <w:pPr>
              <w:keepNext/>
              <w:keepLines/>
              <w:ind w:left="0" w:hanging="2"/>
              <w:jc w:val="both"/>
              <w:rPr>
                <w:rFonts w:ascii="Arial" w:eastAsia="Arial" w:hAnsi="Arial" w:cs="Arial"/>
                <w:sz w:val="16"/>
                <w:szCs w:val="16"/>
              </w:rPr>
            </w:pPr>
          </w:p>
          <w:p w14:paraId="22D611FF" w14:textId="77777777" w:rsidR="00BE1AD0" w:rsidRDefault="00BE1AD0">
            <w:pPr>
              <w:keepNext/>
              <w:keepLines/>
              <w:tabs>
                <w:tab w:val="left" w:pos="706"/>
              </w:tabs>
              <w:ind w:left="0" w:hanging="2"/>
              <w:jc w:val="both"/>
              <w:rPr>
                <w:rFonts w:ascii="Arial" w:eastAsia="Arial" w:hAnsi="Arial" w:cs="Arial"/>
                <w:sz w:val="16"/>
                <w:szCs w:val="16"/>
              </w:rPr>
            </w:pPr>
          </w:p>
          <w:p w14:paraId="097D1E3C" w14:textId="77777777" w:rsidR="00BE1AD0" w:rsidRDefault="00A963D3">
            <w:pPr>
              <w:keepNext/>
              <w:keepLines/>
              <w:tabs>
                <w:tab w:val="left" w:pos="706"/>
              </w:tabs>
              <w:ind w:left="0" w:hanging="2"/>
              <w:jc w:val="both"/>
              <w:rPr>
                <w:rFonts w:ascii="Arial" w:eastAsia="Arial" w:hAnsi="Arial" w:cs="Arial"/>
                <w:sz w:val="16"/>
                <w:szCs w:val="16"/>
              </w:rPr>
            </w:pPr>
            <w:r>
              <w:rPr>
                <w:rFonts w:ascii="Arial" w:eastAsia="Arial" w:hAnsi="Arial" w:cs="Arial"/>
                <w:b/>
                <w:sz w:val="16"/>
                <w:szCs w:val="16"/>
              </w:rPr>
              <w:t>Jízdy z/na letiště</w:t>
            </w:r>
            <w:r>
              <w:rPr>
                <w:rFonts w:ascii="Arial" w:eastAsia="Arial" w:hAnsi="Arial" w:cs="Arial"/>
                <w:sz w:val="16"/>
                <w:szCs w:val="16"/>
              </w:rPr>
              <w:t xml:space="preserve"> </w:t>
            </w:r>
          </w:p>
          <w:p w14:paraId="1FFD98EC" w14:textId="77777777" w:rsidR="00BE1AD0" w:rsidRDefault="00BE1AD0">
            <w:pPr>
              <w:keepNext/>
              <w:keepLines/>
              <w:tabs>
                <w:tab w:val="left" w:pos="706"/>
              </w:tabs>
              <w:jc w:val="both"/>
              <w:rPr>
                <w:rFonts w:ascii="Arial" w:eastAsia="Arial" w:hAnsi="Arial" w:cs="Arial"/>
                <w:sz w:val="8"/>
                <w:szCs w:val="8"/>
              </w:rPr>
            </w:pPr>
          </w:p>
          <w:p w14:paraId="5EE06741" w14:textId="77777777" w:rsidR="00BE1AD0" w:rsidRDefault="00A963D3">
            <w:pPr>
              <w:keepNext/>
              <w:keepLines/>
              <w:tabs>
                <w:tab w:val="left" w:pos="706"/>
              </w:tabs>
              <w:ind w:left="0" w:hanging="2"/>
              <w:jc w:val="both"/>
              <w:rPr>
                <w:rFonts w:ascii="Arial" w:eastAsia="Arial" w:hAnsi="Arial" w:cs="Arial"/>
                <w:sz w:val="16"/>
                <w:szCs w:val="16"/>
              </w:rPr>
            </w:pPr>
            <w:r>
              <w:rPr>
                <w:rFonts w:ascii="Arial" w:eastAsia="Arial" w:hAnsi="Arial" w:cs="Arial"/>
                <w:sz w:val="16"/>
                <w:szCs w:val="16"/>
              </w:rPr>
              <w:t>Účtován letištní poplatek ve výši 50 Kč za vjezd na parkoviště.</w:t>
            </w:r>
          </w:p>
          <w:p w14:paraId="61E61A6D" w14:textId="77777777" w:rsidR="00BE1AD0" w:rsidRDefault="00BE1AD0">
            <w:pPr>
              <w:keepNext/>
              <w:keepLines/>
              <w:tabs>
                <w:tab w:val="left" w:pos="706"/>
              </w:tabs>
              <w:ind w:left="0" w:hanging="2"/>
              <w:jc w:val="both"/>
              <w:rPr>
                <w:rFonts w:ascii="Arial" w:eastAsia="Arial" w:hAnsi="Arial" w:cs="Arial"/>
                <w:sz w:val="16"/>
                <w:szCs w:val="16"/>
              </w:rPr>
            </w:pPr>
          </w:p>
          <w:p w14:paraId="5390C46D" w14:textId="77777777" w:rsidR="00BE1AD0" w:rsidRDefault="00A963D3">
            <w:pPr>
              <w:keepNext/>
              <w:keepLines/>
              <w:tabs>
                <w:tab w:val="left" w:pos="706"/>
              </w:tabs>
              <w:ind w:left="0" w:hanging="2"/>
              <w:jc w:val="both"/>
              <w:rPr>
                <w:rFonts w:ascii="Arial" w:eastAsia="Arial" w:hAnsi="Arial" w:cs="Arial"/>
              </w:rPr>
            </w:pPr>
            <w:r>
              <w:rPr>
                <w:rFonts w:ascii="Arial" w:eastAsia="Arial" w:hAnsi="Arial" w:cs="Arial"/>
                <w:b/>
                <w:sz w:val="16"/>
                <w:szCs w:val="16"/>
              </w:rPr>
              <w:t>Jízdy do zahraničí</w:t>
            </w:r>
          </w:p>
          <w:p w14:paraId="73CC7AF6" w14:textId="77777777" w:rsidR="00BE1AD0" w:rsidRDefault="00BE1AD0">
            <w:pPr>
              <w:keepNext/>
              <w:keepLines/>
              <w:tabs>
                <w:tab w:val="left" w:pos="706"/>
              </w:tabs>
              <w:jc w:val="both"/>
              <w:rPr>
                <w:rFonts w:ascii="Arial" w:eastAsia="Arial" w:hAnsi="Arial" w:cs="Arial"/>
                <w:sz w:val="8"/>
                <w:szCs w:val="8"/>
              </w:rPr>
            </w:pPr>
          </w:p>
          <w:p w14:paraId="069628C1" w14:textId="77777777" w:rsidR="00BE1AD0" w:rsidRDefault="00A963D3">
            <w:pPr>
              <w:keepNext/>
              <w:keepLines/>
              <w:tabs>
                <w:tab w:val="left" w:pos="706"/>
              </w:tabs>
              <w:ind w:left="0" w:hanging="2"/>
              <w:jc w:val="both"/>
              <w:rPr>
                <w:rFonts w:ascii="Arial" w:eastAsia="Arial" w:hAnsi="Arial" w:cs="Arial"/>
                <w:sz w:val="16"/>
                <w:szCs w:val="16"/>
              </w:rPr>
            </w:pPr>
            <w:r>
              <w:rPr>
                <w:rFonts w:ascii="Arial" w:eastAsia="Arial" w:hAnsi="Arial" w:cs="Arial"/>
                <w:sz w:val="16"/>
                <w:szCs w:val="16"/>
              </w:rPr>
              <w:t>Ceny se řeší vždy individuálně na základě poptávky Klienta</w:t>
            </w:r>
          </w:p>
          <w:p w14:paraId="49A6317B" w14:textId="77777777" w:rsidR="00BE1AD0" w:rsidRDefault="00BE1AD0">
            <w:pPr>
              <w:keepNext/>
              <w:keepLines/>
              <w:tabs>
                <w:tab w:val="left" w:pos="706"/>
              </w:tabs>
              <w:ind w:left="0" w:hanging="2"/>
              <w:jc w:val="both"/>
              <w:rPr>
                <w:rFonts w:ascii="Arial" w:eastAsia="Arial" w:hAnsi="Arial" w:cs="Arial"/>
                <w:b/>
                <w:sz w:val="16"/>
                <w:szCs w:val="16"/>
              </w:rPr>
            </w:pPr>
          </w:p>
          <w:p w14:paraId="07C50C76" w14:textId="77777777" w:rsidR="00BE1AD0" w:rsidRDefault="00A963D3">
            <w:pPr>
              <w:keepNext/>
              <w:keepLines/>
              <w:tabs>
                <w:tab w:val="left" w:pos="706"/>
              </w:tabs>
              <w:ind w:left="0" w:hanging="2"/>
              <w:jc w:val="both"/>
              <w:rPr>
                <w:rFonts w:ascii="Arial" w:eastAsia="Arial" w:hAnsi="Arial" w:cs="Arial"/>
                <w:b/>
                <w:sz w:val="16"/>
                <w:szCs w:val="16"/>
              </w:rPr>
            </w:pPr>
            <w:r>
              <w:rPr>
                <w:rFonts w:ascii="Arial" w:eastAsia="Arial" w:hAnsi="Arial" w:cs="Arial"/>
                <w:b/>
                <w:sz w:val="16"/>
                <w:szCs w:val="16"/>
              </w:rPr>
              <w:t>Jízdy objednané přes Business portál / Aplikaci</w:t>
            </w:r>
          </w:p>
          <w:p w14:paraId="2D7BB700" w14:textId="77777777" w:rsidR="00BE1AD0" w:rsidRDefault="00BE1AD0">
            <w:pPr>
              <w:keepNext/>
              <w:keepLines/>
              <w:tabs>
                <w:tab w:val="left" w:pos="706"/>
              </w:tabs>
              <w:jc w:val="both"/>
              <w:rPr>
                <w:rFonts w:ascii="Arial" w:eastAsia="Arial" w:hAnsi="Arial" w:cs="Arial"/>
                <w:b/>
                <w:sz w:val="8"/>
                <w:szCs w:val="8"/>
              </w:rPr>
            </w:pPr>
          </w:p>
          <w:p w14:paraId="7E285450" w14:textId="77777777" w:rsidR="00BE1AD0" w:rsidRDefault="00A963D3">
            <w:pPr>
              <w:keepNext/>
              <w:keepLines/>
              <w:tabs>
                <w:tab w:val="left" w:pos="706"/>
              </w:tabs>
              <w:ind w:left="0" w:hanging="2"/>
              <w:jc w:val="both"/>
              <w:rPr>
                <w:rFonts w:ascii="Arial" w:eastAsia="Arial" w:hAnsi="Arial" w:cs="Arial"/>
                <w:sz w:val="2"/>
                <w:szCs w:val="2"/>
              </w:rPr>
            </w:pPr>
            <w:r>
              <w:rPr>
                <w:rFonts w:ascii="Arial" w:eastAsia="Arial" w:hAnsi="Arial" w:cs="Arial"/>
                <w:sz w:val="16"/>
                <w:szCs w:val="16"/>
              </w:rPr>
              <w:t>Jízdy je také možné objednat elektronicky přes Business portál. Cena jízdy je vypočtena dle aktuální dopravní situace.</w:t>
            </w:r>
            <w:r>
              <w:rPr>
                <w:rFonts w:ascii="Arial" w:eastAsia="Arial" w:hAnsi="Arial" w:cs="Arial"/>
                <w:sz w:val="16"/>
                <w:szCs w:val="16"/>
              </w:rPr>
              <w:br/>
            </w:r>
          </w:p>
          <w:p w14:paraId="6C376EAE" w14:textId="77777777" w:rsidR="00BE1AD0" w:rsidRDefault="00A963D3">
            <w:pPr>
              <w:keepNext/>
              <w:keepLines/>
              <w:tabs>
                <w:tab w:val="left" w:pos="706"/>
              </w:tabs>
              <w:jc w:val="both"/>
              <w:rPr>
                <w:rFonts w:ascii="Arial" w:eastAsia="Arial" w:hAnsi="Arial" w:cs="Arial"/>
                <w:sz w:val="4"/>
                <w:szCs w:val="4"/>
              </w:rPr>
            </w:pPr>
            <w:r>
              <w:rPr>
                <w:rFonts w:ascii="Arial" w:eastAsia="Arial" w:hAnsi="Arial" w:cs="Arial"/>
                <w:sz w:val="14"/>
                <w:szCs w:val="14"/>
              </w:rPr>
              <w:t>Pozn. V případě zájmu o zprovoznění Business portálu, kontaktujte prosím naše obchodní oddělení.</w:t>
            </w:r>
          </w:p>
        </w:tc>
      </w:tr>
      <w:tr w:rsidR="00BE1AD0" w14:paraId="4186DBDB" w14:textId="77777777">
        <w:trPr>
          <w:trHeight w:val="900"/>
        </w:trPr>
        <w:tc>
          <w:tcPr>
            <w:tcW w:w="1875" w:type="dxa"/>
            <w:tcBorders>
              <w:top w:val="single" w:sz="4" w:space="0" w:color="000000"/>
              <w:left w:val="single" w:sz="4" w:space="0" w:color="000000"/>
              <w:bottom w:val="single" w:sz="4" w:space="0" w:color="000000"/>
            </w:tcBorders>
          </w:tcPr>
          <w:p w14:paraId="39608A54" w14:textId="0CCB4A4B" w:rsidR="00BE1AD0" w:rsidRPr="009C4FBA" w:rsidRDefault="00A963D3" w:rsidP="009C4FBA">
            <w:pPr>
              <w:pStyle w:val="Odstavecseseznamem"/>
              <w:widowControl w:val="0"/>
              <w:numPr>
                <w:ilvl w:val="0"/>
                <w:numId w:val="11"/>
              </w:numPr>
              <w:ind w:leftChars="0" w:firstLineChars="0"/>
              <w:jc w:val="both"/>
              <w:rPr>
                <w:rFonts w:ascii="Arial" w:eastAsia="Arial" w:hAnsi="Arial" w:cs="Arial"/>
                <w:b/>
              </w:rPr>
            </w:pPr>
            <w:r w:rsidRPr="009C4FBA">
              <w:rPr>
                <w:rFonts w:ascii="Arial" w:eastAsia="Arial" w:hAnsi="Arial" w:cs="Arial"/>
                <w:b/>
              </w:rPr>
              <w:t>Změna ceníku</w:t>
            </w:r>
          </w:p>
          <w:p w14:paraId="47A77967" w14:textId="77777777" w:rsidR="00BE1AD0" w:rsidRDefault="00BE1AD0">
            <w:pPr>
              <w:widowControl w:val="0"/>
              <w:ind w:left="0" w:hanging="2"/>
              <w:jc w:val="both"/>
              <w:rPr>
                <w:rFonts w:ascii="Arial" w:eastAsia="Arial" w:hAnsi="Arial" w:cs="Arial"/>
                <w:b/>
              </w:rPr>
            </w:pPr>
          </w:p>
        </w:tc>
        <w:tc>
          <w:tcPr>
            <w:tcW w:w="8833" w:type="dxa"/>
            <w:gridSpan w:val="2"/>
            <w:tcBorders>
              <w:top w:val="single" w:sz="4" w:space="0" w:color="000000"/>
              <w:left w:val="single" w:sz="4" w:space="0" w:color="000000"/>
              <w:bottom w:val="single" w:sz="4" w:space="0" w:color="000000"/>
              <w:right w:val="single" w:sz="4" w:space="0" w:color="000000"/>
            </w:tcBorders>
          </w:tcPr>
          <w:p w14:paraId="7EE949CB" w14:textId="77777777" w:rsidR="00BE1AD0" w:rsidRDefault="00BE1AD0">
            <w:pPr>
              <w:keepNext/>
              <w:keepLines/>
              <w:ind w:left="0" w:hanging="2"/>
              <w:jc w:val="both"/>
              <w:rPr>
                <w:rFonts w:ascii="Arial" w:eastAsia="Arial" w:hAnsi="Arial" w:cs="Arial"/>
                <w:sz w:val="16"/>
                <w:szCs w:val="16"/>
              </w:rPr>
            </w:pPr>
          </w:p>
          <w:p w14:paraId="56C0E7BB" w14:textId="77777777" w:rsidR="00BE1AD0" w:rsidRDefault="00A963D3">
            <w:pPr>
              <w:keepNext/>
              <w:keepLines/>
              <w:ind w:left="0" w:hanging="2"/>
              <w:jc w:val="both"/>
              <w:rPr>
                <w:rFonts w:ascii="Arial" w:eastAsia="Arial" w:hAnsi="Arial" w:cs="Arial"/>
                <w:sz w:val="12"/>
                <w:szCs w:val="12"/>
              </w:rPr>
            </w:pPr>
            <w:r>
              <w:rPr>
                <w:rFonts w:ascii="Arial" w:eastAsia="Arial" w:hAnsi="Arial" w:cs="Arial"/>
                <w:sz w:val="16"/>
                <w:szCs w:val="16"/>
              </w:rPr>
              <w:t xml:space="preserve">TT </w:t>
            </w:r>
            <w:proofErr w:type="spellStart"/>
            <w:r>
              <w:rPr>
                <w:rFonts w:ascii="Arial" w:eastAsia="Arial" w:hAnsi="Arial" w:cs="Arial"/>
                <w:sz w:val="16"/>
                <w:szCs w:val="16"/>
              </w:rPr>
              <w:t>Comfort</w:t>
            </w:r>
            <w:proofErr w:type="spellEnd"/>
            <w:r>
              <w:rPr>
                <w:rFonts w:ascii="Arial" w:eastAsia="Arial" w:hAnsi="Arial" w:cs="Arial"/>
                <w:sz w:val="16"/>
                <w:szCs w:val="16"/>
              </w:rPr>
              <w:t xml:space="preserve"> </w:t>
            </w:r>
            <w:proofErr w:type="spellStart"/>
            <w:r>
              <w:rPr>
                <w:rFonts w:ascii="Arial" w:eastAsia="Arial" w:hAnsi="Arial" w:cs="Arial"/>
                <w:sz w:val="16"/>
                <w:szCs w:val="16"/>
              </w:rPr>
              <w:t>class</w:t>
            </w:r>
            <w:proofErr w:type="spellEnd"/>
            <w:r>
              <w:rPr>
                <w:rFonts w:ascii="Arial" w:eastAsia="Arial" w:hAnsi="Arial" w:cs="Arial"/>
                <w:sz w:val="16"/>
                <w:szCs w:val="16"/>
              </w:rPr>
              <w:t xml:space="preserve"> může přistoupit ke změně ceníku, přičemž Klient bude s touto změnou obeznámen nejméně 30 dní před účinností nového ceníku.</w:t>
            </w:r>
          </w:p>
        </w:tc>
      </w:tr>
      <w:tr w:rsidR="00BE1AD0" w14:paraId="05FD16DF" w14:textId="77777777">
        <w:trPr>
          <w:trHeight w:val="480"/>
        </w:trPr>
        <w:tc>
          <w:tcPr>
            <w:tcW w:w="5295" w:type="dxa"/>
            <w:gridSpan w:val="2"/>
            <w:tcBorders>
              <w:top w:val="single" w:sz="4" w:space="0" w:color="000000"/>
              <w:left w:val="single" w:sz="4" w:space="0" w:color="000000"/>
              <w:bottom w:val="single" w:sz="4" w:space="0" w:color="000000"/>
            </w:tcBorders>
          </w:tcPr>
          <w:p w14:paraId="6DAD421D" w14:textId="12DF4ED2" w:rsidR="00BE1AD0" w:rsidRDefault="00A963D3">
            <w:pPr>
              <w:tabs>
                <w:tab w:val="left" w:pos="3060"/>
              </w:tabs>
              <w:ind w:left="0" w:hanging="2"/>
              <w:jc w:val="center"/>
              <w:rPr>
                <w:rFonts w:ascii="Arial" w:eastAsia="Arial" w:hAnsi="Arial" w:cs="Arial"/>
              </w:rPr>
            </w:pPr>
            <w:proofErr w:type="spellStart"/>
            <w:r>
              <w:rPr>
                <w:rFonts w:ascii="Arial" w:eastAsia="Arial" w:hAnsi="Arial" w:cs="Arial"/>
              </w:rPr>
              <w:t>Místo:</w:t>
            </w:r>
            <w:r w:rsidR="00095794">
              <w:rPr>
                <w:rFonts w:ascii="Arial" w:eastAsia="Arial" w:hAnsi="Arial" w:cs="Arial"/>
              </w:rPr>
              <w:t>Praha</w:t>
            </w:r>
            <w:proofErr w:type="spellEnd"/>
          </w:p>
          <w:p w14:paraId="2ACE3F68" w14:textId="0C66A44B" w:rsidR="00BE1AD0" w:rsidRDefault="00A963D3" w:rsidP="00A62E71">
            <w:pPr>
              <w:tabs>
                <w:tab w:val="left" w:pos="3060"/>
              </w:tabs>
              <w:ind w:left="0" w:hanging="2"/>
              <w:jc w:val="center"/>
              <w:rPr>
                <w:rFonts w:ascii="Arial" w:eastAsia="Arial" w:hAnsi="Arial" w:cs="Arial"/>
              </w:rPr>
            </w:pPr>
            <w:r>
              <w:rPr>
                <w:rFonts w:ascii="Arial" w:eastAsia="Arial" w:hAnsi="Arial" w:cs="Arial"/>
              </w:rPr>
              <w:t>Datum:</w:t>
            </w:r>
            <w:r w:rsidR="00474112">
              <w:rPr>
                <w:rFonts w:ascii="Arial" w:eastAsia="Arial" w:hAnsi="Arial" w:cs="Arial"/>
              </w:rPr>
              <w:t xml:space="preserve"> </w:t>
            </w:r>
            <w:r w:rsidR="00A62E71">
              <w:rPr>
                <w:rFonts w:ascii="Arial" w:eastAsia="Arial" w:hAnsi="Arial" w:cs="Arial"/>
              </w:rPr>
              <w:t>10. 5. 2022</w:t>
            </w:r>
          </w:p>
        </w:tc>
        <w:tc>
          <w:tcPr>
            <w:tcW w:w="5413" w:type="dxa"/>
            <w:tcBorders>
              <w:top w:val="single" w:sz="4" w:space="0" w:color="000000"/>
              <w:left w:val="single" w:sz="4" w:space="0" w:color="000000"/>
              <w:bottom w:val="single" w:sz="4" w:space="0" w:color="000000"/>
              <w:right w:val="single" w:sz="4" w:space="0" w:color="000000"/>
            </w:tcBorders>
          </w:tcPr>
          <w:p w14:paraId="45634FC6" w14:textId="77777777" w:rsidR="00BE1AD0" w:rsidRDefault="00A963D3">
            <w:pPr>
              <w:tabs>
                <w:tab w:val="left" w:pos="3060"/>
              </w:tabs>
              <w:ind w:left="0" w:hanging="2"/>
              <w:jc w:val="center"/>
              <w:rPr>
                <w:rFonts w:ascii="Arial" w:eastAsia="Arial" w:hAnsi="Arial" w:cs="Arial"/>
              </w:rPr>
            </w:pPr>
            <w:r>
              <w:rPr>
                <w:rFonts w:ascii="Arial" w:eastAsia="Arial" w:hAnsi="Arial" w:cs="Arial"/>
              </w:rPr>
              <w:t>Místo: Praha</w:t>
            </w:r>
          </w:p>
          <w:p w14:paraId="0DF8345A" w14:textId="271972AB" w:rsidR="00BE1AD0" w:rsidRDefault="00A963D3">
            <w:pPr>
              <w:tabs>
                <w:tab w:val="left" w:pos="3060"/>
              </w:tabs>
              <w:ind w:left="0" w:hanging="2"/>
              <w:jc w:val="center"/>
              <w:rPr>
                <w:rFonts w:ascii="Arial" w:eastAsia="Arial" w:hAnsi="Arial" w:cs="Arial"/>
              </w:rPr>
            </w:pPr>
            <w:r>
              <w:rPr>
                <w:rFonts w:ascii="Arial" w:eastAsia="Arial" w:hAnsi="Arial" w:cs="Arial"/>
              </w:rPr>
              <w:t>Datum:</w:t>
            </w:r>
            <w:r w:rsidR="00474112">
              <w:rPr>
                <w:rFonts w:ascii="Arial" w:eastAsia="Arial" w:hAnsi="Arial" w:cs="Arial"/>
              </w:rPr>
              <w:t xml:space="preserve"> 10. 5. 2022</w:t>
            </w:r>
          </w:p>
        </w:tc>
      </w:tr>
      <w:tr w:rsidR="00BE1AD0" w14:paraId="0C6E6D5A" w14:textId="77777777">
        <w:trPr>
          <w:trHeight w:val="1500"/>
        </w:trPr>
        <w:tc>
          <w:tcPr>
            <w:tcW w:w="5295" w:type="dxa"/>
            <w:gridSpan w:val="2"/>
            <w:tcBorders>
              <w:top w:val="single" w:sz="4" w:space="0" w:color="000000"/>
              <w:left w:val="single" w:sz="4" w:space="0" w:color="000000"/>
              <w:bottom w:val="single" w:sz="4" w:space="0" w:color="000000"/>
            </w:tcBorders>
          </w:tcPr>
          <w:p w14:paraId="59632900" w14:textId="77777777" w:rsidR="00BE1AD0" w:rsidRDefault="00BE1AD0">
            <w:pPr>
              <w:tabs>
                <w:tab w:val="left" w:pos="3060"/>
              </w:tabs>
              <w:ind w:left="0" w:hanging="2"/>
              <w:rPr>
                <w:rFonts w:ascii="Arial" w:eastAsia="Arial" w:hAnsi="Arial" w:cs="Arial"/>
              </w:rPr>
            </w:pPr>
          </w:p>
          <w:p w14:paraId="4C28C37C" w14:textId="77777777" w:rsidR="00BE1AD0" w:rsidRDefault="00BE1AD0">
            <w:pPr>
              <w:tabs>
                <w:tab w:val="left" w:pos="3060"/>
              </w:tabs>
              <w:ind w:left="0" w:hanging="2"/>
              <w:rPr>
                <w:rFonts w:ascii="Arial" w:eastAsia="Arial" w:hAnsi="Arial" w:cs="Arial"/>
              </w:rPr>
            </w:pPr>
          </w:p>
          <w:p w14:paraId="52E047C2" w14:textId="77777777" w:rsidR="00BE1AD0" w:rsidRDefault="00BE1AD0">
            <w:pPr>
              <w:tabs>
                <w:tab w:val="left" w:pos="3060"/>
              </w:tabs>
              <w:ind w:left="0" w:hanging="2"/>
              <w:rPr>
                <w:rFonts w:ascii="Arial" w:eastAsia="Arial" w:hAnsi="Arial" w:cs="Arial"/>
              </w:rPr>
            </w:pPr>
          </w:p>
          <w:p w14:paraId="012DC3E8" w14:textId="77777777" w:rsidR="00BE1AD0" w:rsidRDefault="00A963D3">
            <w:pPr>
              <w:tabs>
                <w:tab w:val="left" w:pos="3060"/>
              </w:tabs>
              <w:ind w:left="0" w:hanging="2"/>
              <w:jc w:val="center"/>
              <w:rPr>
                <w:rFonts w:ascii="Arial" w:eastAsia="Arial" w:hAnsi="Arial" w:cs="Arial"/>
              </w:rPr>
            </w:pPr>
            <w:r>
              <w:rPr>
                <w:rFonts w:ascii="Arial" w:eastAsia="Arial" w:hAnsi="Arial" w:cs="Arial"/>
              </w:rPr>
              <w:t>_________________________________</w:t>
            </w:r>
          </w:p>
          <w:p w14:paraId="53C15A5F" w14:textId="77777777" w:rsidR="00BE1AD0" w:rsidRDefault="00A963D3">
            <w:pPr>
              <w:tabs>
                <w:tab w:val="left" w:pos="3060"/>
              </w:tabs>
              <w:ind w:left="0" w:hanging="2"/>
              <w:jc w:val="center"/>
              <w:rPr>
                <w:rFonts w:ascii="Arial" w:eastAsia="Arial" w:hAnsi="Arial" w:cs="Arial"/>
              </w:rPr>
            </w:pPr>
            <w:r>
              <w:rPr>
                <w:rFonts w:ascii="Arial" w:eastAsia="Arial" w:hAnsi="Arial" w:cs="Arial"/>
                <w:b/>
              </w:rPr>
              <w:t>Klient</w:t>
            </w:r>
          </w:p>
        </w:tc>
        <w:tc>
          <w:tcPr>
            <w:tcW w:w="5413" w:type="dxa"/>
            <w:tcBorders>
              <w:top w:val="single" w:sz="4" w:space="0" w:color="000000"/>
              <w:left w:val="single" w:sz="4" w:space="0" w:color="000000"/>
              <w:bottom w:val="single" w:sz="4" w:space="0" w:color="000000"/>
              <w:right w:val="single" w:sz="4" w:space="0" w:color="000000"/>
            </w:tcBorders>
          </w:tcPr>
          <w:p w14:paraId="3BB4C61B" w14:textId="77777777" w:rsidR="00BE1AD0" w:rsidRDefault="00BE1AD0">
            <w:pPr>
              <w:tabs>
                <w:tab w:val="left" w:pos="3060"/>
              </w:tabs>
              <w:ind w:left="0" w:hanging="2"/>
              <w:rPr>
                <w:rFonts w:ascii="Arial" w:eastAsia="Arial" w:hAnsi="Arial" w:cs="Arial"/>
              </w:rPr>
            </w:pPr>
          </w:p>
          <w:p w14:paraId="2120C5B7" w14:textId="77777777" w:rsidR="00BE1AD0" w:rsidRDefault="00BE1AD0">
            <w:pPr>
              <w:tabs>
                <w:tab w:val="left" w:pos="3060"/>
              </w:tabs>
              <w:ind w:left="0" w:hanging="2"/>
              <w:rPr>
                <w:rFonts w:ascii="Arial" w:eastAsia="Arial" w:hAnsi="Arial" w:cs="Arial"/>
              </w:rPr>
            </w:pPr>
          </w:p>
          <w:p w14:paraId="014DB109" w14:textId="77777777" w:rsidR="00BE1AD0" w:rsidRDefault="00BE1AD0">
            <w:pPr>
              <w:tabs>
                <w:tab w:val="left" w:pos="3060"/>
              </w:tabs>
              <w:ind w:left="0" w:hanging="2"/>
              <w:rPr>
                <w:rFonts w:ascii="Arial" w:eastAsia="Arial" w:hAnsi="Arial" w:cs="Arial"/>
              </w:rPr>
            </w:pPr>
          </w:p>
          <w:p w14:paraId="1C8D588D" w14:textId="77777777" w:rsidR="00BE1AD0" w:rsidRDefault="00A963D3">
            <w:pPr>
              <w:tabs>
                <w:tab w:val="left" w:pos="3060"/>
              </w:tabs>
              <w:ind w:left="0" w:hanging="2"/>
              <w:jc w:val="center"/>
              <w:rPr>
                <w:rFonts w:ascii="Arial" w:eastAsia="Arial" w:hAnsi="Arial" w:cs="Arial"/>
              </w:rPr>
            </w:pPr>
            <w:r>
              <w:rPr>
                <w:rFonts w:ascii="Arial" w:eastAsia="Arial" w:hAnsi="Arial" w:cs="Arial"/>
              </w:rPr>
              <w:t>_________________________________</w:t>
            </w:r>
          </w:p>
          <w:p w14:paraId="758AC820" w14:textId="77777777" w:rsidR="00BE1AD0" w:rsidRDefault="00A963D3">
            <w:pPr>
              <w:ind w:left="0" w:hanging="2"/>
              <w:jc w:val="center"/>
              <w:rPr>
                <w:rFonts w:ascii="Arial" w:eastAsia="Arial" w:hAnsi="Arial" w:cs="Arial"/>
              </w:rPr>
            </w:pPr>
            <w:r>
              <w:rPr>
                <w:rFonts w:ascii="Arial" w:eastAsia="Arial" w:hAnsi="Arial" w:cs="Arial"/>
                <w:b/>
              </w:rPr>
              <w:t xml:space="preserve">TT </w:t>
            </w:r>
            <w:proofErr w:type="spellStart"/>
            <w:r>
              <w:rPr>
                <w:rFonts w:ascii="Arial" w:eastAsia="Arial" w:hAnsi="Arial" w:cs="Arial"/>
                <w:b/>
              </w:rPr>
              <w:t>Comfort</w:t>
            </w:r>
            <w:proofErr w:type="spellEnd"/>
            <w:r>
              <w:rPr>
                <w:rFonts w:ascii="Arial" w:eastAsia="Arial" w:hAnsi="Arial" w:cs="Arial"/>
                <w:b/>
              </w:rPr>
              <w:t xml:space="preserve"> </w:t>
            </w:r>
            <w:proofErr w:type="spellStart"/>
            <w:r>
              <w:rPr>
                <w:rFonts w:ascii="Arial" w:eastAsia="Arial" w:hAnsi="Arial" w:cs="Arial"/>
                <w:b/>
              </w:rPr>
              <w:t>Class</w:t>
            </w:r>
            <w:proofErr w:type="spellEnd"/>
            <w:r>
              <w:rPr>
                <w:rFonts w:ascii="Arial" w:eastAsia="Arial" w:hAnsi="Arial" w:cs="Arial"/>
                <w:b/>
              </w:rPr>
              <w:t xml:space="preserve"> s.r.o.</w:t>
            </w:r>
          </w:p>
          <w:p w14:paraId="682C7416" w14:textId="77777777" w:rsidR="00BE1AD0" w:rsidRDefault="00BE1AD0">
            <w:pPr>
              <w:ind w:left="0" w:hanging="2"/>
              <w:jc w:val="center"/>
              <w:rPr>
                <w:rFonts w:ascii="Arial" w:eastAsia="Arial" w:hAnsi="Arial" w:cs="Arial"/>
              </w:rPr>
            </w:pPr>
          </w:p>
        </w:tc>
      </w:tr>
    </w:tbl>
    <w:p w14:paraId="0365C4C1" w14:textId="77777777" w:rsidR="00BE1AD0" w:rsidRDefault="00BE1AD0">
      <w:pPr>
        <w:pBdr>
          <w:top w:val="nil"/>
          <w:left w:val="nil"/>
          <w:bottom w:val="nil"/>
          <w:right w:val="nil"/>
          <w:between w:val="nil"/>
        </w:pBdr>
        <w:spacing w:line="240" w:lineRule="auto"/>
        <w:ind w:left="0" w:hanging="2"/>
        <w:rPr>
          <w:rFonts w:ascii="Arial" w:eastAsia="Arial" w:hAnsi="Arial" w:cs="Arial"/>
          <w:b/>
          <w:sz w:val="22"/>
          <w:szCs w:val="22"/>
        </w:rPr>
      </w:pPr>
    </w:p>
    <w:sectPr w:rsidR="00BE1AD0">
      <w:pgSz w:w="11906" w:h="16838"/>
      <w:pgMar w:top="764" w:right="720" w:bottom="764"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ADA45" w14:textId="77777777" w:rsidR="00A55A23" w:rsidRDefault="00A55A23">
      <w:pPr>
        <w:spacing w:line="240" w:lineRule="auto"/>
        <w:ind w:left="0" w:hanging="2"/>
      </w:pPr>
      <w:r>
        <w:separator/>
      </w:r>
    </w:p>
  </w:endnote>
  <w:endnote w:type="continuationSeparator" w:id="0">
    <w:p w14:paraId="5E000377" w14:textId="77777777" w:rsidR="00A55A23" w:rsidRDefault="00A55A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72AE" w14:textId="77777777" w:rsidR="00BE1AD0" w:rsidRDefault="00BE1AD0">
    <w:pPr>
      <w:pBdr>
        <w:top w:val="nil"/>
        <w:left w:val="nil"/>
        <w:bottom w:val="nil"/>
        <w:right w:val="nil"/>
        <w:between w:val="nil"/>
      </w:pBdr>
      <w:tabs>
        <w:tab w:val="center" w:pos="4536"/>
        <w:tab w:val="right" w:pos="9072"/>
      </w:tabs>
      <w:spacing w:line="240" w:lineRule="auto"/>
      <w:ind w:left="0" w:right="360" w:hanging="2"/>
      <w:jc w:val="righ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16BF" w14:textId="77777777" w:rsidR="00BE1AD0" w:rsidRDefault="00BE1AD0">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0E8D" w14:textId="77777777" w:rsidR="00BE1AD0" w:rsidRDefault="00BE1AD0">
    <w:pPr>
      <w:pBdr>
        <w:top w:val="nil"/>
        <w:left w:val="nil"/>
        <w:bottom w:val="nil"/>
        <w:right w:val="nil"/>
        <w:between w:val="nil"/>
      </w:pBdr>
      <w:tabs>
        <w:tab w:val="center" w:pos="4536"/>
        <w:tab w:val="right" w:pos="9072"/>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F3DD" w14:textId="77777777" w:rsidR="00BE1AD0" w:rsidRDefault="00BE1AD0">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BD655" w14:textId="77777777" w:rsidR="00A55A23" w:rsidRDefault="00A55A23">
      <w:pPr>
        <w:spacing w:line="240" w:lineRule="auto"/>
        <w:ind w:left="0" w:hanging="2"/>
      </w:pPr>
      <w:r>
        <w:separator/>
      </w:r>
    </w:p>
  </w:footnote>
  <w:footnote w:type="continuationSeparator" w:id="0">
    <w:p w14:paraId="0E426E36" w14:textId="77777777" w:rsidR="00A55A23" w:rsidRDefault="00A55A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EF5D" w14:textId="77777777" w:rsidR="00BE1AD0" w:rsidRDefault="00BE1AD0">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34EC" w14:textId="77777777" w:rsidR="00BE1AD0" w:rsidRDefault="00BE1AD0">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7748" w14:textId="77777777" w:rsidR="00BE1AD0" w:rsidRDefault="00A963D3">
    <w:pPr>
      <w:pBdr>
        <w:top w:val="nil"/>
        <w:left w:val="nil"/>
        <w:bottom w:val="nil"/>
        <w:right w:val="nil"/>
        <w:between w:val="nil"/>
      </w:pBdr>
      <w:tabs>
        <w:tab w:val="left" w:pos="3060"/>
      </w:tabs>
      <w:spacing w:line="240" w:lineRule="auto"/>
      <w:ind w:left="0" w:hanging="2"/>
      <w:jc w:val="center"/>
      <w:rPr>
        <w:rFonts w:ascii="Arial" w:eastAsia="Arial" w:hAnsi="Arial" w:cs="Arial"/>
        <w:color w:val="000000"/>
      </w:rPr>
    </w:pPr>
    <w:r>
      <w:rPr>
        <w:rFonts w:ascii="Arial" w:eastAsia="Arial" w:hAnsi="Arial" w:cs="Arial"/>
        <w:b/>
        <w:color w:val="000000"/>
        <w:sz w:val="20"/>
        <w:szCs w:val="20"/>
      </w:rPr>
      <w:t>Všeobecné obchodní podmínky k Rámcové smlouvě o přepravě osob</w:t>
    </w:r>
  </w:p>
  <w:p w14:paraId="0081C034" w14:textId="77777777" w:rsidR="00BE1AD0" w:rsidRDefault="00A963D3">
    <w:pPr>
      <w:pBdr>
        <w:top w:val="nil"/>
        <w:left w:val="nil"/>
        <w:bottom w:val="nil"/>
        <w:right w:val="nil"/>
        <w:between w:val="nil"/>
      </w:pBdr>
      <w:tabs>
        <w:tab w:val="left" w:pos="3060"/>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TT </w:t>
    </w:r>
    <w:proofErr w:type="spellStart"/>
    <w:r>
      <w:rPr>
        <w:rFonts w:ascii="Arial" w:eastAsia="Arial" w:hAnsi="Arial" w:cs="Arial"/>
        <w:color w:val="000000"/>
        <w:sz w:val="20"/>
        <w:szCs w:val="20"/>
      </w:rPr>
      <w:t>Comfort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Class</w:t>
    </w:r>
    <w:proofErr w:type="spellEnd"/>
    <w:r>
      <w:rPr>
        <w:rFonts w:ascii="Arial" w:eastAsia="Arial" w:hAnsi="Arial" w:cs="Arial"/>
        <w:color w:val="000000"/>
        <w:sz w:val="20"/>
        <w:szCs w:val="20"/>
      </w:rPr>
      <w:t xml:space="preserve"> s.r.o.</w:t>
    </w:r>
  </w:p>
  <w:p w14:paraId="0CB74377" w14:textId="77777777" w:rsidR="00BE1AD0" w:rsidRDefault="00BE1AD0">
    <w:pPr>
      <w:pBdr>
        <w:top w:val="nil"/>
        <w:left w:val="nil"/>
        <w:bottom w:val="nil"/>
        <w:right w:val="nil"/>
        <w:between w:val="nil"/>
      </w:pBdr>
      <w:tabs>
        <w:tab w:val="left" w:pos="3060"/>
      </w:tabs>
      <w:spacing w:line="240" w:lineRule="auto"/>
      <w:ind w:left="0" w:hanging="2"/>
      <w:jc w:val="center"/>
      <w:rPr>
        <w:rFonts w:ascii="Arial" w:eastAsia="Arial" w:hAnsi="Arial" w:cs="Aria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2560" w14:textId="77777777" w:rsidR="00BE1AD0" w:rsidRDefault="00BE1AD0">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E03"/>
    <w:multiLevelType w:val="multilevel"/>
    <w:tmpl w:val="EE2A4852"/>
    <w:lvl w:ilvl="0">
      <w:start w:val="1"/>
      <w:numFmt w:val="decimal"/>
      <w:lvlText w:val="%1."/>
      <w:lvlJc w:val="left"/>
      <w:pPr>
        <w:ind w:left="720" w:hanging="360"/>
      </w:pPr>
      <w:rPr>
        <w:vertAlign w:val="baseline"/>
      </w:rPr>
    </w:lvl>
    <w:lvl w:ilvl="1">
      <w:start w:val="1"/>
      <w:numFmt w:val="decimal"/>
      <w:lvlText w:val="2.%2."/>
      <w:lvlJc w:val="left"/>
      <w:pPr>
        <w:ind w:left="3337" w:hanging="360"/>
      </w:pPr>
      <w:rPr>
        <w:color w:val="000000"/>
        <w:sz w:val="8"/>
        <w:szCs w:val="8"/>
        <w:vertAlign w:val="baseline"/>
      </w:rPr>
    </w:lvl>
    <w:lvl w:ilvl="2">
      <w:start w:val="1"/>
      <w:numFmt w:val="decimal"/>
      <w:lvlText w:val="%1.%2.%3."/>
      <w:lvlJc w:val="left"/>
      <w:pPr>
        <w:ind w:left="720" w:hanging="36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080" w:hanging="720"/>
      </w:pPr>
      <w:rPr>
        <w:vertAlign w:val="baseline"/>
      </w:rPr>
    </w:lvl>
    <w:lvl w:ilvl="5">
      <w:start w:val="1"/>
      <w:numFmt w:val="decimal"/>
      <w:lvlText w:val="%1.%2.%3.%4.%5.%6."/>
      <w:lvlJc w:val="left"/>
      <w:pPr>
        <w:ind w:left="1080" w:hanging="72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440" w:hanging="1080"/>
      </w:pPr>
      <w:rPr>
        <w:vertAlign w:val="baseline"/>
      </w:rPr>
    </w:lvl>
    <w:lvl w:ilvl="8">
      <w:start w:val="1"/>
      <w:numFmt w:val="decimal"/>
      <w:lvlText w:val="%1.%2.%3.%4.%5.%6.%7.%8.%9."/>
      <w:lvlJc w:val="left"/>
      <w:pPr>
        <w:ind w:left="1440" w:hanging="1080"/>
      </w:pPr>
      <w:rPr>
        <w:vertAlign w:val="baseline"/>
      </w:rPr>
    </w:lvl>
  </w:abstractNum>
  <w:abstractNum w:abstractNumId="1" w15:restartNumberingAfterBreak="0">
    <w:nsid w:val="18A074C9"/>
    <w:multiLevelType w:val="multilevel"/>
    <w:tmpl w:val="02F8448A"/>
    <w:lvl w:ilvl="0">
      <w:start w:val="1"/>
      <w:numFmt w:val="decimal"/>
      <w:lvlText w:val="%1."/>
      <w:lvlJc w:val="left"/>
      <w:pPr>
        <w:ind w:left="360" w:hanging="360"/>
      </w:pPr>
      <w:rPr>
        <w:vertAlign w:val="baseline"/>
      </w:rPr>
    </w:lvl>
    <w:lvl w:ilvl="1">
      <w:start w:val="1"/>
      <w:numFmt w:val="decimal"/>
      <w:lvlText w:val="7.%2."/>
      <w:lvlJc w:val="left"/>
      <w:pPr>
        <w:ind w:left="792" w:hanging="432"/>
      </w:pPr>
      <w:rPr>
        <w:b w:val="0"/>
        <w:sz w:val="8"/>
        <w:szCs w:val="8"/>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BB704EC"/>
    <w:multiLevelType w:val="multilevel"/>
    <w:tmpl w:val="E06E7E78"/>
    <w:lvl w:ilvl="0">
      <w:start w:val="4"/>
      <w:numFmt w:val="decimal"/>
      <w:lvlText w:val="%1."/>
      <w:lvlJc w:val="left"/>
      <w:pPr>
        <w:ind w:left="360" w:hanging="360"/>
      </w:pPr>
      <w:rPr>
        <w:vertAlign w:val="baseline"/>
      </w:rPr>
    </w:lvl>
    <w:lvl w:ilvl="1">
      <w:start w:val="1"/>
      <w:numFmt w:val="decimal"/>
      <w:lvlText w:val="3.%2."/>
      <w:lvlJc w:val="left"/>
      <w:pPr>
        <w:ind w:left="502" w:hanging="360"/>
      </w:pPr>
      <w:rPr>
        <w:b w:val="0"/>
        <w:color w:val="000000"/>
        <w:sz w:val="7"/>
        <w:szCs w:val="7"/>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720" w:hanging="72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080" w:hanging="1080"/>
      </w:pPr>
      <w:rPr>
        <w:vertAlign w:val="baseline"/>
      </w:rPr>
    </w:lvl>
  </w:abstractNum>
  <w:abstractNum w:abstractNumId="3" w15:restartNumberingAfterBreak="0">
    <w:nsid w:val="1C4C41A0"/>
    <w:multiLevelType w:val="hybridMultilevel"/>
    <w:tmpl w:val="623CFE46"/>
    <w:lvl w:ilvl="0" w:tplc="482ACFDA">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862ECF"/>
    <w:multiLevelType w:val="multilevel"/>
    <w:tmpl w:val="F3A82F96"/>
    <w:lvl w:ilvl="0">
      <w:start w:val="4"/>
      <w:numFmt w:val="decimal"/>
      <w:lvlText w:val="%1."/>
      <w:lvlJc w:val="left"/>
      <w:pPr>
        <w:ind w:left="360" w:hanging="360"/>
      </w:pPr>
      <w:rPr>
        <w:vertAlign w:val="baseline"/>
      </w:rPr>
    </w:lvl>
    <w:lvl w:ilvl="1">
      <w:start w:val="1"/>
      <w:numFmt w:val="decimal"/>
      <w:lvlText w:val="5.%2."/>
      <w:lvlJc w:val="left"/>
      <w:pPr>
        <w:ind w:left="502" w:hanging="360"/>
      </w:pPr>
      <w:rPr>
        <w:b w:val="0"/>
        <w:color w:val="000000"/>
        <w:sz w:val="7"/>
        <w:szCs w:val="7"/>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720" w:hanging="72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080" w:hanging="1080"/>
      </w:pPr>
      <w:rPr>
        <w:vertAlign w:val="baseline"/>
      </w:rPr>
    </w:lvl>
  </w:abstractNum>
  <w:abstractNum w:abstractNumId="5" w15:restartNumberingAfterBreak="0">
    <w:nsid w:val="22A971A1"/>
    <w:multiLevelType w:val="multilevel"/>
    <w:tmpl w:val="F3C09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105637"/>
    <w:multiLevelType w:val="multilevel"/>
    <w:tmpl w:val="7A28E3DE"/>
    <w:lvl w:ilvl="0">
      <w:start w:val="4"/>
      <w:numFmt w:val="decimal"/>
      <w:lvlText w:val="%1."/>
      <w:lvlJc w:val="left"/>
      <w:pPr>
        <w:ind w:left="360" w:hanging="360"/>
      </w:pPr>
      <w:rPr>
        <w:vertAlign w:val="baseline"/>
      </w:rPr>
    </w:lvl>
    <w:lvl w:ilvl="1">
      <w:start w:val="1"/>
      <w:numFmt w:val="decimal"/>
      <w:lvlText w:val="6.%2."/>
      <w:lvlJc w:val="left"/>
      <w:pPr>
        <w:ind w:left="502" w:hanging="360"/>
      </w:pPr>
      <w:rPr>
        <w:b w:val="0"/>
        <w:color w:val="000000"/>
        <w:sz w:val="7"/>
        <w:szCs w:val="7"/>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720" w:hanging="72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080" w:hanging="1080"/>
      </w:pPr>
      <w:rPr>
        <w:vertAlign w:val="baseline"/>
      </w:rPr>
    </w:lvl>
  </w:abstractNum>
  <w:abstractNum w:abstractNumId="7" w15:restartNumberingAfterBreak="0">
    <w:nsid w:val="39EE26EC"/>
    <w:multiLevelType w:val="multilevel"/>
    <w:tmpl w:val="DB62C312"/>
    <w:lvl w:ilvl="0">
      <w:start w:val="1"/>
      <w:numFmt w:val="decimal"/>
      <w:lvlText w:val="%1."/>
      <w:lvlJc w:val="left"/>
      <w:pPr>
        <w:ind w:left="720" w:hanging="360"/>
      </w:pPr>
      <w:rPr>
        <w:b/>
        <w:sz w:val="8"/>
        <w:szCs w:val="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4D96A91"/>
    <w:multiLevelType w:val="hybridMultilevel"/>
    <w:tmpl w:val="DBD29F22"/>
    <w:lvl w:ilvl="0" w:tplc="29784044">
      <w:start w:val="14"/>
      <w:numFmt w:val="decimal"/>
      <w:lvlText w:val="%1"/>
      <w:lvlJc w:val="left"/>
      <w:pPr>
        <w:ind w:left="358" w:hanging="360"/>
      </w:pPr>
      <w:rPr>
        <w:rFonts w:hint="default"/>
        <w:b/>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9" w15:restartNumberingAfterBreak="0">
    <w:nsid w:val="46921DA6"/>
    <w:multiLevelType w:val="multilevel"/>
    <w:tmpl w:val="40243786"/>
    <w:lvl w:ilvl="0">
      <w:start w:val="1"/>
      <w:numFmt w:val="decimal"/>
      <w:pStyle w:val="Nadpis1"/>
      <w:lvlText w:val="%1."/>
      <w:lvlJc w:val="left"/>
      <w:pPr>
        <w:ind w:left="720" w:hanging="360"/>
      </w:pPr>
      <w:rPr>
        <w:b/>
        <w:sz w:val="7"/>
        <w:szCs w:val="7"/>
        <w:vertAlign w:val="baseline"/>
      </w:rPr>
    </w:lvl>
    <w:lvl w:ilvl="1">
      <w:start w:val="1"/>
      <w:numFmt w:val="bullet"/>
      <w:pStyle w:val="Nadpis2"/>
      <w:lvlText w:val=""/>
      <w:lvlJc w:val="left"/>
      <w:pPr>
        <w:ind w:left="0" w:firstLine="0"/>
      </w:pPr>
    </w:lvl>
    <w:lvl w:ilvl="2">
      <w:start w:val="1"/>
      <w:numFmt w:val="bullet"/>
      <w:pStyle w:val="Nadpis3"/>
      <w:lvlText w:val=""/>
      <w:lvlJc w:val="left"/>
      <w:pPr>
        <w:ind w:left="0" w:firstLine="0"/>
      </w:pPr>
    </w:lvl>
    <w:lvl w:ilvl="3">
      <w:start w:val="1"/>
      <w:numFmt w:val="bullet"/>
      <w:pStyle w:val="Nadpis4"/>
      <w:lvlText w:val=""/>
      <w:lvlJc w:val="left"/>
      <w:pPr>
        <w:ind w:left="0" w:firstLine="0"/>
      </w:pPr>
    </w:lvl>
    <w:lvl w:ilvl="4">
      <w:start w:val="1"/>
      <w:numFmt w:val="bullet"/>
      <w:pStyle w:val="Nadpis5"/>
      <w:lvlText w:val=""/>
      <w:lvlJc w:val="left"/>
      <w:pPr>
        <w:ind w:left="0" w:firstLine="0"/>
      </w:pPr>
    </w:lvl>
    <w:lvl w:ilvl="5">
      <w:start w:val="1"/>
      <w:numFmt w:val="bullet"/>
      <w:pStyle w:val="Nadpis6"/>
      <w:lvlText w:val=""/>
      <w:lvlJc w:val="left"/>
      <w:pPr>
        <w:ind w:left="0" w:firstLine="0"/>
      </w:pPr>
    </w:lvl>
    <w:lvl w:ilvl="6">
      <w:start w:val="1"/>
      <w:numFmt w:val="bullet"/>
      <w:pStyle w:val="Nadpis7"/>
      <w:lvlText w:val=""/>
      <w:lvlJc w:val="left"/>
      <w:pPr>
        <w:ind w:left="0" w:firstLine="0"/>
      </w:pPr>
    </w:lvl>
    <w:lvl w:ilvl="7">
      <w:start w:val="1"/>
      <w:numFmt w:val="bullet"/>
      <w:pStyle w:val="Nadpis8"/>
      <w:lvlText w:val=""/>
      <w:lvlJc w:val="left"/>
      <w:pPr>
        <w:ind w:left="0" w:firstLine="0"/>
      </w:pPr>
    </w:lvl>
    <w:lvl w:ilvl="8">
      <w:start w:val="1"/>
      <w:numFmt w:val="bullet"/>
      <w:lvlText w:val=""/>
      <w:lvlJc w:val="left"/>
      <w:pPr>
        <w:ind w:left="0" w:firstLine="0"/>
      </w:pPr>
    </w:lvl>
  </w:abstractNum>
  <w:abstractNum w:abstractNumId="10" w15:restartNumberingAfterBreak="0">
    <w:nsid w:val="4E294066"/>
    <w:multiLevelType w:val="hybridMultilevel"/>
    <w:tmpl w:val="98D84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B73468"/>
    <w:multiLevelType w:val="multilevel"/>
    <w:tmpl w:val="73D6478A"/>
    <w:lvl w:ilvl="0">
      <w:start w:val="1"/>
      <w:numFmt w:val="bullet"/>
      <w:lvlText w:val="-"/>
      <w:lvlJc w:val="left"/>
      <w:pPr>
        <w:ind w:left="720" w:hanging="360"/>
      </w:pPr>
      <w:rPr>
        <w:rFonts w:ascii="Times New Roman" w:eastAsia="Times New Roman" w:hAnsi="Times New Roman" w:cs="Times New Roman"/>
        <w:color w:val="000000"/>
        <w:sz w:val="15"/>
        <w:szCs w:val="15"/>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03C1F11"/>
    <w:multiLevelType w:val="hybridMultilevel"/>
    <w:tmpl w:val="2068AB10"/>
    <w:lvl w:ilvl="0" w:tplc="E9B0C4B0">
      <w:start w:val="3"/>
      <w:numFmt w:val="decimal"/>
      <w:lvlText w:val="%1."/>
      <w:lvlJc w:val="left"/>
      <w:pPr>
        <w:ind w:left="358" w:hanging="360"/>
      </w:pPr>
      <w:rPr>
        <w:rFonts w:hint="default"/>
        <w:b/>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13" w15:restartNumberingAfterBreak="0">
    <w:nsid w:val="60851EE0"/>
    <w:multiLevelType w:val="hybridMultilevel"/>
    <w:tmpl w:val="396C3484"/>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4" w15:restartNumberingAfterBreak="0">
    <w:nsid w:val="6B351F96"/>
    <w:multiLevelType w:val="multilevel"/>
    <w:tmpl w:val="F15C0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E44D45"/>
    <w:multiLevelType w:val="multilevel"/>
    <w:tmpl w:val="26E69302"/>
    <w:lvl w:ilvl="0">
      <w:start w:val="1"/>
      <w:numFmt w:val="decimal"/>
      <w:lvlText w:val="1.%1."/>
      <w:lvlJc w:val="left"/>
      <w:pPr>
        <w:ind w:left="1069" w:hanging="360"/>
      </w:pPr>
      <w:rPr>
        <w:rFonts w:ascii="Arial" w:eastAsia="Arial" w:hAnsi="Arial" w:cs="Arial"/>
        <w:b/>
        <w:sz w:val="7"/>
        <w:szCs w:val="7"/>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B7519D6"/>
    <w:multiLevelType w:val="hybridMultilevel"/>
    <w:tmpl w:val="D01AFA82"/>
    <w:lvl w:ilvl="0" w:tplc="500A0E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2263C5"/>
    <w:multiLevelType w:val="multilevel"/>
    <w:tmpl w:val="88FE10F0"/>
    <w:lvl w:ilvl="0">
      <w:start w:val="4"/>
      <w:numFmt w:val="decimal"/>
      <w:lvlText w:val="%1."/>
      <w:lvlJc w:val="left"/>
      <w:pPr>
        <w:ind w:left="360" w:hanging="360"/>
      </w:pPr>
      <w:rPr>
        <w:vertAlign w:val="baseline"/>
      </w:rPr>
    </w:lvl>
    <w:lvl w:ilvl="1">
      <w:start w:val="1"/>
      <w:numFmt w:val="decimal"/>
      <w:lvlText w:val="4.%2."/>
      <w:lvlJc w:val="left"/>
      <w:pPr>
        <w:ind w:left="502" w:hanging="360"/>
      </w:pPr>
      <w:rPr>
        <w:rFonts w:ascii="Arial" w:eastAsia="Arial" w:hAnsi="Arial" w:cs="Arial"/>
        <w:b w:val="0"/>
        <w:color w:val="000000"/>
        <w:sz w:val="7"/>
        <w:szCs w:val="7"/>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720" w:hanging="72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080" w:hanging="1080"/>
      </w:pPr>
      <w:rPr>
        <w:vertAlign w:val="baseline"/>
      </w:rPr>
    </w:lvl>
  </w:abstractNum>
  <w:abstractNum w:abstractNumId="18" w15:restartNumberingAfterBreak="0">
    <w:nsid w:val="7D822EA6"/>
    <w:multiLevelType w:val="multilevel"/>
    <w:tmpl w:val="C88296F2"/>
    <w:lvl w:ilvl="0">
      <w:start w:val="1"/>
      <w:numFmt w:val="decimal"/>
      <w:lvlText w:val="8.%1"/>
      <w:lvlJc w:val="left"/>
      <w:pPr>
        <w:ind w:left="501"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D9F1FB0"/>
    <w:multiLevelType w:val="multilevel"/>
    <w:tmpl w:val="DAB85E28"/>
    <w:lvl w:ilvl="0">
      <w:start w:val="1"/>
      <w:numFmt w:val="decimal"/>
      <w:lvlText w:val="9.%1"/>
      <w:lvlJc w:val="left"/>
      <w:pPr>
        <w:ind w:left="720" w:hanging="360"/>
      </w:pPr>
      <w:rPr>
        <w:b w:val="0"/>
        <w:sz w:val="8"/>
        <w:szCs w:val="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6"/>
  </w:num>
  <w:num w:numId="3">
    <w:abstractNumId w:val="7"/>
  </w:num>
  <w:num w:numId="4">
    <w:abstractNumId w:val="2"/>
  </w:num>
  <w:num w:numId="5">
    <w:abstractNumId w:val="1"/>
  </w:num>
  <w:num w:numId="6">
    <w:abstractNumId w:val="15"/>
  </w:num>
  <w:num w:numId="7">
    <w:abstractNumId w:val="0"/>
  </w:num>
  <w:num w:numId="8">
    <w:abstractNumId w:val="19"/>
  </w:num>
  <w:num w:numId="9">
    <w:abstractNumId w:val="11"/>
  </w:num>
  <w:num w:numId="10">
    <w:abstractNumId w:val="18"/>
  </w:num>
  <w:num w:numId="11">
    <w:abstractNumId w:val="5"/>
  </w:num>
  <w:num w:numId="12">
    <w:abstractNumId w:val="17"/>
  </w:num>
  <w:num w:numId="13">
    <w:abstractNumId w:val="4"/>
  </w:num>
  <w:num w:numId="14">
    <w:abstractNumId w:val="14"/>
  </w:num>
  <w:num w:numId="15">
    <w:abstractNumId w:val="13"/>
  </w:num>
  <w:num w:numId="16">
    <w:abstractNumId w:val="10"/>
  </w:num>
  <w:num w:numId="17">
    <w:abstractNumId w:val="16"/>
  </w:num>
  <w:num w:numId="18">
    <w:abstractNumId w:val="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D0"/>
    <w:rsid w:val="00087A29"/>
    <w:rsid w:val="00095794"/>
    <w:rsid w:val="00153D43"/>
    <w:rsid w:val="002040B3"/>
    <w:rsid w:val="002A19EC"/>
    <w:rsid w:val="002D0717"/>
    <w:rsid w:val="003B164C"/>
    <w:rsid w:val="003E55EB"/>
    <w:rsid w:val="00422EF6"/>
    <w:rsid w:val="004331C6"/>
    <w:rsid w:val="00474112"/>
    <w:rsid w:val="00536DF2"/>
    <w:rsid w:val="007262BA"/>
    <w:rsid w:val="007738D6"/>
    <w:rsid w:val="0081577E"/>
    <w:rsid w:val="009C4FBA"/>
    <w:rsid w:val="00A32346"/>
    <w:rsid w:val="00A55A23"/>
    <w:rsid w:val="00A62E71"/>
    <w:rsid w:val="00A963D3"/>
    <w:rsid w:val="00AB2506"/>
    <w:rsid w:val="00B31B1F"/>
    <w:rsid w:val="00BE1AD0"/>
    <w:rsid w:val="00DC6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2645"/>
  <w15:docId w15:val="{CF622F76-B355-41FD-883B-8FD1F59C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1" w:lineRule="atLeast"/>
      <w:ind w:leftChars="-1" w:left="-1" w:hangingChars="1" w:hanging="1"/>
      <w:textDirection w:val="btLr"/>
      <w:textAlignment w:val="top"/>
      <w:outlineLvl w:val="0"/>
    </w:pPr>
    <w:rPr>
      <w:position w:val="-1"/>
      <w:sz w:val="24"/>
      <w:szCs w:val="24"/>
      <w:lang w:eastAsia="zh-CN"/>
    </w:rPr>
  </w:style>
  <w:style w:type="paragraph" w:styleId="Nadpis1">
    <w:name w:val="heading 1"/>
    <w:basedOn w:val="Normln"/>
    <w:next w:val="Normln"/>
    <w:uiPriority w:val="9"/>
    <w:qFormat/>
    <w:pPr>
      <w:keepNext/>
      <w:numPr>
        <w:numId w:val="1"/>
      </w:numPr>
      <w:spacing w:line="360" w:lineRule="auto"/>
      <w:ind w:left="-1" w:hanging="1"/>
    </w:pPr>
    <w:rPr>
      <w:b/>
      <w:kern w:val="1"/>
      <w:szCs w:val="20"/>
    </w:rPr>
  </w:style>
  <w:style w:type="paragraph" w:styleId="Nadpis2">
    <w:name w:val="heading 2"/>
    <w:basedOn w:val="Normln"/>
    <w:next w:val="Normln"/>
    <w:uiPriority w:val="9"/>
    <w:semiHidden/>
    <w:unhideWhenUsed/>
    <w:qFormat/>
    <w:pPr>
      <w:keepNext/>
      <w:numPr>
        <w:ilvl w:val="1"/>
        <w:numId w:val="1"/>
      </w:numPr>
      <w:spacing w:line="360" w:lineRule="auto"/>
      <w:ind w:left="-1" w:hanging="1"/>
      <w:outlineLvl w:val="1"/>
    </w:pPr>
    <w:rPr>
      <w:b/>
      <w:szCs w:val="20"/>
    </w:rPr>
  </w:style>
  <w:style w:type="paragraph" w:styleId="Nadpis3">
    <w:name w:val="heading 3"/>
    <w:basedOn w:val="Normln"/>
    <w:next w:val="Normln"/>
    <w:uiPriority w:val="9"/>
    <w:semiHidden/>
    <w:unhideWhenUsed/>
    <w:qFormat/>
    <w:pPr>
      <w:keepNext/>
      <w:numPr>
        <w:ilvl w:val="2"/>
        <w:numId w:val="1"/>
      </w:numPr>
      <w:spacing w:line="360" w:lineRule="auto"/>
      <w:ind w:left="-1" w:hanging="1"/>
      <w:outlineLvl w:val="2"/>
    </w:pPr>
    <w:rPr>
      <w:b/>
      <w:szCs w:val="20"/>
    </w:rPr>
  </w:style>
  <w:style w:type="paragraph" w:styleId="Nadpis4">
    <w:name w:val="heading 4"/>
    <w:basedOn w:val="Normln"/>
    <w:next w:val="Normln"/>
    <w:uiPriority w:val="9"/>
    <w:semiHidden/>
    <w:unhideWhenUsed/>
    <w:qFormat/>
    <w:pPr>
      <w:keepNext/>
      <w:numPr>
        <w:ilvl w:val="3"/>
        <w:numId w:val="1"/>
      </w:numPr>
      <w:spacing w:line="360" w:lineRule="auto"/>
      <w:ind w:left="-1" w:hanging="1"/>
      <w:outlineLvl w:val="3"/>
    </w:pPr>
    <w:rPr>
      <w:b/>
      <w:szCs w:val="20"/>
    </w:rPr>
  </w:style>
  <w:style w:type="paragraph" w:styleId="Nadpis5">
    <w:name w:val="heading 5"/>
    <w:basedOn w:val="Normln"/>
    <w:next w:val="Normln"/>
    <w:uiPriority w:val="9"/>
    <w:semiHidden/>
    <w:unhideWhenUsed/>
    <w:qFormat/>
    <w:pPr>
      <w:numPr>
        <w:ilvl w:val="4"/>
        <w:numId w:val="1"/>
      </w:numPr>
      <w:spacing w:line="360" w:lineRule="auto"/>
      <w:ind w:left="-1" w:hanging="1"/>
      <w:outlineLvl w:val="4"/>
    </w:pPr>
    <w:rPr>
      <w:szCs w:val="20"/>
    </w:rPr>
  </w:style>
  <w:style w:type="paragraph" w:styleId="Nadpis6">
    <w:name w:val="heading 6"/>
    <w:basedOn w:val="Normln"/>
    <w:next w:val="Normln"/>
    <w:uiPriority w:val="9"/>
    <w:semiHidden/>
    <w:unhideWhenUsed/>
    <w:qFormat/>
    <w:pPr>
      <w:numPr>
        <w:ilvl w:val="5"/>
        <w:numId w:val="1"/>
      </w:numPr>
      <w:spacing w:line="360" w:lineRule="auto"/>
      <w:ind w:left="-1" w:hanging="1"/>
      <w:outlineLvl w:val="5"/>
    </w:pPr>
    <w:rPr>
      <w:szCs w:val="20"/>
    </w:rPr>
  </w:style>
  <w:style w:type="paragraph" w:styleId="Nadpis7">
    <w:name w:val="heading 7"/>
    <w:basedOn w:val="Normln"/>
    <w:next w:val="Normln"/>
    <w:pPr>
      <w:numPr>
        <w:ilvl w:val="6"/>
        <w:numId w:val="1"/>
      </w:numPr>
      <w:spacing w:line="360" w:lineRule="auto"/>
      <w:ind w:left="-1" w:hanging="1"/>
      <w:outlineLvl w:val="6"/>
    </w:pPr>
    <w:rPr>
      <w:szCs w:val="20"/>
    </w:rPr>
  </w:style>
  <w:style w:type="paragraph" w:styleId="Nadpis8">
    <w:name w:val="heading 8"/>
    <w:basedOn w:val="Normln"/>
    <w:next w:val="Normln"/>
    <w:pPr>
      <w:numPr>
        <w:ilvl w:val="7"/>
        <w:numId w:val="1"/>
      </w:numPr>
      <w:spacing w:line="360" w:lineRule="auto"/>
      <w:ind w:left="-1" w:hanging="1"/>
      <w:outlineLvl w:val="7"/>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Verdana" w:hAnsi="Verdana" w:cs="Times New Roman"/>
      <w:b w:val="0"/>
      <w:bCs w:val="0"/>
      <w:i w:val="0"/>
      <w:iCs w:val="0"/>
      <w:strike w:val="0"/>
      <w:dstrike w:val="0"/>
      <w:color w:val="000000"/>
      <w:w w:val="100"/>
      <w:position w:val="-1"/>
      <w:sz w:val="20"/>
      <w:szCs w:val="20"/>
      <w:u w:val="none"/>
      <w:effect w:val="none"/>
      <w:vertAlign w:val="baseline"/>
      <w:cs w:val="0"/>
      <w:em w:val="none"/>
    </w:rPr>
  </w:style>
  <w:style w:type="character" w:customStyle="1" w:styleId="WW8Num2z1">
    <w:name w:val="WW8Num2z1"/>
    <w:rPr>
      <w:rFonts w:ascii="Courier New" w:hAnsi="Courier New" w:cs="Courier New"/>
      <w:b w:val="0"/>
      <w:bCs w:val="0"/>
      <w:i w:val="0"/>
      <w:iCs w:val="0"/>
      <w:strike w:val="0"/>
      <w:dstrike w:val="0"/>
      <w:color w:val="000000"/>
      <w:w w:val="100"/>
      <w:position w:val="-1"/>
      <w:sz w:val="20"/>
      <w:szCs w:val="20"/>
      <w:u w:val="none"/>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4z0">
    <w:name w:val="WW8Num4z0"/>
    <w:rPr>
      <w:b/>
      <w:w w:val="100"/>
      <w:position w:val="-1"/>
      <w:sz w:val="15"/>
      <w:szCs w:val="15"/>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b w:val="0"/>
      <w:color w:val="000000"/>
      <w:w w:val="100"/>
      <w:position w:val="-1"/>
      <w:sz w:val="15"/>
      <w:szCs w:val="15"/>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color w:val="auto"/>
      <w:w w:val="100"/>
      <w:position w:val="-1"/>
      <w:sz w:val="16"/>
      <w:szCs w:val="16"/>
      <w:effect w:val="none"/>
      <w:vertAlign w:val="baseline"/>
      <w:cs w:val="0"/>
      <w:em w:val="none"/>
    </w:rPr>
  </w:style>
  <w:style w:type="character" w:customStyle="1" w:styleId="WW8Num7z0">
    <w:name w:val="WW8Num7z0"/>
    <w:rPr>
      <w:b w:val="0"/>
      <w:spacing w:val="-2"/>
      <w:w w:val="100"/>
      <w:position w:val="-1"/>
      <w:sz w:val="15"/>
      <w:szCs w:val="15"/>
      <w:effect w:val="none"/>
      <w:vertAlign w:val="baseline"/>
      <w:cs w:val="0"/>
      <w:em w:val="none"/>
    </w:rPr>
  </w:style>
  <w:style w:type="character" w:customStyle="1" w:styleId="WW8Num8z0">
    <w:name w:val="WW8Num8z0"/>
    <w:rPr>
      <w:rFonts w:ascii="Times New Roman" w:hAnsi="Times New Roman" w:cs="Times New Roman" w:hint="default"/>
      <w:color w:val="auto"/>
      <w:w w:val="100"/>
      <w:position w:val="-1"/>
      <w:sz w:val="15"/>
      <w:szCs w:val="15"/>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b w:val="0"/>
      <w:color w:val="000000"/>
      <w:spacing w:val="-2"/>
      <w:w w:val="100"/>
      <w:position w:val="-1"/>
      <w:sz w:val="15"/>
      <w:szCs w:val="15"/>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b w:val="0"/>
      <w:color w:val="000000"/>
      <w:spacing w:val="-2"/>
      <w:w w:val="100"/>
      <w:position w:val="-1"/>
      <w:sz w:val="15"/>
      <w:szCs w:val="15"/>
      <w:effect w:val="none"/>
      <w:vertAlign w:val="baseline"/>
      <w:cs w:val="0"/>
      <w:em w:val="none"/>
    </w:rPr>
  </w:style>
  <w:style w:type="character" w:customStyle="1" w:styleId="WW8Num11z0">
    <w:name w:val="WW8Num11z0"/>
    <w:rPr>
      <w:b w:val="0"/>
      <w:spacing w:val="-2"/>
      <w:w w:val="100"/>
      <w:position w:val="0"/>
      <w:sz w:val="16"/>
      <w:szCs w:val="16"/>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b w:val="0"/>
      <w:color w:val="000000"/>
      <w:w w:val="100"/>
      <w:position w:val="-1"/>
      <w:sz w:val="15"/>
      <w:szCs w:val="15"/>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b w:val="0"/>
      <w:w w:val="100"/>
      <w:position w:val="0"/>
      <w:sz w:val="16"/>
      <w:szCs w:val="16"/>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b w:val="0"/>
      <w:color w:val="000000"/>
      <w:w w:val="100"/>
      <w:position w:val="-1"/>
      <w:sz w:val="15"/>
      <w:szCs w:val="15"/>
      <w:effect w:val="none"/>
      <w:vertAlign w:val="baseline"/>
      <w:cs w:val="0"/>
      <w:em w:val="none"/>
    </w:rPr>
  </w:style>
  <w:style w:type="character" w:customStyle="1" w:styleId="WW8Num15z0">
    <w:name w:val="WW8Num15z0"/>
    <w:rPr>
      <w:b/>
      <w:w w:val="100"/>
      <w:position w:val="-1"/>
      <w:sz w:val="15"/>
      <w:szCs w:val="15"/>
      <w:effect w:val="none"/>
      <w:vertAlign w:val="baseline"/>
      <w:cs w:val="0"/>
      <w:em w:val="none"/>
    </w:rPr>
  </w:style>
  <w:style w:type="character" w:customStyle="1" w:styleId="WW8Num16z0">
    <w:name w:val="WW8Num16z0"/>
    <w:rPr>
      <w:b/>
      <w:w w:val="100"/>
      <w:position w:val="-1"/>
      <w:sz w:val="16"/>
      <w:szCs w:val="16"/>
      <w:effect w:val="none"/>
      <w:vertAlign w:val="baseline"/>
      <w:cs w:val="0"/>
      <w:em w:val="none"/>
    </w:rPr>
  </w:style>
  <w:style w:type="character" w:customStyle="1" w:styleId="WW8Num17z0">
    <w:name w:val="WW8Num17z0"/>
    <w:rPr>
      <w:rFonts w:ascii="Calibri-Bold" w:hAnsi="Calibri-Bold" w:cs="Calibri-Bold" w:hint="default"/>
      <w:b/>
      <w:bCs/>
      <w:w w:val="100"/>
      <w:position w:val="-1"/>
      <w:sz w:val="20"/>
      <w:szCs w:val="20"/>
      <w:effect w:val="none"/>
      <w:vertAlign w:val="baseline"/>
      <w:cs w:val="0"/>
      <w:em w:val="none"/>
    </w:rPr>
  </w:style>
  <w:style w:type="character" w:customStyle="1" w:styleId="Standardnpsmoodstavce2">
    <w:name w:val="Standardní písmo odstavce2"/>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b w:val="0"/>
      <w:color w:val="000000"/>
      <w:w w:val="100"/>
      <w:position w:val="-1"/>
      <w:sz w:val="15"/>
      <w:szCs w:val="15"/>
      <w:effect w:val="none"/>
      <w:vertAlign w:val="baseline"/>
      <w:cs w:val="0"/>
      <w:em w:val="none"/>
    </w:rPr>
  </w:style>
  <w:style w:type="character" w:customStyle="1" w:styleId="WW8Num18z0">
    <w:name w:val="WW8Num18z0"/>
    <w:rPr>
      <w:rFonts w:ascii="Calibri-Bold" w:hAnsi="Calibri-Bold" w:cs="Calibri-Bold" w:hint="default"/>
      <w:b/>
      <w:bCs/>
      <w:w w:val="100"/>
      <w:position w:val="-1"/>
      <w:sz w:val="20"/>
      <w:szCs w:val="20"/>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6z1">
    <w:name w:val="WW8Num16z1"/>
    <w:rPr>
      <w:color w:val="auto"/>
      <w:w w:val="100"/>
      <w:position w:val="-1"/>
      <w:sz w:val="16"/>
      <w:szCs w:val="16"/>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1">
    <w:name w:val="WW8Num18z1"/>
    <w:rPr>
      <w:b w:val="0"/>
      <w:w w:val="100"/>
      <w:position w:val="-1"/>
      <w:effect w:val="none"/>
      <w:vertAlign w:val="baseline"/>
      <w:cs w:val="0"/>
      <w:em w:val="none"/>
    </w:rPr>
  </w:style>
  <w:style w:type="character" w:customStyle="1" w:styleId="WW8Num19z0">
    <w:name w:val="WW8Num19z0"/>
    <w:rPr>
      <w:rFonts w:ascii="Times New Roman" w:eastAsia="Times New Roman" w:hAnsi="Times New Roman" w:cs="Times New Roman" w:hint="default"/>
      <w:color w:val="auto"/>
      <w:w w:val="100"/>
      <w:position w:val="-1"/>
      <w:sz w:val="15"/>
      <w:szCs w:val="15"/>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b w:val="0"/>
      <w:color w:val="000000"/>
      <w:spacing w:val="-2"/>
      <w:w w:val="100"/>
      <w:position w:val="-1"/>
      <w:sz w:val="15"/>
      <w:szCs w:val="15"/>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b w:val="0"/>
      <w:color w:val="000000"/>
      <w:spacing w:val="-2"/>
      <w:w w:val="100"/>
      <w:position w:val="-1"/>
      <w:sz w:val="15"/>
      <w:szCs w:val="15"/>
      <w:effect w:val="none"/>
      <w:vertAlign w:val="baseline"/>
      <w:cs w:val="0"/>
      <w:em w:val="none"/>
    </w:rPr>
  </w:style>
  <w:style w:type="character" w:customStyle="1" w:styleId="WW8Num22z0">
    <w:name w:val="WW8Num22z0"/>
    <w:rPr>
      <w:b w:val="0"/>
      <w:spacing w:val="-2"/>
      <w:w w:val="100"/>
      <w:position w:val="0"/>
      <w:sz w:val="16"/>
      <w:szCs w:val="16"/>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b w:val="0"/>
      <w:color w:val="000000"/>
      <w:w w:val="100"/>
      <w:position w:val="-1"/>
      <w:sz w:val="15"/>
      <w:szCs w:val="15"/>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b w:val="0"/>
      <w:w w:val="100"/>
      <w:position w:val="0"/>
      <w:sz w:val="16"/>
      <w:szCs w:val="16"/>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Symbol" w:hAnsi="Symbol" w:cs="Symbol"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b w:val="0"/>
      <w:color w:val="000000"/>
      <w:w w:val="100"/>
      <w:position w:val="-1"/>
      <w:sz w:val="15"/>
      <w:szCs w:val="15"/>
      <w:effect w:val="none"/>
      <w:vertAlign w:val="baseline"/>
      <w:cs w:val="0"/>
      <w:em w:val="none"/>
    </w:rPr>
  </w:style>
  <w:style w:type="character" w:customStyle="1" w:styleId="WW8Num28z0">
    <w:name w:val="WW8Num28z0"/>
    <w:rPr>
      <w:b/>
      <w:w w:val="100"/>
      <w:position w:val="-1"/>
      <w:sz w:val="15"/>
      <w:szCs w:val="15"/>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b/>
      <w:w w:val="100"/>
      <w:position w:val="-1"/>
      <w:sz w:val="16"/>
      <w:szCs w:val="16"/>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Calibri-Bold" w:hAnsi="Calibri-Bold" w:cs="Calibri-Bold" w:hint="default"/>
      <w:b/>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platne1">
    <w:name w:val="platne1"/>
    <w:basedOn w:val="Standardnpsmoodstavce1"/>
    <w:rPr>
      <w:w w:val="100"/>
      <w:position w:val="-1"/>
      <w:effect w:val="none"/>
      <w:vertAlign w:val="baseline"/>
      <w:cs w:val="0"/>
      <w:em w:val="none"/>
    </w:rPr>
  </w:style>
  <w:style w:type="character" w:styleId="slostrnky">
    <w:name w:val="page number"/>
    <w:basedOn w:val="Standardnpsmoodstavce1"/>
    <w:rPr>
      <w:w w:val="100"/>
      <w:position w:val="-1"/>
      <w:effect w:val="none"/>
      <w:vertAlign w:val="baseline"/>
      <w:cs w:val="0"/>
      <w:em w:val="none"/>
    </w:rPr>
  </w:style>
  <w:style w:type="character" w:customStyle="1" w:styleId="ZhlavChar">
    <w:name w:val="Záhlaví Char"/>
    <w:rPr>
      <w:w w:val="100"/>
      <w:position w:val="-1"/>
      <w:sz w:val="24"/>
      <w:szCs w:val="24"/>
      <w:effect w:val="none"/>
      <w:vertAlign w:val="baseline"/>
      <w:cs w:val="0"/>
      <w:em w:val="none"/>
    </w:rPr>
  </w:style>
  <w:style w:type="character" w:customStyle="1" w:styleId="ZpatChar">
    <w:name w:val="Zápatí Char"/>
    <w:rPr>
      <w:w w:val="100"/>
      <w:position w:val="-1"/>
      <w:sz w:val="24"/>
      <w:szCs w:val="24"/>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Nadpis1Char">
    <w:name w:val="Nadpis 1 Char"/>
    <w:rPr>
      <w:b/>
      <w:w w:val="100"/>
      <w:kern w:val="1"/>
      <w:position w:val="-1"/>
      <w:sz w:val="24"/>
      <w:effect w:val="none"/>
      <w:vertAlign w:val="baseline"/>
      <w:cs w:val="0"/>
      <w:em w:val="none"/>
    </w:rPr>
  </w:style>
  <w:style w:type="character" w:customStyle="1" w:styleId="Nadpis2Char">
    <w:name w:val="Nadpis 2 Char"/>
    <w:rPr>
      <w:b/>
      <w:w w:val="100"/>
      <w:position w:val="-1"/>
      <w:sz w:val="24"/>
      <w:effect w:val="none"/>
      <w:vertAlign w:val="baseline"/>
      <w:cs w:val="0"/>
      <w:em w:val="none"/>
    </w:rPr>
  </w:style>
  <w:style w:type="character" w:customStyle="1" w:styleId="Nadpis3Char">
    <w:name w:val="Nadpis 3 Char"/>
    <w:rPr>
      <w:b/>
      <w:w w:val="100"/>
      <w:position w:val="-1"/>
      <w:sz w:val="24"/>
      <w:effect w:val="none"/>
      <w:vertAlign w:val="baseline"/>
      <w:cs w:val="0"/>
      <w:em w:val="none"/>
    </w:rPr>
  </w:style>
  <w:style w:type="character" w:customStyle="1" w:styleId="Nadpis4Char">
    <w:name w:val="Nadpis 4 Char"/>
    <w:rPr>
      <w:b/>
      <w:w w:val="100"/>
      <w:position w:val="-1"/>
      <w:sz w:val="24"/>
      <w:effect w:val="none"/>
      <w:vertAlign w:val="baseline"/>
      <w:cs w:val="0"/>
      <w:em w:val="none"/>
    </w:rPr>
  </w:style>
  <w:style w:type="character" w:customStyle="1" w:styleId="Nadpis5Char">
    <w:name w:val="Nadpis 5 Char"/>
    <w:rPr>
      <w:w w:val="100"/>
      <w:position w:val="-1"/>
      <w:sz w:val="24"/>
      <w:effect w:val="none"/>
      <w:vertAlign w:val="baseline"/>
      <w:cs w:val="0"/>
      <w:em w:val="none"/>
    </w:rPr>
  </w:style>
  <w:style w:type="character" w:customStyle="1" w:styleId="Nadpis6Char">
    <w:name w:val="Nadpis 6 Char"/>
    <w:rPr>
      <w:w w:val="100"/>
      <w:position w:val="-1"/>
      <w:sz w:val="24"/>
      <w:effect w:val="none"/>
      <w:vertAlign w:val="baseline"/>
      <w:cs w:val="0"/>
      <w:em w:val="none"/>
    </w:rPr>
  </w:style>
  <w:style w:type="character" w:customStyle="1" w:styleId="Nadpis7Char">
    <w:name w:val="Nadpis 7 Char"/>
    <w:rPr>
      <w:w w:val="100"/>
      <w:position w:val="-1"/>
      <w:sz w:val="24"/>
      <w:effect w:val="none"/>
      <w:vertAlign w:val="baseline"/>
      <w:cs w:val="0"/>
      <w:em w:val="none"/>
    </w:rPr>
  </w:style>
  <w:style w:type="character" w:customStyle="1" w:styleId="Nadpis8Char">
    <w:name w:val="Nadpis 8 Char"/>
    <w:rPr>
      <w:w w:val="100"/>
      <w:position w:val="-1"/>
      <w:sz w:val="24"/>
      <w:effect w:val="none"/>
      <w:vertAlign w:val="baseline"/>
      <w:cs w:val="0"/>
      <w:em w:val="none"/>
    </w:rPr>
  </w:style>
  <w:style w:type="character" w:customStyle="1" w:styleId="platne">
    <w:name w:val="platne"/>
    <w:rPr>
      <w:w w:val="100"/>
      <w:position w:val="-1"/>
      <w:effect w:val="none"/>
      <w:vertAlign w:val="baseline"/>
      <w:cs w:val="0"/>
      <w:em w:val="none"/>
    </w:rPr>
  </w:style>
  <w:style w:type="character" w:customStyle="1" w:styleId="Zkladntext3Char">
    <w:name w:val="Základní text 3 Char"/>
    <w:rPr>
      <w:rFonts w:ascii="Arial" w:eastAsia="Calibri" w:hAnsi="Arial" w:cs="Arial"/>
      <w:w w:val="100"/>
      <w:position w:val="-1"/>
      <w:sz w:val="16"/>
      <w:szCs w:val="16"/>
      <w:effect w:val="none"/>
      <w:vertAlign w:val="baseline"/>
      <w:cs w:val="0"/>
      <w:em w:val="none"/>
    </w:rPr>
  </w:style>
  <w:style w:type="character" w:styleId="Siln">
    <w:name w:val="Strong"/>
    <w:rPr>
      <w:b/>
      <w:bCs/>
      <w:w w:val="100"/>
      <w:position w:val="-1"/>
      <w:effect w:val="none"/>
      <w:vertAlign w:val="baseline"/>
      <w:cs w:val="0"/>
      <w:em w:val="none"/>
    </w:rPr>
  </w:style>
  <w:style w:type="character" w:customStyle="1" w:styleId="Odkaznakoment1">
    <w:name w:val="Odkaz na komentář1"/>
    <w:rPr>
      <w:w w:val="100"/>
      <w:position w:val="-1"/>
      <w:sz w:val="16"/>
      <w:szCs w:val="16"/>
      <w:effect w:val="none"/>
      <w:vertAlign w:val="baseline"/>
      <w:cs w:val="0"/>
      <w:em w:val="none"/>
    </w:rPr>
  </w:style>
  <w:style w:type="character" w:customStyle="1" w:styleId="TextkomenteChar">
    <w:name w:val="Text komentáře Char"/>
    <w:basedOn w:val="Standardnpsmoodstavce1"/>
    <w:rPr>
      <w:w w:val="100"/>
      <w:position w:val="-1"/>
      <w:effect w:val="none"/>
      <w:vertAlign w:val="baseline"/>
      <w:cs w:val="0"/>
      <w:em w:val="none"/>
    </w:rPr>
  </w:style>
  <w:style w:type="character" w:customStyle="1" w:styleId="PedmtkomenteChar">
    <w:name w:val="Předmět komentáře Char"/>
    <w:rPr>
      <w:b/>
      <w:bCs/>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styleId="Sledovanodkaz">
    <w:name w:val="FollowedHyperlink"/>
    <w:rPr>
      <w:color w:val="800080"/>
      <w:w w:val="100"/>
      <w:position w:val="-1"/>
      <w:u w:val="single"/>
      <w:effect w:val="none"/>
      <w:vertAlign w:val="baseline"/>
      <w:cs w:val="0"/>
      <w:em w:val="none"/>
    </w:rPr>
  </w:style>
  <w:style w:type="character" w:customStyle="1" w:styleId="tsubjname">
    <w:name w:val="tsubjname"/>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Titulek1">
    <w:name w:val="Titulek1"/>
    <w:basedOn w:val="Normln"/>
    <w:pPr>
      <w:suppressLineNumbers/>
      <w:spacing w:before="120" w:after="120"/>
    </w:pPr>
    <w:rPr>
      <w:i/>
      <w:iCs/>
    </w:rPr>
  </w:style>
  <w:style w:type="paragraph" w:customStyle="1" w:styleId="Aufzaehlung">
    <w:name w:val="Aufzaehlung"/>
    <w:basedOn w:val="Normln"/>
    <w:pPr>
      <w:spacing w:line="360" w:lineRule="auto"/>
      <w:jc w:val="both"/>
    </w:p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Numm2">
    <w:name w:val="Numm§ 2"/>
    <w:basedOn w:val="Normln"/>
    <w:next w:val="Normln"/>
    <w:pPr>
      <w:tabs>
        <w:tab w:val="left" w:pos="360"/>
      </w:tabs>
      <w:spacing w:line="360" w:lineRule="auto"/>
      <w:jc w:val="both"/>
    </w:pPr>
    <w:rPr>
      <w:szCs w:val="20"/>
    </w:rPr>
  </w:style>
  <w:style w:type="paragraph" w:styleId="Odstavecseseznamem">
    <w:name w:val="List Paragraph"/>
    <w:basedOn w:val="Normln"/>
    <w:pPr>
      <w:ind w:left="708" w:firstLine="0"/>
    </w:pPr>
  </w:style>
  <w:style w:type="paragraph" w:styleId="Textbubliny">
    <w:name w:val="Balloon Text"/>
    <w:basedOn w:val="Normln"/>
    <w:rPr>
      <w:rFonts w:ascii="Tahoma" w:hAnsi="Tahoma" w:cs="Tahoma"/>
      <w:sz w:val="16"/>
      <w:szCs w:val="16"/>
    </w:rPr>
  </w:style>
  <w:style w:type="paragraph" w:customStyle="1" w:styleId="Text">
    <w:name w:val="Text"/>
    <w:basedOn w:val="Normln"/>
    <w:pPr>
      <w:spacing w:after="120"/>
      <w:ind w:left="425" w:firstLine="0"/>
      <w:jc w:val="both"/>
    </w:pPr>
    <w:rPr>
      <w:szCs w:val="20"/>
    </w:rPr>
  </w:style>
  <w:style w:type="paragraph" w:customStyle="1" w:styleId="Zkladntext31">
    <w:name w:val="Základní text 31"/>
    <w:basedOn w:val="Normln"/>
    <w:pPr>
      <w:spacing w:after="120" w:line="280" w:lineRule="atLeast"/>
    </w:pPr>
    <w:rPr>
      <w:rFonts w:ascii="Arial" w:eastAsia="Calibri" w:hAnsi="Arial" w:cs="Arial"/>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pPr>
      <w:spacing w:line="1" w:lineRule="atLeast"/>
      <w:ind w:leftChars="-1" w:left="-1" w:hangingChars="1" w:hanging="1"/>
      <w:textDirection w:val="btLr"/>
      <w:textAlignment w:val="top"/>
      <w:outlineLvl w:val="0"/>
    </w:pPr>
    <w:rPr>
      <w:position w:val="-1"/>
      <w:sz w:val="24"/>
      <w:szCs w:val="24"/>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ZkladntextChar">
    <w:name w:val="Základní text Char"/>
    <w:rPr>
      <w:w w:val="100"/>
      <w:position w:val="-1"/>
      <w:sz w:val="24"/>
      <w:szCs w:val="24"/>
      <w:effect w:val="none"/>
      <w:vertAlign w:val="baseline"/>
      <w:cs w:val="0"/>
      <w:em w:val="none"/>
      <w:lang w:eastAsia="zh-CN"/>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character" w:customStyle="1" w:styleId="UnresolvedMention">
    <w:name w:val="Unresolved Mention"/>
    <w:basedOn w:val="Standardnpsmoodstavce"/>
    <w:uiPriority w:val="99"/>
    <w:semiHidden/>
    <w:unhideWhenUsed/>
    <w:rsid w:val="002A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choir.cz"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cktack.cz/"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info@choir.cz" TargetMode="External"/><Relationship Id="rId4" Type="http://schemas.openxmlformats.org/officeDocument/2006/relationships/settings" Target="settings.xml"/><Relationship Id="rId9" Type="http://schemas.openxmlformats.org/officeDocument/2006/relationships/hyperlink" Target="mailto:objednavka@ticktack.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f5OoKfGjCY9PyzjxJXyKz/iGw==">AMUW2mVbPIE6019ZrX+mTces1yndvcAD2q/AFPa/dPQdFuBnYbCy8zgShnBmRC1zHCDVMqMdsQLYI1ybVu+/KRIAh5gqrzu4coTuyLEZPu8chl7pWuVBNjwKh/rK/x5IvB0I5YPLDhKr0qeqjs/+3P5fp5BQ1drHjmWiEdRuNH04PlLYh59ah0FwiQvjq43uwScmtWhlRCNuucM+ffjn2yOQukL5PkoXJKVQ6RxLCkfmsn/3BdqTm/HrUqpi4l5yzVF/lKM8QYIJVppxV30D265qRYWB+aGWY8AL7qzjds2DWbxfQ59Vd4gizi7m8PaOBGzsFIRbd9D23Zyz54vWiwQWaAnZvHaCR2FIoc1ZlXuMBLFq66dSnj+9bZnnT/oUqqqp2LSbXXZdqObBv4+c3DzFIX2A+g9u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3121</Words>
  <Characters>18418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Šrůmová Hana</cp:lastModifiedBy>
  <cp:revision>2</cp:revision>
  <cp:lastPrinted>2022-04-20T08:55:00Z</cp:lastPrinted>
  <dcterms:created xsi:type="dcterms:W3CDTF">2022-05-12T09:15:00Z</dcterms:created>
  <dcterms:modified xsi:type="dcterms:W3CDTF">2022-05-12T09:15:00Z</dcterms:modified>
</cp:coreProperties>
</file>