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sidRPr="00CF65BB">
        <w:rPr>
          <w:rFonts w:ascii="Arial CE" w:hAnsi="Arial CE" w:cs="Arial"/>
          <w:b/>
          <w:szCs w:val="22"/>
        </w:rPr>
        <w:t xml:space="preserve">Číslo </w:t>
      </w:r>
      <w:r w:rsidR="00242636" w:rsidRPr="00CF65BB">
        <w:rPr>
          <w:rFonts w:ascii="Arial CE" w:hAnsi="Arial CE" w:cs="Arial"/>
          <w:b/>
          <w:szCs w:val="22"/>
        </w:rPr>
        <w:t xml:space="preserve">smlouvy </w:t>
      </w:r>
      <w:r w:rsidR="00E25F42" w:rsidRPr="00CF65BB">
        <w:rPr>
          <w:rFonts w:ascii="Arial CE" w:hAnsi="Arial CE" w:cs="Arial"/>
          <w:b/>
          <w:szCs w:val="22"/>
        </w:rPr>
        <w:t>zhotovitel</w:t>
      </w:r>
      <w:r w:rsidR="00674537" w:rsidRPr="00CF65BB">
        <w:rPr>
          <w:rFonts w:ascii="Arial CE" w:hAnsi="Arial CE" w:cs="Arial"/>
          <w:b/>
          <w:szCs w:val="22"/>
        </w:rPr>
        <w:t>e</w:t>
      </w:r>
      <w:r w:rsidR="00242636" w:rsidRPr="00CF65BB">
        <w:rPr>
          <w:rFonts w:ascii="Arial CE" w:hAnsi="Arial CE" w:cs="Arial"/>
          <w:b/>
          <w:szCs w:val="22"/>
        </w:rPr>
        <w:t>:</w:t>
      </w:r>
      <w:r w:rsidR="00A10E22" w:rsidRPr="00CF65BB">
        <w:rPr>
          <w:rFonts w:ascii="Arial CE" w:hAnsi="Arial CE" w:cs="Arial"/>
          <w:b/>
          <w:szCs w:val="22"/>
        </w:rPr>
        <w:tab/>
      </w:r>
      <w:r w:rsidR="00CF65BB" w:rsidRPr="00CF65BB">
        <w:rPr>
          <w:rFonts w:ascii="Arial CE" w:hAnsi="Arial CE" w:cs="Arial"/>
          <w:b/>
          <w:szCs w:val="22"/>
        </w:rPr>
        <w:tab/>
      </w:r>
      <w:r w:rsidR="001D1D7A" w:rsidRPr="00CF65BB">
        <w:rPr>
          <w:rFonts w:ascii="Arial CE" w:hAnsi="Arial CE" w:cs="Arial"/>
          <w:b/>
          <w:szCs w:val="22"/>
        </w:rPr>
        <w:t>KV - 0418</w:t>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374DA1">
        <w:rPr>
          <w:rFonts w:ascii="Arial CE" w:hAnsi="Arial CE" w:cs="Arial"/>
          <w:b/>
          <w:szCs w:val="22"/>
        </w:rPr>
        <w:t>:</w:t>
      </w:r>
      <w:r w:rsidR="00CF65BB">
        <w:rPr>
          <w:rFonts w:ascii="Arial CE" w:hAnsi="Arial CE" w:cs="Arial"/>
          <w:b/>
          <w:szCs w:val="22"/>
        </w:rPr>
        <w:tab/>
        <w:t>266/2018</w:t>
      </w:r>
    </w:p>
    <w:p w:rsidR="00242636" w:rsidRDefault="00242636" w:rsidP="000A6DEF">
      <w:pPr>
        <w:rPr>
          <w:rFonts w:ascii="Arial CE" w:hAnsi="Arial CE" w:cs="Arial"/>
          <w:b/>
          <w:szCs w:val="22"/>
        </w:rPr>
      </w:pPr>
    </w:p>
    <w:p w:rsidR="00FB33BC" w:rsidRPr="00FB33BC" w:rsidRDefault="00242636" w:rsidP="00FB33BC">
      <w:pPr>
        <w:pStyle w:val="Nadpis1"/>
        <w:jc w:val="center"/>
        <w:rPr>
          <w:rFonts w:cs="Arial"/>
          <w:sz w:val="24"/>
          <w:szCs w:val="24"/>
          <w:u w:val="none"/>
        </w:rPr>
      </w:pPr>
      <w:r w:rsidRPr="00FB33BC">
        <w:rPr>
          <w:rFonts w:cs="Arial"/>
          <w:sz w:val="24"/>
          <w:szCs w:val="24"/>
          <w:u w:val="none"/>
        </w:rPr>
        <w:t>Název díla:</w:t>
      </w:r>
    </w:p>
    <w:p w:rsidR="00E25F42" w:rsidRPr="00FB33BC" w:rsidRDefault="0083347B" w:rsidP="00FB33BC">
      <w:pPr>
        <w:jc w:val="center"/>
        <w:rPr>
          <w:b/>
          <w:sz w:val="24"/>
        </w:rPr>
      </w:pPr>
      <w:r w:rsidRPr="00FB33BC">
        <w:rPr>
          <w:b/>
          <w:sz w:val="24"/>
        </w:rPr>
        <w:t>“</w:t>
      </w:r>
      <w:r w:rsidR="00CE1A18" w:rsidRPr="00CE1A18">
        <w:t xml:space="preserve"> </w:t>
      </w:r>
      <w:r w:rsidR="00CE1A18" w:rsidRPr="00CE1A18">
        <w:rPr>
          <w:b/>
          <w:sz w:val="24"/>
        </w:rPr>
        <w:t>ČS Podhora -výtlačný a gravitační řad</w:t>
      </w:r>
      <w:r w:rsidRPr="00FB33BC">
        <w:rPr>
          <w:b/>
          <w:sz w:val="24"/>
        </w:rPr>
        <w:t>”</w:t>
      </w:r>
      <w:r w:rsidR="00CE1A18">
        <w:rPr>
          <w:b/>
          <w:sz w:val="24"/>
        </w:rPr>
        <w:t xml:space="preserve"> – projektová dokumentace</w:t>
      </w:r>
    </w:p>
    <w:p w:rsidR="00E25F42" w:rsidRDefault="00E25F42" w:rsidP="00FB33BC"/>
    <w:p w:rsidR="00242636" w:rsidRDefault="00242636" w:rsidP="00FB33BC">
      <w:pPr>
        <w:pStyle w:val="Nadpis1"/>
      </w:pPr>
      <w:r w:rsidRPr="001D7A19">
        <w:t>SMLUVNÍ STRAN</w:t>
      </w:r>
      <w:r w:rsidRPr="0083347B">
        <w:t>Y</w:t>
      </w:r>
      <w:r w:rsidR="0083347B" w:rsidRPr="0083347B">
        <w:t>:</w:t>
      </w:r>
    </w:p>
    <w:p w:rsidR="00D53407" w:rsidRPr="001D7A19" w:rsidRDefault="00D53407" w:rsidP="00FB33BC"/>
    <w:p w:rsidR="00BE74CE" w:rsidRPr="00D74A50" w:rsidRDefault="00BE74CE" w:rsidP="00BE74CE">
      <w:pPr>
        <w:tabs>
          <w:tab w:val="left" w:pos="3960"/>
        </w:tabs>
        <w:ind w:left="3960" w:hanging="3960"/>
        <w:jc w:val="both"/>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BE74CE" w:rsidRPr="00D74A50" w:rsidRDefault="00BE74CE" w:rsidP="00BE74CE">
      <w:pPr>
        <w:tabs>
          <w:tab w:val="left" w:pos="3960"/>
        </w:tabs>
        <w:jc w:val="both"/>
        <w:rPr>
          <w:rFonts w:cs="Arial"/>
          <w:szCs w:val="22"/>
        </w:rPr>
      </w:pPr>
      <w:r w:rsidRPr="00D74A50">
        <w:rPr>
          <w:rFonts w:cs="Arial"/>
          <w:szCs w:val="22"/>
        </w:rPr>
        <w:tab/>
        <w:t>Bezručova 4219, 430 03 Chomutov</w:t>
      </w:r>
    </w:p>
    <w:p w:rsidR="00BE74CE" w:rsidRPr="00D74A50" w:rsidRDefault="00BE74CE" w:rsidP="00BE74CE">
      <w:pPr>
        <w:tabs>
          <w:tab w:val="left" w:pos="3960"/>
        </w:tabs>
        <w:jc w:val="both"/>
        <w:rPr>
          <w:rFonts w:cs="Arial"/>
          <w:szCs w:val="22"/>
        </w:rPr>
      </w:pPr>
      <w:r w:rsidRPr="00D74A50">
        <w:rPr>
          <w:rFonts w:cs="Arial"/>
          <w:b/>
          <w:szCs w:val="22"/>
        </w:rPr>
        <w:t>IČ</w:t>
      </w:r>
      <w:r>
        <w:rPr>
          <w:rFonts w:cs="Arial"/>
          <w:b/>
          <w:szCs w:val="22"/>
        </w:rPr>
        <w:t>O:</w:t>
      </w:r>
      <w:r w:rsidRPr="00D74A50">
        <w:rPr>
          <w:rFonts w:cs="Arial"/>
          <w:b/>
          <w:szCs w:val="22"/>
        </w:rPr>
        <w:tab/>
      </w:r>
      <w:r w:rsidRPr="00D74A50">
        <w:rPr>
          <w:rFonts w:cs="Arial"/>
          <w:szCs w:val="22"/>
        </w:rPr>
        <w:t>70889988</w:t>
      </w:r>
    </w:p>
    <w:p w:rsidR="00BE74CE" w:rsidRPr="00D74A50" w:rsidRDefault="00BE74CE" w:rsidP="00BE74CE">
      <w:pPr>
        <w:tabs>
          <w:tab w:val="left" w:pos="3960"/>
        </w:tabs>
        <w:jc w:val="both"/>
        <w:rPr>
          <w:rFonts w:cs="Arial"/>
          <w:szCs w:val="22"/>
        </w:rPr>
      </w:pPr>
      <w:r w:rsidRPr="00D74A50">
        <w:rPr>
          <w:rFonts w:cs="Arial"/>
          <w:b/>
          <w:szCs w:val="22"/>
        </w:rPr>
        <w:t>DIČ</w:t>
      </w:r>
      <w:r>
        <w:rPr>
          <w:rFonts w:cs="Arial"/>
          <w:b/>
          <w:szCs w:val="22"/>
        </w:rPr>
        <w:t>:</w:t>
      </w:r>
      <w:r w:rsidRPr="00D74A50">
        <w:rPr>
          <w:rFonts w:cs="Arial"/>
          <w:b/>
          <w:szCs w:val="22"/>
        </w:rPr>
        <w:tab/>
      </w:r>
      <w:r w:rsidRPr="00D74A50">
        <w:rPr>
          <w:rFonts w:cs="Arial"/>
          <w:szCs w:val="22"/>
        </w:rPr>
        <w:t>CZ70889988</w:t>
      </w:r>
    </w:p>
    <w:p w:rsidR="00BE74CE" w:rsidRPr="00D74A50" w:rsidRDefault="00BE74CE" w:rsidP="00BE74CE">
      <w:pPr>
        <w:tabs>
          <w:tab w:val="left" w:pos="3960"/>
        </w:tabs>
        <w:jc w:val="both"/>
        <w:rPr>
          <w:rFonts w:cs="Arial"/>
          <w:szCs w:val="22"/>
        </w:rPr>
      </w:pPr>
      <w:r w:rsidRPr="00D74A50">
        <w:rPr>
          <w:rFonts w:cs="Arial"/>
          <w:b/>
          <w:szCs w:val="22"/>
        </w:rPr>
        <w:t>zastoupený</w:t>
      </w:r>
      <w:r>
        <w:rPr>
          <w:rFonts w:cs="Arial"/>
          <w:b/>
          <w:szCs w:val="22"/>
        </w:rPr>
        <w:t>:</w:t>
      </w:r>
      <w:r w:rsidRPr="00D74A50">
        <w:rPr>
          <w:rFonts w:cs="Arial"/>
          <w:b/>
          <w:szCs w:val="22"/>
        </w:rPr>
        <w:tab/>
      </w:r>
      <w:r w:rsidRPr="00D74A50">
        <w:rPr>
          <w:rFonts w:cs="Arial"/>
          <w:szCs w:val="22"/>
        </w:rPr>
        <w:t xml:space="preserve"> </w:t>
      </w:r>
    </w:p>
    <w:p w:rsidR="00BE74CE" w:rsidRPr="00D74A50" w:rsidRDefault="00BE74CE" w:rsidP="00BE74CE">
      <w:pPr>
        <w:tabs>
          <w:tab w:val="left" w:pos="3960"/>
        </w:tabs>
        <w:ind w:left="3969" w:hanging="3969"/>
        <w:jc w:val="both"/>
        <w:rPr>
          <w:rFonts w:cs="Arial"/>
          <w:szCs w:val="22"/>
        </w:rPr>
      </w:pPr>
      <w:r w:rsidRPr="00D74A50">
        <w:rPr>
          <w:rFonts w:cs="Arial"/>
          <w:b/>
          <w:szCs w:val="22"/>
        </w:rPr>
        <w:t>zástupce ve věcech smluvních</w:t>
      </w:r>
      <w:r>
        <w:rPr>
          <w:rFonts w:cs="Arial"/>
          <w:b/>
          <w:szCs w:val="22"/>
        </w:rPr>
        <w:t>:</w:t>
      </w:r>
      <w:r w:rsidRPr="00D74A50">
        <w:rPr>
          <w:rFonts w:cs="Arial"/>
          <w:b/>
          <w:szCs w:val="22"/>
        </w:rPr>
        <w:tab/>
      </w:r>
      <w:r w:rsidRPr="00D74A50">
        <w:rPr>
          <w:rFonts w:cs="Arial"/>
          <w:szCs w:val="22"/>
        </w:rPr>
        <w:tab/>
      </w:r>
    </w:p>
    <w:p w:rsidR="00BE74CE" w:rsidRPr="00D74A50" w:rsidRDefault="00BE74CE" w:rsidP="00BE74CE">
      <w:pPr>
        <w:tabs>
          <w:tab w:val="left" w:pos="3960"/>
        </w:tabs>
        <w:ind w:left="3969" w:hanging="3969"/>
        <w:rPr>
          <w:rFonts w:cs="Arial"/>
          <w:b/>
          <w:szCs w:val="22"/>
        </w:rPr>
      </w:pPr>
      <w:r w:rsidRPr="00D74A50">
        <w:rPr>
          <w:rFonts w:cs="Arial"/>
          <w:b/>
          <w:szCs w:val="22"/>
        </w:rPr>
        <w:t>zástupce ve věcech technických</w:t>
      </w:r>
      <w:r>
        <w:rPr>
          <w:rFonts w:cs="Arial"/>
          <w:b/>
          <w:szCs w:val="22"/>
        </w:rPr>
        <w:t>:</w:t>
      </w:r>
      <w:r w:rsidRPr="00D74A50">
        <w:rPr>
          <w:rFonts w:cs="Arial"/>
          <w:b/>
          <w:szCs w:val="22"/>
        </w:rPr>
        <w:tab/>
      </w:r>
    </w:p>
    <w:p w:rsidR="00BE74CE" w:rsidRPr="003A03DC" w:rsidRDefault="00BE74CE" w:rsidP="00BE74CE">
      <w:pPr>
        <w:tabs>
          <w:tab w:val="left" w:pos="3960"/>
        </w:tabs>
        <w:autoSpaceDE w:val="0"/>
        <w:rPr>
          <w:szCs w:val="22"/>
        </w:rPr>
      </w:pPr>
      <w:r w:rsidRPr="00F24B22">
        <w:rPr>
          <w:rFonts w:cs="Arial"/>
          <w:color w:val="000000"/>
          <w:szCs w:val="22"/>
        </w:rPr>
        <w:t>Při operativním a technickém řízení</w:t>
      </w:r>
      <w:r w:rsidRPr="00F24B22">
        <w:rPr>
          <w:rFonts w:cs="Arial"/>
          <w:color w:val="000000"/>
          <w:szCs w:val="22"/>
        </w:rPr>
        <w:br/>
        <w:t>činností souvisejících se zhotovitelem</w:t>
      </w:r>
      <w:r w:rsidRPr="00F24B22">
        <w:rPr>
          <w:rFonts w:cs="Arial"/>
          <w:color w:val="000000"/>
          <w:szCs w:val="22"/>
        </w:rPr>
        <w:br/>
        <w:t>díla, jako postupné upřesňování</w:t>
      </w:r>
      <w:r w:rsidRPr="00F24B22">
        <w:rPr>
          <w:rFonts w:cs="Arial"/>
          <w:color w:val="000000"/>
          <w:szCs w:val="22"/>
        </w:rPr>
        <w:br/>
        <w:t>technického řešení, organizací</w:t>
      </w:r>
      <w:r w:rsidRPr="00F24B22">
        <w:rPr>
          <w:rFonts w:cs="Arial"/>
          <w:color w:val="000000"/>
          <w:szCs w:val="22"/>
        </w:rPr>
        <w:br/>
        <w:t>výrobních výborů a převzetí díla</w:t>
      </w:r>
      <w:r w:rsidRPr="00F24B22">
        <w:rPr>
          <w:rFonts w:cs="Arial"/>
          <w:color w:val="000000"/>
          <w:szCs w:val="22"/>
        </w:rPr>
        <w:br/>
      </w:r>
      <w:r w:rsidRPr="000A37B0">
        <w:rPr>
          <w:rFonts w:cs="Arial"/>
          <w:color w:val="000000"/>
          <w:szCs w:val="22"/>
        </w:rPr>
        <w:t>zastupuje objednatele:</w:t>
      </w:r>
      <w:r w:rsidRPr="000A37B0">
        <w:rPr>
          <w:rFonts w:cs="Arial"/>
          <w:color w:val="000000"/>
          <w:szCs w:val="22"/>
        </w:rPr>
        <w:tab/>
      </w:r>
    </w:p>
    <w:p w:rsidR="00BE74CE" w:rsidRDefault="00BE74CE" w:rsidP="00BE74CE">
      <w:pPr>
        <w:tabs>
          <w:tab w:val="left" w:pos="3960"/>
        </w:tabs>
        <w:jc w:val="both"/>
        <w:rPr>
          <w:rFonts w:cs="Arial"/>
          <w:b/>
          <w:szCs w:val="22"/>
        </w:rPr>
      </w:pPr>
    </w:p>
    <w:p w:rsidR="00BE74CE" w:rsidRPr="00D74A50" w:rsidRDefault="00BE74CE" w:rsidP="00BE74CE">
      <w:pPr>
        <w:tabs>
          <w:tab w:val="left" w:pos="3960"/>
        </w:tabs>
        <w:jc w:val="both"/>
        <w:rPr>
          <w:rFonts w:cs="Arial"/>
          <w:b/>
          <w:szCs w:val="22"/>
        </w:rPr>
      </w:pPr>
      <w:r>
        <w:rPr>
          <w:rFonts w:cs="Arial"/>
          <w:b/>
          <w:szCs w:val="22"/>
        </w:rPr>
        <w:t>b</w:t>
      </w:r>
      <w:r w:rsidRPr="00D74A50">
        <w:rPr>
          <w:rFonts w:cs="Arial"/>
          <w:b/>
          <w:szCs w:val="22"/>
        </w:rPr>
        <w:t>ankovní spojení</w:t>
      </w:r>
      <w:r>
        <w:rPr>
          <w:rFonts w:cs="Arial"/>
          <w:b/>
          <w:szCs w:val="22"/>
        </w:rPr>
        <w:t>:</w:t>
      </w:r>
      <w:r w:rsidRPr="00D74A50">
        <w:rPr>
          <w:rFonts w:cs="Arial"/>
          <w:b/>
          <w:szCs w:val="22"/>
        </w:rPr>
        <w:tab/>
      </w:r>
    </w:p>
    <w:p w:rsidR="00BE74CE" w:rsidRDefault="00BE74CE" w:rsidP="00BE74CE">
      <w:pPr>
        <w:tabs>
          <w:tab w:val="left" w:pos="3960"/>
        </w:tabs>
        <w:jc w:val="both"/>
        <w:rPr>
          <w:rFonts w:cs="Arial"/>
          <w:b/>
          <w:szCs w:val="22"/>
        </w:rPr>
      </w:pPr>
      <w:r w:rsidRPr="00D74A50">
        <w:rPr>
          <w:rFonts w:cs="Arial"/>
          <w:b/>
          <w:szCs w:val="22"/>
        </w:rPr>
        <w:t>číslo účtu</w:t>
      </w:r>
      <w:r>
        <w:rPr>
          <w:rFonts w:cs="Arial"/>
          <w:b/>
          <w:szCs w:val="22"/>
        </w:rPr>
        <w:t>:</w:t>
      </w:r>
    </w:p>
    <w:p w:rsidR="00BE74CE" w:rsidRPr="00D74A50" w:rsidRDefault="00BE74CE" w:rsidP="00BE74CE">
      <w:pPr>
        <w:tabs>
          <w:tab w:val="left" w:pos="3960"/>
        </w:tabs>
        <w:jc w:val="both"/>
        <w:rPr>
          <w:rFonts w:cs="Arial"/>
          <w:b/>
          <w:szCs w:val="22"/>
        </w:rPr>
      </w:pPr>
      <w:r w:rsidRPr="00D74A50">
        <w:rPr>
          <w:rFonts w:cs="Arial"/>
          <w:b/>
          <w:szCs w:val="22"/>
        </w:rPr>
        <w:tab/>
      </w:r>
    </w:p>
    <w:p w:rsidR="00BE74CE" w:rsidRPr="00D74A50" w:rsidRDefault="00BE74CE" w:rsidP="00BE74CE">
      <w:pPr>
        <w:tabs>
          <w:tab w:val="left" w:pos="3960"/>
        </w:tabs>
        <w:jc w:val="both"/>
        <w:rPr>
          <w:rFonts w:cs="Arial"/>
          <w:szCs w:val="22"/>
        </w:rPr>
      </w:pPr>
      <w:r w:rsidRPr="00D74A50">
        <w:rPr>
          <w:rFonts w:cs="Arial"/>
          <w:szCs w:val="22"/>
        </w:rPr>
        <w:t>Povodí Ohře, státní podnik je zapsán v obchodním rejstříku Krajského soudu v Ústí nad</w:t>
      </w:r>
      <w:r>
        <w:rPr>
          <w:rFonts w:cs="Arial"/>
          <w:szCs w:val="22"/>
        </w:rPr>
        <w:t> </w:t>
      </w:r>
      <w:r w:rsidRPr="00D74A50">
        <w:rPr>
          <w:rFonts w:cs="Arial"/>
          <w:szCs w:val="22"/>
        </w:rPr>
        <w:t xml:space="preserve">Labem v oddílu A, vložce č. 13052 </w:t>
      </w:r>
    </w:p>
    <w:p w:rsidR="00BE74CE" w:rsidRDefault="00BE74CE" w:rsidP="00BE74CE">
      <w:pPr>
        <w:tabs>
          <w:tab w:val="left" w:pos="3960"/>
        </w:tabs>
        <w:jc w:val="both"/>
        <w:rPr>
          <w:rFonts w:cs="Arial"/>
          <w:szCs w:val="22"/>
        </w:rPr>
      </w:pPr>
    </w:p>
    <w:p w:rsidR="00BE74CE" w:rsidRDefault="00BE74CE" w:rsidP="00BE74CE">
      <w:pPr>
        <w:tabs>
          <w:tab w:val="left" w:pos="3960"/>
        </w:tabs>
        <w:jc w:val="both"/>
        <w:rPr>
          <w:rFonts w:ascii="Arial CE" w:hAnsi="Arial CE" w:cs="Arial"/>
          <w:szCs w:val="22"/>
        </w:rPr>
      </w:pPr>
      <w:r w:rsidRPr="001D7A19">
        <w:rPr>
          <w:rFonts w:ascii="Arial CE" w:hAnsi="Arial CE" w:cs="Arial"/>
          <w:szCs w:val="22"/>
        </w:rPr>
        <w:t xml:space="preserve"> (dále jen „objednatel“) </w:t>
      </w:r>
    </w:p>
    <w:p w:rsidR="00BE74CE" w:rsidRDefault="00BE74CE" w:rsidP="00BE74CE">
      <w:pPr>
        <w:tabs>
          <w:tab w:val="left" w:pos="3960"/>
        </w:tabs>
        <w:jc w:val="both"/>
        <w:rPr>
          <w:rFonts w:ascii="Arial CE" w:hAnsi="Arial CE" w:cs="Arial"/>
          <w:szCs w:val="22"/>
        </w:rPr>
      </w:pPr>
      <w:r>
        <w:rPr>
          <w:rFonts w:ascii="Arial CE" w:hAnsi="Arial CE" w:cs="Arial"/>
          <w:szCs w:val="22"/>
        </w:rPr>
        <w:t>a</w:t>
      </w:r>
    </w:p>
    <w:p w:rsidR="00D53407" w:rsidRDefault="00BE74CE" w:rsidP="00BE74CE">
      <w:pPr>
        <w:tabs>
          <w:tab w:val="left" w:pos="3960"/>
        </w:tabs>
        <w:jc w:val="both"/>
        <w:rPr>
          <w:rFonts w:ascii="Arial CE" w:hAnsi="Arial CE" w:cs="Arial"/>
          <w:szCs w:val="22"/>
        </w:rPr>
      </w:pPr>
      <w:r w:rsidRPr="001D7A19">
        <w:rPr>
          <w:rFonts w:ascii="Arial CE" w:hAnsi="Arial CE" w:cs="Arial"/>
          <w:szCs w:val="22"/>
        </w:rPr>
        <w:t xml:space="preserve"> </w:t>
      </w:r>
      <w:r w:rsidR="00242636"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C810AB" w:rsidRPr="00C810AB" w:rsidRDefault="00C810AB" w:rsidP="00CE1A18">
      <w:pPr>
        <w:tabs>
          <w:tab w:val="left" w:pos="3960"/>
        </w:tabs>
        <w:autoSpaceDE w:val="0"/>
        <w:autoSpaceDN w:val="0"/>
        <w:adjustRightInd w:val="0"/>
        <w:spacing w:line="300" w:lineRule="atLeast"/>
        <w:ind w:left="3960" w:hanging="3960"/>
        <w:jc w:val="both"/>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CE1A18">
        <w:rPr>
          <w:rFonts w:cs="Arial"/>
          <w:b/>
          <w:bCs/>
          <w:color w:val="000000"/>
          <w:szCs w:val="22"/>
        </w:rPr>
        <w:t>ALFA – projekt, projektová a inženýrská kancelář spol. s r.o.</w:t>
      </w:r>
    </w:p>
    <w:p w:rsidR="00C810AB" w:rsidRPr="00CE1A18" w:rsidRDefault="00D53407" w:rsidP="00C810A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CE1A18" w:rsidRPr="00CE1A18">
        <w:rPr>
          <w:rFonts w:cs="Arial"/>
          <w:color w:val="000000"/>
          <w:szCs w:val="22"/>
        </w:rPr>
        <w:t>K panelárně 172, 36232 Otovice u Karlových Varů</w:t>
      </w:r>
      <w:r w:rsidR="00C810AB" w:rsidRPr="00CE1A18">
        <w:rPr>
          <w:rFonts w:cs="Arial"/>
          <w:bCs/>
          <w:color w:val="000000"/>
          <w:szCs w:val="22"/>
        </w:rPr>
        <w:t xml:space="preserve"> </w:t>
      </w:r>
    </w:p>
    <w:p w:rsidR="00D53407" w:rsidRDefault="00D53407" w:rsidP="00D53407">
      <w:pPr>
        <w:tabs>
          <w:tab w:val="left" w:pos="3960"/>
        </w:tabs>
        <w:jc w:val="both"/>
        <w:rPr>
          <w:rFonts w:ascii="Arial CE" w:hAnsi="Arial CE" w:cs="Arial"/>
          <w:szCs w:val="22"/>
        </w:rPr>
      </w:pPr>
    </w:p>
    <w:p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rsidR="00D53407" w:rsidRPr="00CF65BB" w:rsidRDefault="00D53407" w:rsidP="00D53407">
      <w:pPr>
        <w:tabs>
          <w:tab w:val="left" w:pos="3960"/>
        </w:tabs>
        <w:autoSpaceDE w:val="0"/>
        <w:autoSpaceDN w:val="0"/>
        <w:adjustRightInd w:val="0"/>
        <w:spacing w:line="300" w:lineRule="atLeast"/>
        <w:jc w:val="both"/>
        <w:rPr>
          <w:color w:val="FF0000"/>
          <w:u w:val="single"/>
        </w:rPr>
      </w:pPr>
      <w:r w:rsidRPr="00CF65BB">
        <w:rPr>
          <w:rFonts w:ascii="Arial CE" w:hAnsi="Arial CE" w:cs="Arial"/>
          <w:szCs w:val="22"/>
        </w:rPr>
        <w:t>zástupce ve věcech technických:</w:t>
      </w:r>
      <w:r w:rsidRPr="00CF65BB">
        <w:rPr>
          <w:rFonts w:ascii="Arial CE" w:hAnsi="Arial CE" w:cs="Arial"/>
          <w:b/>
          <w:szCs w:val="22"/>
        </w:rPr>
        <w:tab/>
      </w:r>
      <w:r w:rsidR="001D1D7A" w:rsidRPr="00CF65BB">
        <w:rPr>
          <w:rFonts w:ascii="Arial CE" w:hAnsi="Arial CE" w:cs="Arial"/>
          <w:b/>
          <w:szCs w:val="22"/>
        </w:rPr>
        <w:t>dtto</w:t>
      </w:r>
      <w:r w:rsidRPr="00CF65BB">
        <w:rPr>
          <w:rFonts w:ascii="Arial CE" w:hAnsi="Arial CE" w:cs="Arial"/>
          <w:szCs w:val="22"/>
        </w:rPr>
        <w:tab/>
      </w:r>
      <w:r w:rsidRPr="00CF65BB">
        <w:rPr>
          <w:rFonts w:ascii="Arial CE" w:hAnsi="Arial CE" w:cs="Arial"/>
          <w:szCs w:val="22"/>
        </w:rPr>
        <w:tab/>
      </w:r>
    </w:p>
    <w:p w:rsidR="00D53407" w:rsidRPr="00CF65BB" w:rsidRDefault="00D53407" w:rsidP="00D53407">
      <w:pPr>
        <w:tabs>
          <w:tab w:val="left" w:pos="3960"/>
        </w:tabs>
        <w:jc w:val="both"/>
        <w:rPr>
          <w:rFonts w:ascii="Arial CE" w:hAnsi="Arial CE" w:cs="Arial"/>
          <w:szCs w:val="22"/>
        </w:rPr>
      </w:pPr>
      <w:r w:rsidRPr="00CF65BB">
        <w:rPr>
          <w:rFonts w:ascii="Arial CE" w:hAnsi="Arial CE" w:cs="Arial"/>
          <w:b/>
          <w:szCs w:val="22"/>
        </w:rPr>
        <w:tab/>
      </w:r>
      <w:r w:rsidRPr="00CF65BB">
        <w:rPr>
          <w:rFonts w:ascii="Arial CE" w:hAnsi="Arial CE" w:cs="Arial"/>
          <w:szCs w:val="22"/>
        </w:rPr>
        <w:tab/>
      </w:r>
    </w:p>
    <w:p w:rsidR="00C810AB" w:rsidRPr="00C810AB" w:rsidRDefault="001D1D7A" w:rsidP="001D1D7A">
      <w:pPr>
        <w:jc w:val="both"/>
        <w:rPr>
          <w:rFonts w:ascii="Arial CE" w:hAnsi="Arial CE" w:cs="Arial"/>
          <w:b/>
          <w:szCs w:val="22"/>
        </w:rPr>
      </w:pPr>
      <w:r w:rsidRPr="00CF65BB">
        <w:rPr>
          <w:rFonts w:ascii="Arial CE" w:hAnsi="Arial CE" w:cs="Arial"/>
          <w:szCs w:val="22"/>
        </w:rPr>
        <w:tab/>
        <w:t xml:space="preserve">                                                     </w:t>
      </w:r>
      <w:r w:rsidR="00C810AB" w:rsidRPr="00C810AB">
        <w:rPr>
          <w:rFonts w:cs="Arial"/>
          <w:color w:val="000000"/>
          <w:szCs w:val="22"/>
        </w:rPr>
        <w:tab/>
      </w:r>
      <w:r w:rsidR="00C810AB" w:rsidRPr="00C810AB">
        <w:rPr>
          <w:rFonts w:ascii="Arial CE" w:hAnsi="Arial CE" w:cs="Arial"/>
          <w:b/>
          <w:szCs w:val="22"/>
        </w:rPr>
        <w:tab/>
      </w:r>
    </w:p>
    <w:p w:rsidR="00C810AB" w:rsidRPr="00D53407" w:rsidRDefault="00C810AB" w:rsidP="00C810AB">
      <w:pPr>
        <w:tabs>
          <w:tab w:val="left" w:pos="3960"/>
        </w:tabs>
        <w:jc w:val="both"/>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sidR="00CE1A18">
        <w:rPr>
          <w:rFonts w:ascii="Arial CE" w:hAnsi="Arial CE" w:cs="Arial"/>
          <w:szCs w:val="22"/>
        </w:rPr>
        <w:t>45355711</w:t>
      </w:r>
    </w:p>
    <w:p w:rsidR="00C810AB" w:rsidRPr="00CF65BB" w:rsidRDefault="00C810AB" w:rsidP="00C810AB">
      <w:pPr>
        <w:tabs>
          <w:tab w:val="left" w:pos="3960"/>
        </w:tabs>
        <w:jc w:val="both"/>
        <w:rPr>
          <w:rFonts w:cs="Arial"/>
          <w:color w:val="000000"/>
          <w:szCs w:val="22"/>
        </w:rPr>
      </w:pPr>
      <w:r w:rsidRPr="00CF65BB">
        <w:rPr>
          <w:rFonts w:ascii="Arial CE" w:hAnsi="Arial CE" w:cs="Arial"/>
          <w:szCs w:val="22"/>
        </w:rPr>
        <w:t>DIČ:</w:t>
      </w:r>
      <w:r w:rsidRPr="00CF65BB">
        <w:rPr>
          <w:rFonts w:ascii="Arial CE" w:hAnsi="Arial CE" w:cs="Arial"/>
          <w:szCs w:val="22"/>
        </w:rPr>
        <w:tab/>
      </w:r>
      <w:r w:rsidRPr="00CF65BB">
        <w:rPr>
          <w:rFonts w:cs="Arial"/>
          <w:color w:val="000000"/>
          <w:szCs w:val="22"/>
        </w:rPr>
        <w:t>CZ</w:t>
      </w:r>
      <w:r w:rsidR="001D1D7A" w:rsidRPr="00CF65BB">
        <w:rPr>
          <w:rFonts w:cs="Arial"/>
          <w:color w:val="000000"/>
          <w:szCs w:val="22"/>
        </w:rPr>
        <w:t xml:space="preserve"> 45355711</w:t>
      </w:r>
    </w:p>
    <w:p w:rsidR="00CE1A18" w:rsidRPr="00CF65BB" w:rsidRDefault="00CE1A18" w:rsidP="00D53407">
      <w:pPr>
        <w:tabs>
          <w:tab w:val="left" w:pos="3960"/>
        </w:tabs>
        <w:jc w:val="both"/>
        <w:rPr>
          <w:rFonts w:ascii="Arial CE" w:hAnsi="Arial CE" w:cs="Arial"/>
          <w:szCs w:val="22"/>
        </w:rPr>
      </w:pPr>
    </w:p>
    <w:p w:rsidR="00D53407" w:rsidRPr="00CF65BB" w:rsidRDefault="00D53407" w:rsidP="00D53407">
      <w:pPr>
        <w:tabs>
          <w:tab w:val="left" w:pos="3960"/>
        </w:tabs>
        <w:jc w:val="both"/>
        <w:rPr>
          <w:rFonts w:ascii="Arial CE" w:hAnsi="Arial CE" w:cs="Arial"/>
          <w:szCs w:val="22"/>
        </w:rPr>
      </w:pPr>
      <w:r w:rsidRPr="00CF65BB">
        <w:rPr>
          <w:rFonts w:ascii="Arial CE" w:hAnsi="Arial CE" w:cs="Arial"/>
          <w:szCs w:val="22"/>
        </w:rPr>
        <w:t>bankovní spojení:</w:t>
      </w:r>
      <w:r w:rsidRPr="00CF65BB">
        <w:rPr>
          <w:rFonts w:ascii="Arial CE" w:hAnsi="Arial CE" w:cs="Arial"/>
          <w:szCs w:val="22"/>
        </w:rPr>
        <w:tab/>
      </w:r>
      <w:r w:rsidRPr="00CF65BB">
        <w:rPr>
          <w:rFonts w:ascii="Arial CE" w:hAnsi="Arial CE" w:cs="Arial"/>
          <w:szCs w:val="22"/>
        </w:rPr>
        <w:tab/>
      </w:r>
    </w:p>
    <w:p w:rsidR="00D53407" w:rsidRPr="00D53407" w:rsidRDefault="00D53407" w:rsidP="00D53407">
      <w:pPr>
        <w:tabs>
          <w:tab w:val="left" w:pos="3960"/>
        </w:tabs>
        <w:jc w:val="both"/>
        <w:rPr>
          <w:rFonts w:ascii="Arial CE" w:hAnsi="Arial CE" w:cs="Arial"/>
          <w:szCs w:val="22"/>
        </w:rPr>
      </w:pPr>
      <w:r w:rsidRPr="00CF65BB">
        <w:rPr>
          <w:rFonts w:ascii="Arial CE" w:hAnsi="Arial CE" w:cs="Arial"/>
          <w:szCs w:val="22"/>
        </w:rPr>
        <w:t>číslo účtu:</w:t>
      </w:r>
      <w:r w:rsidRPr="00CF65BB">
        <w:rPr>
          <w:rFonts w:ascii="Arial CE" w:hAnsi="Arial CE" w:cs="Arial"/>
          <w:szCs w:val="22"/>
        </w:rPr>
        <w:tab/>
      </w:r>
    </w:p>
    <w:p w:rsidR="00CE1A18" w:rsidRDefault="00CE1A18" w:rsidP="00D53407">
      <w:pPr>
        <w:widowControl w:val="0"/>
        <w:jc w:val="both"/>
        <w:rPr>
          <w:rFonts w:ascii="Arial CE" w:hAnsi="Arial CE" w:cs="Arial"/>
          <w:szCs w:val="22"/>
        </w:rPr>
      </w:pPr>
    </w:p>
    <w:p w:rsidR="00CE1A18" w:rsidRDefault="00D53407" w:rsidP="00CE1A18">
      <w:pPr>
        <w:widowControl w:val="0"/>
        <w:jc w:val="both"/>
      </w:pPr>
      <w:r w:rsidRPr="0083347B">
        <w:rPr>
          <w:rFonts w:ascii="Arial CE" w:hAnsi="Arial CE" w:cs="Arial"/>
          <w:szCs w:val="22"/>
        </w:rPr>
        <w:lastRenderedPageBreak/>
        <w:t>zápis v </w:t>
      </w:r>
      <w:r>
        <w:rPr>
          <w:rFonts w:ascii="Arial CE" w:hAnsi="Arial CE" w:cs="Arial"/>
          <w:szCs w:val="22"/>
        </w:rPr>
        <w:t>živnostenském</w:t>
      </w:r>
      <w:r w:rsidRPr="0083347B">
        <w:rPr>
          <w:rFonts w:ascii="Arial CE" w:hAnsi="Arial CE" w:cs="Arial"/>
          <w:szCs w:val="22"/>
        </w:rPr>
        <w:t xml:space="preserve"> rejstříku:</w:t>
      </w:r>
      <w:r>
        <w:rPr>
          <w:rFonts w:ascii="Arial CE" w:hAnsi="Arial CE" w:cs="Arial"/>
          <w:szCs w:val="22"/>
        </w:rPr>
        <w:tab/>
        <w:t xml:space="preserve">       </w:t>
      </w:r>
      <w:r w:rsidR="00CE1A18">
        <w:rPr>
          <w:rFonts w:ascii="Arial CE" w:hAnsi="Arial CE" w:cs="Arial"/>
          <w:szCs w:val="22"/>
        </w:rPr>
        <w:t>Krajský soud v Plzni,</w:t>
      </w:r>
      <w:r w:rsidR="00663AC3">
        <w:rPr>
          <w:rFonts w:ascii="Arial CE" w:hAnsi="Arial CE" w:cs="Arial"/>
          <w:szCs w:val="22"/>
        </w:rPr>
        <w:t xml:space="preserve"> v oddílu C ve vložce 1769</w:t>
      </w:r>
      <w:r w:rsidR="00CE1A18">
        <w:rPr>
          <w:rFonts w:ascii="Arial CE" w:hAnsi="Arial CE" w:cs="Arial"/>
          <w:szCs w:val="22"/>
        </w:rPr>
        <w:t xml:space="preserve"> </w:t>
      </w:r>
    </w:p>
    <w:p w:rsidR="00C810AB" w:rsidRPr="00D53407" w:rsidRDefault="009350F8" w:rsidP="00D53407">
      <w:pPr>
        <w:widowControl w:val="0"/>
        <w:ind w:left="3960"/>
        <w:rPr>
          <w:rStyle w:val="Hypertextovodkaz"/>
          <w:rFonts w:cs="Arial"/>
          <w:color w:val="auto"/>
          <w:szCs w:val="22"/>
          <w:u w:val="none"/>
        </w:rPr>
      </w:pPr>
      <w:hyperlink r:id="rId8" w:history="1"/>
    </w:p>
    <w:p w:rsidR="00C810AB" w:rsidRPr="005E1501" w:rsidRDefault="00C810AB" w:rsidP="00C810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FB33BC" w:rsidRDefault="00D53407" w:rsidP="00FB33BC">
      <w:pPr>
        <w:pStyle w:val="Nadpis1"/>
        <w:jc w:val="center"/>
      </w:pPr>
      <w:r w:rsidRPr="00FB33BC">
        <w:t>Čl. I</w:t>
      </w:r>
      <w:r w:rsidR="00A87606" w:rsidRPr="00FB33BC">
        <w:t xml:space="preserve">. PŘEDMĚT </w:t>
      </w:r>
      <w:r w:rsidR="00171556" w:rsidRPr="00FB33BC">
        <w:t xml:space="preserve">SMLOUVY A PŘEDMĚT </w:t>
      </w:r>
      <w:r w:rsidR="00A87606" w:rsidRPr="00FB33BC">
        <w:t>DÍLA</w:t>
      </w:r>
    </w:p>
    <w:p w:rsidR="00A87606" w:rsidRPr="00A87606" w:rsidRDefault="00A87606" w:rsidP="00A10E22">
      <w:pPr>
        <w:widowControl w:val="0"/>
        <w:jc w:val="both"/>
        <w:rPr>
          <w:rFonts w:cs="Arial"/>
          <w:szCs w:val="22"/>
        </w:rPr>
      </w:pPr>
    </w:p>
    <w:p w:rsidR="002B2647" w:rsidRDefault="00D53407" w:rsidP="00FB33BC">
      <w:pPr>
        <w:rPr>
          <w:rFonts w:eastAsia="Arial CE"/>
        </w:rPr>
      </w:pPr>
      <w:r w:rsidRPr="00CE1A18">
        <w:rPr>
          <w:rFonts w:eastAsia="Arial CE"/>
        </w:rPr>
        <w:t xml:space="preserve">Předmětem </w:t>
      </w:r>
      <w:r w:rsidR="00E22286" w:rsidRPr="00CE1A18">
        <w:rPr>
          <w:rFonts w:eastAsia="Arial CE"/>
        </w:rPr>
        <w:t xml:space="preserve">smlouvy </w:t>
      </w:r>
      <w:r w:rsidR="00BC099A" w:rsidRPr="00CE1A18">
        <w:rPr>
          <w:rFonts w:eastAsia="Arial CE"/>
        </w:rPr>
        <w:t>je</w:t>
      </w:r>
      <w:r w:rsidR="002B2647" w:rsidRPr="00CE1A18">
        <w:rPr>
          <w:rFonts w:eastAsia="Arial CE"/>
        </w:rPr>
        <w:t>:</w:t>
      </w:r>
    </w:p>
    <w:p w:rsidR="00663AC3" w:rsidRPr="00CE1A18" w:rsidRDefault="00663AC3" w:rsidP="00FB33BC">
      <w:pPr>
        <w:rPr>
          <w:rFonts w:eastAsia="Arial CE"/>
        </w:rPr>
      </w:pPr>
    </w:p>
    <w:p w:rsidR="00CE1A18" w:rsidRPr="00CE1A18" w:rsidRDefault="00CE1A18" w:rsidP="00CE1A18">
      <w:pPr>
        <w:pStyle w:val="Odstavecseseznamem"/>
        <w:numPr>
          <w:ilvl w:val="0"/>
          <w:numId w:val="48"/>
        </w:numPr>
        <w:autoSpaceDE w:val="0"/>
        <w:autoSpaceDN w:val="0"/>
        <w:adjustRightInd w:val="0"/>
        <w:ind w:left="426" w:hanging="426"/>
        <w:jc w:val="both"/>
        <w:rPr>
          <w:rFonts w:cs="Arial"/>
          <w:b/>
          <w:color w:val="000000"/>
          <w:szCs w:val="22"/>
        </w:rPr>
      </w:pPr>
      <w:r w:rsidRPr="00CE1A18">
        <w:rPr>
          <w:rFonts w:cs="Arial"/>
          <w:b/>
          <w:color w:val="000000"/>
          <w:szCs w:val="22"/>
        </w:rPr>
        <w:t>Projektové dokumentace pro ohlášení stavby uvedené v §104 odst.1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A87606" w:rsidRPr="00CE1A18" w:rsidRDefault="00A87606" w:rsidP="00CE1A18">
      <w:pPr>
        <w:ind w:left="426" w:hanging="426"/>
        <w:rPr>
          <w:rFonts w:eastAsia="Arial CE"/>
          <w:b/>
        </w:rPr>
      </w:pPr>
    </w:p>
    <w:p w:rsidR="00DC23F4" w:rsidRPr="00CE1A18" w:rsidRDefault="00A87606" w:rsidP="00CE1A18">
      <w:pPr>
        <w:pStyle w:val="Odstavecseseznamem"/>
        <w:numPr>
          <w:ilvl w:val="0"/>
          <w:numId w:val="48"/>
        </w:numPr>
        <w:ind w:left="426" w:hanging="426"/>
        <w:jc w:val="both"/>
        <w:rPr>
          <w:rFonts w:eastAsia="Arial CE" w:cs="Arial"/>
          <w:b/>
          <w:color w:val="000000"/>
          <w:szCs w:val="22"/>
        </w:rPr>
      </w:pPr>
      <w:r w:rsidRPr="00CE1A18">
        <w:rPr>
          <w:rFonts w:eastAsia="Arial CE" w:cs="Arial"/>
          <w:b/>
          <w:szCs w:val="22"/>
        </w:rPr>
        <w:t>Autorský dozor (AD)</w:t>
      </w:r>
      <w:r w:rsidR="00DC23F4" w:rsidRPr="00CE1A18">
        <w:rPr>
          <w:rFonts w:eastAsia="Arial CE" w:cs="Arial"/>
          <w:b/>
          <w:szCs w:val="22"/>
        </w:rPr>
        <w:t xml:space="preserve"> </w:t>
      </w:r>
    </w:p>
    <w:p w:rsidR="00DC23F4" w:rsidRPr="00CE1A18" w:rsidRDefault="00DC23F4" w:rsidP="00DC23F4">
      <w:pPr>
        <w:ind w:left="426"/>
        <w:jc w:val="both"/>
        <w:rPr>
          <w:rFonts w:eastAsia="Arial CE" w:cs="Arial"/>
          <w:b/>
          <w:color w:val="000000"/>
          <w:szCs w:val="22"/>
        </w:rPr>
      </w:pPr>
    </w:p>
    <w:p w:rsidR="00A87606" w:rsidRPr="00FE2EED" w:rsidRDefault="00DC23F4" w:rsidP="00DC23F4">
      <w:pPr>
        <w:ind w:left="426"/>
        <w:jc w:val="both"/>
        <w:rPr>
          <w:rFonts w:eastAsia="Arial CE" w:cs="Arial"/>
          <w:b/>
          <w:color w:val="000000"/>
          <w:szCs w:val="22"/>
        </w:rPr>
      </w:pPr>
      <w:r w:rsidRPr="00FE2EED">
        <w:rPr>
          <w:rFonts w:eastAsia="Arial CE" w:cs="Arial"/>
          <w:b/>
          <w:szCs w:val="22"/>
        </w:rPr>
        <w:t>(dále jen „Dílo“)</w:t>
      </w:r>
    </w:p>
    <w:p w:rsidR="00DC23F4" w:rsidRDefault="00DC23F4" w:rsidP="00DC23F4">
      <w:pPr>
        <w:rPr>
          <w:rFonts w:cs="Helv"/>
          <w:color w:val="000000"/>
          <w:szCs w:val="20"/>
        </w:rPr>
      </w:pPr>
    </w:p>
    <w:p w:rsidR="00421659" w:rsidRDefault="00DC23F4" w:rsidP="00DC23F4">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374DA1" w:rsidRDefault="00374DA1" w:rsidP="00374DA1">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374DA1" w:rsidRDefault="00374DA1" w:rsidP="00374DA1">
      <w:pPr>
        <w:autoSpaceDE w:val="0"/>
        <w:autoSpaceDN w:val="0"/>
        <w:adjustRightInd w:val="0"/>
        <w:jc w:val="both"/>
        <w:rPr>
          <w:rFonts w:cs="Arial"/>
          <w:color w:val="000000"/>
          <w:szCs w:val="22"/>
        </w:rPr>
      </w:pPr>
      <w:r>
        <w:rPr>
          <w:rFonts w:cs="Arial"/>
          <w:color w:val="000000"/>
          <w:szCs w:val="22"/>
        </w:rPr>
        <w:t xml:space="preserve">Dále předmětem díla není zajištění laboratorních rozborů sedimentů, dále zajištění biologického hodnocení či posudku a závazného stanoviska dle § 56 zákona č. 114/1992 Sb. v platném znění (výjimka ze ZCHD). </w:t>
      </w:r>
    </w:p>
    <w:p w:rsidR="00374DA1" w:rsidRPr="00DC23F4" w:rsidRDefault="00374DA1" w:rsidP="00DC23F4">
      <w:pPr>
        <w:rPr>
          <w:rFonts w:eastAsia="Arial CE" w:cs="Arial"/>
          <w:b/>
          <w:color w:val="000000"/>
          <w:szCs w:val="22"/>
          <w:highlight w:val="yellow"/>
        </w:rPr>
      </w:pPr>
    </w:p>
    <w:p w:rsidR="00421659" w:rsidRPr="00BC099A" w:rsidRDefault="00421659" w:rsidP="00421659">
      <w:pPr>
        <w:ind w:left="426"/>
        <w:jc w:val="both"/>
        <w:rPr>
          <w:rFonts w:eastAsia="Arial CE" w:cs="Arial"/>
          <w:b/>
          <w:color w:val="000000"/>
          <w:szCs w:val="22"/>
          <w:highlight w:val="yellow"/>
        </w:rPr>
      </w:pPr>
    </w:p>
    <w:p w:rsidR="00A87606" w:rsidRPr="00FB33BC" w:rsidRDefault="00D53407" w:rsidP="00FB33BC">
      <w:pPr>
        <w:pStyle w:val="Nadpis1"/>
        <w:jc w:val="center"/>
      </w:pPr>
      <w:r w:rsidRPr="00FB33BC">
        <w:t>Čl. II</w:t>
      </w:r>
      <w:r w:rsidR="00A87606" w:rsidRPr="00FB33BC">
        <w:t>.</w:t>
      </w:r>
      <w:r w:rsidR="00A87606" w:rsidRPr="00FB33BC">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037C4"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2B2647" w:rsidRDefault="002B2647" w:rsidP="00FB33BC">
      <w:pPr>
        <w:rPr>
          <w:rFonts w:eastAsia="Arial CE"/>
        </w:rPr>
      </w:pPr>
    </w:p>
    <w:p w:rsidR="002B2647" w:rsidRDefault="002B2647" w:rsidP="0057217F">
      <w:pPr>
        <w:jc w:val="both"/>
        <w:rPr>
          <w:rFonts w:eastAsia="Arial CE" w:cs="Arial"/>
          <w:szCs w:val="22"/>
        </w:rPr>
      </w:pPr>
      <w:r w:rsidRPr="0057217F">
        <w:rPr>
          <w:rFonts w:eastAsia="Arial CE" w:cs="Arial"/>
          <w:szCs w:val="22"/>
        </w:rPr>
        <w:t xml:space="preserve">Jedná se </w:t>
      </w:r>
      <w:r w:rsidR="0057217F" w:rsidRPr="0057217F">
        <w:rPr>
          <w:rFonts w:eastAsia="Arial CE" w:cs="Arial"/>
          <w:szCs w:val="22"/>
        </w:rPr>
        <w:t xml:space="preserve">provedení </w:t>
      </w:r>
      <w:r w:rsidR="0057217F" w:rsidRPr="00CF65BB">
        <w:rPr>
          <w:rFonts w:eastAsia="Arial CE" w:cs="Arial"/>
          <w:szCs w:val="22"/>
        </w:rPr>
        <w:t>opravy</w:t>
      </w:r>
      <w:r w:rsidR="001D1D7A" w:rsidRPr="00CF65BB">
        <w:rPr>
          <w:rFonts w:eastAsia="Arial CE" w:cs="Arial"/>
          <w:szCs w:val="22"/>
        </w:rPr>
        <w:t xml:space="preserve"> části</w:t>
      </w:r>
      <w:r w:rsidR="0057217F" w:rsidRPr="0057217F">
        <w:rPr>
          <w:rFonts w:eastAsia="Arial CE" w:cs="Arial"/>
          <w:szCs w:val="22"/>
        </w:rPr>
        <w:t xml:space="preserve"> výtlačného a gravitačního řadu mezi ČS Podhora a VD M</w:t>
      </w:r>
      <w:r w:rsidR="0057217F">
        <w:rPr>
          <w:rFonts w:eastAsia="Arial CE" w:cs="Arial"/>
          <w:szCs w:val="22"/>
        </w:rPr>
        <w:t xml:space="preserve">ariánské </w:t>
      </w:r>
      <w:r w:rsidR="0057217F" w:rsidRPr="0057217F">
        <w:rPr>
          <w:rFonts w:eastAsia="Arial CE" w:cs="Arial"/>
          <w:szCs w:val="22"/>
        </w:rPr>
        <w:t>Lázně.</w:t>
      </w:r>
    </w:p>
    <w:p w:rsidR="0057217F" w:rsidRPr="0057217F" w:rsidRDefault="0057217F" w:rsidP="0057217F">
      <w:pPr>
        <w:jc w:val="both"/>
        <w:rPr>
          <w:rFonts w:eastAsia="Arial CE" w:cs="Arial"/>
          <w:szCs w:val="22"/>
        </w:rPr>
      </w:pPr>
      <w:r w:rsidRPr="0057217F">
        <w:rPr>
          <w:rFonts w:eastAsia="Arial CE" w:cs="Arial"/>
          <w:szCs w:val="22"/>
        </w:rPr>
        <w:t>U výtlačn</w:t>
      </w:r>
      <w:r>
        <w:rPr>
          <w:rFonts w:eastAsia="Arial CE" w:cs="Arial"/>
          <w:szCs w:val="22"/>
        </w:rPr>
        <w:t>é</w:t>
      </w:r>
      <w:r w:rsidRPr="0057217F">
        <w:rPr>
          <w:rFonts w:eastAsia="Arial CE" w:cs="Arial"/>
          <w:szCs w:val="22"/>
        </w:rPr>
        <w:t>ho řadu se oprava týká litinové části, která nebyla v minulosti nahrazena ocelovým potrubím. Jde o úsek mezi šachtou 14 - 19 (cca 1815 m)</w:t>
      </w:r>
    </w:p>
    <w:p w:rsidR="0057217F" w:rsidRPr="0057217F" w:rsidRDefault="0057217F" w:rsidP="0057217F">
      <w:pPr>
        <w:jc w:val="both"/>
        <w:rPr>
          <w:rFonts w:eastAsia="Arial CE" w:cs="Arial"/>
          <w:szCs w:val="22"/>
        </w:rPr>
      </w:pPr>
      <w:r w:rsidRPr="0057217F">
        <w:rPr>
          <w:rFonts w:eastAsia="Arial CE" w:cs="Arial"/>
          <w:szCs w:val="22"/>
        </w:rPr>
        <w:t>U gravitačního řadu se oprava týká litinového potrubím v úseku mezi šachtou 19 - 21 - ukončení u VD Mariánské Lázně (cca 1420 m).</w:t>
      </w:r>
    </w:p>
    <w:p w:rsidR="00A037C4" w:rsidRDefault="00A037C4" w:rsidP="00A87606">
      <w:pPr>
        <w:jc w:val="both"/>
        <w:rPr>
          <w:rFonts w:eastAsia="Arial CE" w:cs="Arial"/>
          <w:szCs w:val="22"/>
        </w:rPr>
      </w:pPr>
    </w:p>
    <w:p w:rsidR="00A87606" w:rsidRPr="00A87606" w:rsidRDefault="00A87606" w:rsidP="00A87606">
      <w:pPr>
        <w:jc w:val="both"/>
        <w:rPr>
          <w:rFonts w:eastAsia="Arial CE" w:cs="Arial"/>
          <w:szCs w:val="22"/>
        </w:rPr>
      </w:pPr>
      <w:r w:rsidRPr="0057217F">
        <w:rPr>
          <w:rFonts w:eastAsia="Arial CE" w:cs="Arial"/>
          <w:szCs w:val="22"/>
        </w:rPr>
        <w:t xml:space="preserve">Součástí plnění díla je </w:t>
      </w:r>
      <w:r w:rsidR="00E735C9" w:rsidRPr="0057217F">
        <w:rPr>
          <w:rFonts w:eastAsia="Arial CE" w:cs="Arial"/>
          <w:szCs w:val="22"/>
        </w:rPr>
        <w:t>také inženýrská činnost, která povede k zajištění dokladové části</w:t>
      </w:r>
      <w:r w:rsidR="00A037C4" w:rsidRPr="0057217F">
        <w:rPr>
          <w:rFonts w:eastAsia="Arial CE" w:cs="Arial"/>
          <w:szCs w:val="22"/>
        </w:rPr>
        <w:t xml:space="preserve">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sidR="00A037C4">
        <w:rPr>
          <w:rFonts w:eastAsia="Arial CE" w:cs="Arial"/>
          <w:szCs w:val="22"/>
        </w:rPr>
        <w:t xml:space="preserve"> </w:t>
      </w:r>
    </w:p>
    <w:p w:rsidR="00A87606" w:rsidRPr="00A87606" w:rsidRDefault="00A87606"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663AC3" w:rsidRDefault="00663AC3" w:rsidP="00663AC3">
      <w:pPr>
        <w:autoSpaceDE w:val="0"/>
        <w:autoSpaceDN w:val="0"/>
        <w:adjustRightInd w:val="0"/>
        <w:rPr>
          <w:rFonts w:cs="Arial"/>
          <w:color w:val="000000"/>
          <w:szCs w:val="22"/>
          <w:u w:val="single"/>
        </w:rPr>
      </w:pPr>
      <w:r>
        <w:rPr>
          <w:rFonts w:cs="Arial"/>
          <w:color w:val="000000"/>
          <w:szCs w:val="22"/>
          <w:u w:val="single"/>
        </w:rPr>
        <w:t>Součástí PD bude nad rámec vyhlášky:</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Zajištění pasportizace přímo dotčených nemovitostí včetně komunikace (soubor fotografií se souhlasem vlastníka nemovitosti)</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Návrh havarijního plánu na staveništi (HP)</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Podmínky provádění stavebních prací a návrh zásad kontroly jejich kvality (KZP)</w:t>
      </w:r>
    </w:p>
    <w:p w:rsidR="00663AC3" w:rsidRDefault="00663AC3" w:rsidP="00663AC3">
      <w:pPr>
        <w:autoSpaceDE w:val="0"/>
        <w:autoSpaceDN w:val="0"/>
        <w:adjustRightInd w:val="0"/>
        <w:ind w:left="360" w:hanging="360"/>
        <w:jc w:val="both"/>
        <w:rPr>
          <w:rFonts w:ascii="Times New Roman" w:hAnsi="Times New Roman"/>
          <w:color w:val="000000"/>
          <w:szCs w:val="22"/>
        </w:rPr>
      </w:pPr>
      <w:r>
        <w:rPr>
          <w:rFonts w:cs="Arial"/>
          <w:color w:val="000000"/>
          <w:szCs w:val="22"/>
        </w:rPr>
        <w:t>•</w:t>
      </w:r>
      <w:r>
        <w:rPr>
          <w:rFonts w:cs="Arial"/>
          <w:color w:val="000000"/>
          <w:szCs w:val="22"/>
        </w:rPr>
        <w:tab/>
        <w:t xml:space="preserve">Kontrolní rozpočet stavby zpracovaný jako Soupis prací a oceněný soupis prací dle vyhlášky č. 134/2016 Sb., v platném znění, který se zpracuje vedle běžných výstupů z programu KROS také v elektronické podobě ve formátu (_.xc4). Podrobnosti týkající se struktury údajů a metodiky formátu XC4 jsou k dispozici na internetové adrese </w:t>
      </w:r>
      <w:hyperlink r:id="rId9" w:history="1">
        <w:r>
          <w:rPr>
            <w:rFonts w:cs="Arial"/>
            <w:color w:val="000000"/>
            <w:szCs w:val="22"/>
          </w:rPr>
          <w:t>www.xc4.cz</w:t>
        </w:r>
      </w:hyperlink>
      <w:r>
        <w:rPr>
          <w:rFonts w:ascii="Times New Roman" w:hAnsi="Times New Roman"/>
          <w:color w:val="000000"/>
          <w:szCs w:val="22"/>
        </w:rPr>
        <w:t>.</w:t>
      </w:r>
    </w:p>
    <w:p w:rsidR="007E6E13" w:rsidRDefault="00663AC3" w:rsidP="00663AC3">
      <w:pPr>
        <w:ind w:left="360"/>
        <w:jc w:val="both"/>
        <w:rPr>
          <w:rFonts w:cs="Arial"/>
          <w:color w:val="000000"/>
          <w:szCs w:val="22"/>
        </w:rPr>
      </w:pPr>
      <w:r>
        <w:rPr>
          <w:rFonts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663AC3" w:rsidRDefault="00663AC3" w:rsidP="00663AC3">
      <w:pPr>
        <w:ind w:left="360"/>
        <w:jc w:val="both"/>
        <w:rPr>
          <w:rFonts w:eastAsia="Arial CE" w:cs="Arial"/>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663AC3" w:rsidRDefault="00663AC3" w:rsidP="00663AC3">
      <w:pPr>
        <w:autoSpaceDE w:val="0"/>
        <w:autoSpaceDN w:val="0"/>
        <w:adjustRightInd w:val="0"/>
        <w:jc w:val="both"/>
        <w:rPr>
          <w:rFonts w:cs="Arial"/>
          <w:color w:val="000000"/>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Dále předmětem díla není zajištění laboratorních rozborů sedimentů, dále zajištění biologického hodnocení či posudku a závazného stanoviska dle § 56 zákona č. 114/1992 Sb. v platném znění (výjimka ze ZCHD). </w:t>
      </w:r>
    </w:p>
    <w:p w:rsidR="00B80F9A" w:rsidRPr="00B80F9A" w:rsidRDefault="00B80F9A" w:rsidP="00A87606">
      <w:pPr>
        <w:jc w:val="both"/>
        <w:rPr>
          <w:rFonts w:eastAsia="Arial CE" w:cs="Arial"/>
          <w:szCs w:val="22"/>
        </w:rPr>
      </w:pPr>
    </w:p>
    <w:p w:rsidR="007E6E13" w:rsidRPr="00F1715A" w:rsidRDefault="00F1715A" w:rsidP="007E6E13">
      <w:pPr>
        <w:jc w:val="both"/>
        <w:rPr>
          <w:rFonts w:eastAsia="Arial CE" w:cs="Arial"/>
          <w:szCs w:val="22"/>
        </w:rPr>
      </w:pPr>
      <w:r w:rsidRPr="00374DA1">
        <w:rPr>
          <w:rFonts w:eastAsia="Arial CE" w:cs="Arial"/>
          <w:szCs w:val="22"/>
        </w:rPr>
        <w:t>Kompletní projektová d</w:t>
      </w:r>
      <w:r w:rsidR="00A87606" w:rsidRPr="00374DA1">
        <w:rPr>
          <w:rFonts w:eastAsia="Arial CE" w:cs="Arial"/>
          <w:szCs w:val="22"/>
        </w:rPr>
        <w:t>okumentace bude předána</w:t>
      </w:r>
      <w:r w:rsidR="00A87606" w:rsidRPr="00374DA1">
        <w:rPr>
          <w:rFonts w:eastAsia="Arial CE" w:cs="Arial"/>
          <w:color w:val="FF0000"/>
          <w:szCs w:val="22"/>
        </w:rPr>
        <w:t xml:space="preserve"> </w:t>
      </w:r>
      <w:r w:rsidRPr="00374DA1">
        <w:rPr>
          <w:rFonts w:eastAsia="Arial CE" w:cs="Arial"/>
          <w:szCs w:val="22"/>
        </w:rPr>
        <w:t>celkem</w:t>
      </w:r>
      <w:r w:rsidRPr="00374DA1">
        <w:rPr>
          <w:rFonts w:eastAsia="Arial CE" w:cs="Arial"/>
          <w:color w:val="FF0000"/>
          <w:szCs w:val="22"/>
        </w:rPr>
        <w:t xml:space="preserve"> </w:t>
      </w:r>
      <w:r w:rsidRPr="00374DA1">
        <w:rPr>
          <w:rFonts w:eastAsia="Arial CE" w:cs="Arial"/>
          <w:szCs w:val="22"/>
        </w:rPr>
        <w:t>v počtu 6x paré tištěné +</w:t>
      </w:r>
      <w:r w:rsidR="007E6E13" w:rsidRPr="00374DA1">
        <w:rPr>
          <w:rFonts w:eastAsia="Arial CE" w:cs="Arial"/>
          <w:szCs w:val="22"/>
        </w:rPr>
        <w:t xml:space="preserve"> 2x na elektronickém nosiči dat, a to 1x ve formátu (</w:t>
      </w:r>
      <w:r w:rsidR="00BC099A" w:rsidRPr="00374DA1">
        <w:rPr>
          <w:rFonts w:eastAsia="Arial CE" w:cs="Arial"/>
          <w:szCs w:val="22"/>
        </w:rPr>
        <w:t>_</w:t>
      </w:r>
      <w:r w:rsidR="007E6E13" w:rsidRPr="00374DA1">
        <w:rPr>
          <w:rFonts w:eastAsia="Arial CE" w:cs="Arial"/>
          <w:szCs w:val="22"/>
        </w:rPr>
        <w:t xml:space="preserve">.pdf) a 1x </w:t>
      </w:r>
      <w:r w:rsidRPr="00374DA1">
        <w:rPr>
          <w:rFonts w:eastAsia="Arial CE" w:cs="Arial"/>
          <w:szCs w:val="22"/>
        </w:rPr>
        <w:t>v </w:t>
      </w:r>
      <w:r w:rsidR="007E6E13" w:rsidRPr="00374DA1">
        <w:rPr>
          <w:rFonts w:eastAsia="Arial CE" w:cs="Arial"/>
          <w:szCs w:val="22"/>
        </w:rPr>
        <w:t>editovatelných formátech pro potřeby objednatele (</w:t>
      </w:r>
      <w:r w:rsidR="00BC099A" w:rsidRPr="00374DA1">
        <w:rPr>
          <w:rFonts w:eastAsia="Arial CE" w:cs="Arial"/>
          <w:szCs w:val="22"/>
        </w:rPr>
        <w:t>_</w:t>
      </w:r>
      <w:r w:rsidR="007E6E13" w:rsidRPr="00374DA1">
        <w:rPr>
          <w:rFonts w:eastAsia="Arial CE" w:cs="Arial"/>
          <w:szCs w:val="22"/>
        </w:rPr>
        <w:t xml:space="preserve">.doc, </w:t>
      </w:r>
      <w:r w:rsidR="00BC099A" w:rsidRPr="00374DA1">
        <w:rPr>
          <w:rFonts w:eastAsia="Arial CE" w:cs="Arial"/>
          <w:szCs w:val="22"/>
        </w:rPr>
        <w:t>_</w:t>
      </w:r>
      <w:r w:rsidR="007E6E13" w:rsidRPr="00374DA1">
        <w:rPr>
          <w:rFonts w:eastAsia="Arial CE" w:cs="Arial"/>
          <w:szCs w:val="22"/>
        </w:rPr>
        <w:t xml:space="preserve">.docx, </w:t>
      </w:r>
      <w:r w:rsidR="00BC099A" w:rsidRPr="00374DA1">
        <w:rPr>
          <w:rFonts w:eastAsia="Arial CE" w:cs="Arial"/>
          <w:szCs w:val="22"/>
        </w:rPr>
        <w:t>_</w:t>
      </w:r>
      <w:r w:rsidR="007E6E13" w:rsidRPr="00374DA1">
        <w:rPr>
          <w:rFonts w:eastAsia="Arial CE" w:cs="Arial"/>
          <w:szCs w:val="22"/>
        </w:rPr>
        <w:t xml:space="preserve">.xls, </w:t>
      </w:r>
      <w:r w:rsidR="00BC099A" w:rsidRPr="00374DA1">
        <w:rPr>
          <w:rFonts w:eastAsia="Arial CE" w:cs="Arial"/>
          <w:szCs w:val="22"/>
        </w:rPr>
        <w:t>_</w:t>
      </w:r>
      <w:r w:rsidR="007E6E13" w:rsidRPr="00374DA1">
        <w:rPr>
          <w:rFonts w:eastAsia="Arial CE" w:cs="Arial"/>
          <w:szCs w:val="22"/>
        </w:rPr>
        <w:t xml:space="preserve">.xlsx, </w:t>
      </w:r>
      <w:r w:rsidR="00BC099A" w:rsidRPr="00374DA1">
        <w:rPr>
          <w:rFonts w:eastAsia="Arial CE" w:cs="Arial"/>
          <w:szCs w:val="22"/>
        </w:rPr>
        <w:t>_</w:t>
      </w:r>
      <w:r w:rsidR="007E6E13" w:rsidRPr="00374DA1">
        <w:rPr>
          <w:rFonts w:eastAsia="Arial CE" w:cs="Arial"/>
          <w:szCs w:val="22"/>
        </w:rPr>
        <w:t>.dwg a dalších), výkresy budou v souřadnicovém systému S-JTSK.</w:t>
      </w:r>
      <w:r w:rsidR="007E6E13"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 xml:space="preserve">vždy minimálně 2 výrobní výbory.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Default="00A87606" w:rsidP="00A87606">
      <w:pPr>
        <w:jc w:val="both"/>
        <w:rPr>
          <w:rFonts w:eastAsia="Arial CE" w:cs="Arial"/>
          <w:color w:val="FF0000"/>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6731EF">
        <w:rPr>
          <w:rFonts w:eastAsia="Arial CE" w:cs="Arial"/>
          <w:color w:val="FF0000"/>
          <w:szCs w:val="22"/>
        </w:rPr>
        <w:t xml:space="preserve"> </w:t>
      </w:r>
    </w:p>
    <w:p w:rsidR="00F76C04" w:rsidRPr="00A87606" w:rsidRDefault="00F76C04"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cs="Arial"/>
          <w:szCs w:val="22"/>
          <w:u w:val="single"/>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sidRPr="00663AC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xml:space="preserve">) ještě v době zpracovávání PD. </w:t>
      </w:r>
      <w:r w:rsidRPr="00663AC3">
        <w:rPr>
          <w:rFonts w:cs="Arial"/>
          <w:szCs w:val="22"/>
        </w:rPr>
        <w:t xml:space="preserve">Objednatel </w:t>
      </w:r>
      <w:r w:rsidRPr="00A87606">
        <w:rPr>
          <w:rFonts w:cs="Arial"/>
          <w:szCs w:val="22"/>
        </w:rPr>
        <w:t>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jc w:val="both"/>
        <w:rPr>
          <w:rFonts w:cs="Arial"/>
          <w:szCs w:val="22"/>
        </w:rPr>
      </w:pPr>
    </w:p>
    <w:p w:rsidR="00A12FE5" w:rsidRPr="00A87606" w:rsidRDefault="00A12FE5"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FB33BC" w:rsidRDefault="00167C90" w:rsidP="00FB33BC">
      <w:pPr>
        <w:rPr>
          <w:b/>
        </w:rPr>
      </w:pPr>
      <w:r w:rsidRPr="00FB33BC">
        <w:rPr>
          <w:b/>
        </w:rPr>
        <w:t>Zahájení díla:</w:t>
      </w:r>
      <w:r w:rsidRPr="00FB33BC">
        <w:rPr>
          <w:b/>
        </w:rPr>
        <w:tab/>
      </w:r>
      <w:r w:rsidR="00FB33BC">
        <w:rPr>
          <w:b/>
        </w:rPr>
        <w:tab/>
      </w:r>
      <w:r w:rsidR="00FB33BC">
        <w:rPr>
          <w:b/>
        </w:rPr>
        <w:tab/>
      </w:r>
      <w:r w:rsidR="004D01EC" w:rsidRPr="00FB33BC">
        <w:rPr>
          <w:b/>
        </w:rPr>
        <w:t>Bez zbytečného odkladu</w:t>
      </w:r>
      <w:r w:rsidR="00F715AF" w:rsidRPr="00FB33BC">
        <w:rPr>
          <w:b/>
        </w:rPr>
        <w:t xml:space="preserve"> </w:t>
      </w:r>
      <w:r w:rsidR="00FA40A9" w:rsidRPr="00FB33BC">
        <w:rPr>
          <w:b/>
        </w:rPr>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DB48A0" w:rsidRDefault="006B2A53" w:rsidP="006731EF">
      <w:pPr>
        <w:autoSpaceDE w:val="0"/>
        <w:autoSpaceDN w:val="0"/>
        <w:adjustRightInd w:val="0"/>
        <w:ind w:left="7080" w:hanging="7080"/>
        <w:rPr>
          <w:rFonts w:ascii="Arial CE" w:hAnsi="Arial CE" w:cs="Arial"/>
          <w:szCs w:val="22"/>
        </w:rPr>
      </w:pPr>
      <w:r w:rsidRPr="00DB48A0">
        <w:rPr>
          <w:rFonts w:ascii="Arial CE" w:hAnsi="Arial CE" w:cs="Arial"/>
          <w:szCs w:val="22"/>
        </w:rPr>
        <w:t>Dílčí termín</w:t>
      </w:r>
      <w:r w:rsidR="008F1A46" w:rsidRPr="00DB48A0">
        <w:rPr>
          <w:rFonts w:ascii="Arial CE" w:hAnsi="Arial CE" w:cs="Arial"/>
          <w:szCs w:val="22"/>
        </w:rPr>
        <w:t xml:space="preserve"> </w:t>
      </w:r>
      <w:r w:rsidR="00FA40A9" w:rsidRPr="00DB48A0">
        <w:rPr>
          <w:rFonts w:ascii="Arial CE" w:eastAsia="Arial CE" w:hAnsi="Arial CE" w:cs="Arial CE"/>
          <w:szCs w:val="22"/>
        </w:rPr>
        <w:t xml:space="preserve">(předání a převzetí </w:t>
      </w:r>
      <w:r w:rsidR="00D149AD" w:rsidRPr="00DB48A0">
        <w:rPr>
          <w:rFonts w:ascii="Arial CE" w:eastAsia="Arial CE" w:hAnsi="Arial CE" w:cs="Arial CE"/>
          <w:szCs w:val="22"/>
        </w:rPr>
        <w:t xml:space="preserve">PD </w:t>
      </w:r>
      <w:r w:rsidR="006731EF" w:rsidRPr="00DB48A0">
        <w:rPr>
          <w:rFonts w:ascii="Arial CE" w:eastAsia="Arial CE" w:hAnsi="Arial CE" w:cs="Arial CE"/>
          <w:szCs w:val="22"/>
        </w:rPr>
        <w:t>bez dokladové části</w:t>
      </w:r>
      <w:r w:rsidR="00D149AD" w:rsidRPr="00DB48A0">
        <w:rPr>
          <w:rFonts w:ascii="Arial CE" w:eastAsia="Arial CE" w:hAnsi="Arial CE" w:cs="Arial CE"/>
          <w:szCs w:val="22"/>
        </w:rPr>
        <w:t>)</w:t>
      </w:r>
      <w:r w:rsidR="008F1A46" w:rsidRPr="00DB48A0">
        <w:rPr>
          <w:rFonts w:ascii="Arial CE" w:hAnsi="Arial CE" w:cs="Arial"/>
          <w:szCs w:val="22"/>
        </w:rPr>
        <w:t xml:space="preserve">:    </w:t>
      </w:r>
      <w:r w:rsidR="00FB25F1" w:rsidRPr="00DB48A0">
        <w:rPr>
          <w:rFonts w:ascii="Arial CE" w:hAnsi="Arial CE" w:cs="Arial"/>
          <w:szCs w:val="22"/>
        </w:rPr>
        <w:tab/>
      </w:r>
      <w:r w:rsidR="006731EF" w:rsidRPr="00DB48A0">
        <w:rPr>
          <w:rFonts w:ascii="Arial CE" w:hAnsi="Arial CE" w:cs="Arial"/>
          <w:szCs w:val="22"/>
        </w:rPr>
        <w:t xml:space="preserve">do 12 týdnů </w:t>
      </w:r>
      <w:r w:rsidR="00FA40A9" w:rsidRPr="00DB48A0">
        <w:rPr>
          <w:rFonts w:ascii="Arial CE" w:hAnsi="Arial CE" w:cs="Arial"/>
          <w:szCs w:val="22"/>
        </w:rPr>
        <w:t>po nabytí účinnosti smlouvy</w:t>
      </w:r>
    </w:p>
    <w:p w:rsidR="006731EF" w:rsidRPr="00DB48A0" w:rsidRDefault="006731EF" w:rsidP="006B2A53">
      <w:pPr>
        <w:autoSpaceDE w:val="0"/>
        <w:autoSpaceDN w:val="0"/>
        <w:adjustRightInd w:val="0"/>
        <w:rPr>
          <w:rFonts w:ascii="Arial CE" w:hAnsi="Arial CE" w:cs="Arial"/>
          <w:szCs w:val="22"/>
        </w:rPr>
      </w:pPr>
    </w:p>
    <w:p w:rsidR="00FA40A9" w:rsidRPr="00DB48A0" w:rsidRDefault="00FA40A9" w:rsidP="00FA40A9">
      <w:pPr>
        <w:autoSpaceDE w:val="0"/>
        <w:autoSpaceDN w:val="0"/>
        <w:adjustRightInd w:val="0"/>
        <w:ind w:left="7080" w:hanging="7080"/>
        <w:rPr>
          <w:rFonts w:ascii="Arial CE" w:hAnsi="Arial CE" w:cs="Arial"/>
          <w:szCs w:val="22"/>
        </w:rPr>
      </w:pPr>
      <w:r w:rsidRPr="00DB48A0">
        <w:rPr>
          <w:rFonts w:ascii="Arial CE" w:hAnsi="Arial CE" w:cs="Arial"/>
          <w:szCs w:val="22"/>
        </w:rPr>
        <w:t>Dopracování dokladové části a předání kompletní PD:</w:t>
      </w:r>
      <w:r w:rsidR="006731EF" w:rsidRPr="00DB48A0">
        <w:rPr>
          <w:rFonts w:ascii="Arial CE" w:hAnsi="Arial CE" w:cs="Arial"/>
          <w:szCs w:val="22"/>
        </w:rPr>
        <w:tab/>
      </w:r>
      <w:r w:rsidRPr="00DB48A0">
        <w:rPr>
          <w:rFonts w:ascii="Arial CE" w:hAnsi="Arial CE" w:cs="Arial"/>
          <w:szCs w:val="22"/>
        </w:rPr>
        <w:t>do 24</w:t>
      </w:r>
      <w:r w:rsidR="006731EF" w:rsidRPr="00DB48A0">
        <w:rPr>
          <w:rFonts w:ascii="Arial CE" w:hAnsi="Arial CE" w:cs="Arial"/>
          <w:szCs w:val="22"/>
        </w:rPr>
        <w:t xml:space="preserve"> týdnů </w:t>
      </w:r>
      <w:r w:rsidRPr="00DB48A0">
        <w:rPr>
          <w:rFonts w:ascii="Arial CE" w:hAnsi="Arial CE" w:cs="Arial"/>
          <w:szCs w:val="22"/>
        </w:rPr>
        <w:t>po nabytí účinnosti smlouvy</w:t>
      </w:r>
    </w:p>
    <w:p w:rsidR="008F1A46" w:rsidRPr="00DB48A0" w:rsidRDefault="008F1A46" w:rsidP="00FA40A9">
      <w:pPr>
        <w:autoSpaceDE w:val="0"/>
        <w:autoSpaceDN w:val="0"/>
        <w:adjustRightInd w:val="0"/>
        <w:rPr>
          <w:rFonts w:ascii="Arial CE" w:hAnsi="Arial CE" w:cs="Arial"/>
          <w:szCs w:val="22"/>
        </w:rPr>
      </w:pPr>
    </w:p>
    <w:p w:rsidR="000F6FBC" w:rsidRDefault="00D149AD" w:rsidP="006B2A53">
      <w:pPr>
        <w:autoSpaceDE w:val="0"/>
        <w:autoSpaceDN w:val="0"/>
        <w:adjustRightInd w:val="0"/>
        <w:rPr>
          <w:rFonts w:ascii="Arial CE" w:hAnsi="Arial CE" w:cs="Arial"/>
          <w:szCs w:val="22"/>
        </w:rPr>
      </w:pPr>
      <w:r w:rsidRPr="00DB48A0">
        <w:rPr>
          <w:rFonts w:ascii="Arial CE" w:eastAsia="Arial CE" w:hAnsi="Arial CE" w:cs="Arial CE"/>
          <w:szCs w:val="22"/>
        </w:rPr>
        <w:t xml:space="preserve">Ukončení díla (po </w:t>
      </w:r>
      <w:r w:rsidR="006B2A53" w:rsidRPr="00DB48A0">
        <w:rPr>
          <w:rFonts w:ascii="Arial CE" w:eastAsia="Arial CE" w:hAnsi="Arial CE" w:cs="Arial CE"/>
          <w:szCs w:val="22"/>
        </w:rPr>
        <w:t>schválení v</w:t>
      </w:r>
      <w:r w:rsidR="00FC3E6C" w:rsidRPr="00DB48A0">
        <w:rPr>
          <w:rFonts w:ascii="Arial CE" w:eastAsia="Arial CE" w:hAnsi="Arial CE" w:cs="Arial CE"/>
          <w:szCs w:val="22"/>
        </w:rPr>
        <w:t> investiční komisi</w:t>
      </w:r>
      <w:r w:rsidR="0008010B" w:rsidRPr="00DB48A0">
        <w:rPr>
          <w:rFonts w:ascii="Arial CE" w:eastAsia="Arial CE" w:hAnsi="Arial CE" w:cs="Arial CE"/>
          <w:szCs w:val="22"/>
        </w:rPr>
        <w:t xml:space="preserve"> objednatele</w:t>
      </w:r>
      <w:r w:rsidRPr="00DB48A0">
        <w:rPr>
          <w:rFonts w:ascii="Arial CE" w:eastAsia="Arial CE" w:hAnsi="Arial CE" w:cs="Arial CE"/>
          <w:szCs w:val="22"/>
        </w:rPr>
        <w:t>)</w:t>
      </w:r>
      <w:r w:rsidR="006B2A53" w:rsidRPr="00DB48A0">
        <w:rPr>
          <w:rFonts w:ascii="Arial CE" w:eastAsia="Arial CE" w:hAnsi="Arial CE" w:cs="Arial CE"/>
          <w:szCs w:val="22"/>
        </w:rPr>
        <w:t>:</w:t>
      </w:r>
      <w:r w:rsidR="000F6FBC" w:rsidRPr="00DB48A0">
        <w:rPr>
          <w:rFonts w:ascii="Arial CE" w:hAnsi="Arial CE" w:cs="Arial"/>
          <w:szCs w:val="22"/>
        </w:rPr>
        <w:tab/>
      </w:r>
      <w:r w:rsidR="006B2A53" w:rsidRPr="00DB48A0">
        <w:rPr>
          <w:rFonts w:ascii="Arial CE" w:hAnsi="Arial CE" w:cs="Arial"/>
          <w:szCs w:val="22"/>
        </w:rPr>
        <w:tab/>
      </w:r>
      <w:r w:rsidR="006B2A53" w:rsidRPr="00DB48A0">
        <w:rPr>
          <w:rFonts w:ascii="Arial CE" w:hAnsi="Arial CE" w:cs="Arial"/>
          <w:szCs w:val="22"/>
        </w:rPr>
        <w:tab/>
      </w:r>
      <w:r w:rsidR="00E4197E">
        <w:rPr>
          <w:rFonts w:ascii="Arial CE" w:hAnsi="Arial CE" w:cs="Arial"/>
          <w:b/>
          <w:szCs w:val="22"/>
        </w:rPr>
        <w:t>31</w:t>
      </w:r>
      <w:r w:rsidR="006B2A53" w:rsidRPr="00DB48A0">
        <w:rPr>
          <w:rFonts w:ascii="Arial CE" w:hAnsi="Arial CE" w:cs="Arial"/>
          <w:b/>
          <w:szCs w:val="22"/>
        </w:rPr>
        <w:t>.0</w:t>
      </w:r>
      <w:r w:rsidR="00E4197E">
        <w:rPr>
          <w:rFonts w:ascii="Arial CE" w:hAnsi="Arial CE" w:cs="Arial"/>
          <w:b/>
          <w:szCs w:val="22"/>
        </w:rPr>
        <w:t>8</w:t>
      </w:r>
      <w:r w:rsidR="006B2A53" w:rsidRPr="00DB48A0">
        <w:rPr>
          <w:rFonts w:ascii="Arial CE" w:hAnsi="Arial CE" w:cs="Arial"/>
          <w:b/>
          <w:szCs w:val="22"/>
        </w:rPr>
        <w:t>.2018</w:t>
      </w:r>
      <w:r w:rsidR="000F6FBC" w:rsidRPr="006731EF">
        <w:rPr>
          <w:rFonts w:ascii="Arial CE" w:hAnsi="Arial CE" w:cs="Arial"/>
          <w:szCs w:val="22"/>
        </w:rPr>
        <w:tab/>
      </w:r>
      <w:r w:rsidR="000F6FBC" w:rsidRPr="006731EF">
        <w:rPr>
          <w:rFonts w:ascii="Arial CE" w:hAnsi="Arial CE" w:cs="Arial"/>
          <w:szCs w:val="22"/>
        </w:rPr>
        <w:tab/>
        <w:t xml:space="preserve">  </w:t>
      </w:r>
    </w:p>
    <w:p w:rsidR="00CF65BB" w:rsidRPr="006731EF" w:rsidRDefault="00CF65BB" w:rsidP="006B2A53">
      <w:pPr>
        <w:autoSpaceDE w:val="0"/>
        <w:autoSpaceDN w:val="0"/>
        <w:adjustRightInd w:val="0"/>
        <w:rPr>
          <w:rFonts w:ascii="Arial CE" w:hAnsi="Arial CE" w:cs="Arial"/>
          <w:szCs w:val="22"/>
        </w:rPr>
      </w:pPr>
    </w:p>
    <w:p w:rsidR="00EE792F" w:rsidRPr="00FB33BC" w:rsidRDefault="00EE792F" w:rsidP="00663AC3">
      <w:pPr>
        <w:rPr>
          <w:b/>
          <w:color w:val="FF0000"/>
        </w:rPr>
      </w:pPr>
      <w:r w:rsidRPr="00FB33BC">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B33BC" w:rsidRDefault="00FB33BC" w:rsidP="00FB33BC">
      <w:pPr>
        <w:rPr>
          <w:b/>
        </w:rPr>
      </w:pPr>
    </w:p>
    <w:p w:rsidR="00FB33BC" w:rsidRDefault="00FB33BC" w:rsidP="00FB33BC">
      <w:pPr>
        <w:rPr>
          <w:b/>
        </w:rPr>
      </w:pPr>
    </w:p>
    <w:p w:rsidR="003E039C" w:rsidRPr="00FB33BC" w:rsidRDefault="003E039C" w:rsidP="00FB33BC">
      <w:pPr>
        <w:rPr>
          <w:b/>
        </w:rPr>
      </w:pPr>
      <w:r w:rsidRPr="00FB33BC">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lastRenderedPageBreak/>
        <w:t>Zahájení AD je dnem zahájení</w:t>
      </w:r>
      <w:r w:rsidR="000C2784" w:rsidRPr="001D7A19">
        <w:rPr>
          <w:rFonts w:ascii="Arial CE" w:hAnsi="Arial CE" w:cs="Arial"/>
          <w:szCs w:val="22"/>
        </w:rPr>
        <w:t xml:space="preserve"> </w:t>
      </w:r>
      <w:r w:rsidR="0046116F">
        <w:rPr>
          <w:rFonts w:ascii="Arial CE" w:hAnsi="Arial CE" w:cs="Arial"/>
          <w:szCs w:val="22"/>
        </w:rPr>
        <w:t xml:space="preserve">díla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6116F">
        <w:rPr>
          <w:rFonts w:ascii="Arial CE" w:hAnsi="Arial CE" w:cs="Arial"/>
          <w:szCs w:val="22"/>
        </w:rPr>
        <w:t xml:space="preserve"> přejímky díla</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E15CD5" w:rsidRPr="001D7A19" w:rsidRDefault="00E15CD5" w:rsidP="002741F8">
      <w:pPr>
        <w:jc w:val="both"/>
        <w:rPr>
          <w:rFonts w:ascii="Arial CE" w:hAnsi="Arial CE" w:cs="Arial"/>
          <w:b/>
          <w:color w:val="000000"/>
          <w:szCs w:val="22"/>
        </w:rPr>
      </w:pP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E15CD5">
        <w:rPr>
          <w:rFonts w:ascii="Arial CE" w:hAnsi="Arial CE" w:cs="Arial"/>
          <w:b/>
          <w:szCs w:val="22"/>
        </w:rPr>
        <w:t>283 439</w:t>
      </w:r>
      <w:r w:rsidR="00F026FC">
        <w:rPr>
          <w:rFonts w:ascii="Arial CE" w:hAnsi="Arial CE" w:cs="Arial"/>
          <w:b/>
          <w:szCs w:val="22"/>
        </w:rPr>
        <w:t xml:space="preserve">,00 </w:t>
      </w:r>
      <w:r w:rsidRPr="00E26CEA">
        <w:rPr>
          <w:rFonts w:ascii="Arial CE" w:hAnsi="Arial CE" w:cs="Arial"/>
          <w:b/>
          <w:szCs w:val="22"/>
        </w:rPr>
        <w:t>Kč bez DPH.</w:t>
      </w:r>
    </w:p>
    <w:p w:rsidR="00255DCB" w:rsidRDefault="00255DCB" w:rsidP="002741F8">
      <w:pPr>
        <w:ind w:left="426"/>
        <w:jc w:val="both"/>
        <w:rPr>
          <w:rFonts w:ascii="Arial CE" w:hAnsi="Arial CE" w:cs="Arial"/>
          <w:szCs w:val="22"/>
        </w:rPr>
      </w:pPr>
    </w:p>
    <w:p w:rsidR="00B27C1F" w:rsidRDefault="00B27C1F" w:rsidP="00B27C1F">
      <w:pPr>
        <w:jc w:val="both"/>
        <w:rPr>
          <w:rFonts w:ascii="Arial CE" w:hAnsi="Arial CE" w:cs="Arial"/>
          <w:szCs w:val="22"/>
        </w:rPr>
      </w:pPr>
      <w:r w:rsidRPr="00F44843">
        <w:rPr>
          <w:rFonts w:ascii="Arial CE" w:hAnsi="Arial CE" w:cs="Arial"/>
          <w:szCs w:val="22"/>
        </w:rPr>
        <w:t>Cena za výkon AD</w:t>
      </w:r>
      <w:r>
        <w:rPr>
          <w:rFonts w:ascii="Arial CE" w:hAnsi="Arial CE" w:cs="Arial"/>
          <w:b/>
          <w:szCs w:val="22"/>
        </w:rPr>
        <w:t xml:space="preserve"> </w:t>
      </w:r>
      <w:r w:rsidRPr="001D7A19">
        <w:rPr>
          <w:rFonts w:ascii="Arial CE" w:hAnsi="Arial CE" w:cs="Arial"/>
          <w:szCs w:val="22"/>
        </w:rPr>
        <w:t xml:space="preserve">je sjednána jako cena smluvní ve výši </w:t>
      </w:r>
      <w:r>
        <w:rPr>
          <w:rFonts w:ascii="Arial CE" w:hAnsi="Arial CE" w:cs="Arial"/>
          <w:szCs w:val="22"/>
        </w:rPr>
        <w:tab/>
      </w:r>
      <w:r>
        <w:rPr>
          <w:rFonts w:ascii="Arial CE" w:hAnsi="Arial CE" w:cs="Arial"/>
          <w:szCs w:val="22"/>
        </w:rPr>
        <w:tab/>
      </w:r>
      <w:r w:rsidRPr="008B472F">
        <w:rPr>
          <w:rFonts w:ascii="Arial CE" w:hAnsi="Arial CE" w:cs="Arial"/>
          <w:szCs w:val="22"/>
        </w:rPr>
        <w:t>650,-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B27C1F" w:rsidRPr="001D7A19" w:rsidRDefault="00B27C1F" w:rsidP="00B27C1F">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6B2A53" w:rsidRDefault="006B2A53" w:rsidP="00E5013A">
      <w:pPr>
        <w:pStyle w:val="Zkladntext"/>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Pr="009A13DC">
        <w:rPr>
          <w:rFonts w:ascii="Arial CE" w:hAnsi="Arial CE" w:cs="Arial"/>
          <w:szCs w:val="22"/>
        </w:rPr>
        <w:t xml:space="preserve">, přičemž jejich zajištění je </w:t>
      </w:r>
      <w:r w:rsidR="009A13DC" w:rsidRPr="009A13DC">
        <w:rPr>
          <w:rFonts w:ascii="Arial CE" w:hAnsi="Arial CE" w:cs="Arial"/>
          <w:szCs w:val="22"/>
        </w:rPr>
        <w:t xml:space="preserve">nezbytnou </w:t>
      </w:r>
      <w:r w:rsidRPr="009A13DC">
        <w:rPr>
          <w:rFonts w:ascii="Arial CE" w:hAnsi="Arial CE" w:cs="Arial"/>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Cs w:val="22"/>
        </w:rPr>
      </w:pPr>
    </w:p>
    <w:p w:rsidR="00AF4362" w:rsidRDefault="00AF4362" w:rsidP="00AF4362">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528FC" w:rsidRDefault="00E528FC" w:rsidP="00AF4362">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A87606">
      <w:pPr>
        <w:pStyle w:val="Odstavecseseznamem"/>
        <w:numPr>
          <w:ilvl w:val="0"/>
          <w:numId w:val="22"/>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stupně </w:t>
      </w:r>
      <w:r w:rsidR="00E15CD5" w:rsidRPr="00E735C1">
        <w:rPr>
          <w:rFonts w:ascii="Arial CE" w:hAnsi="Arial CE" w:cs="Arial"/>
          <w:szCs w:val="22"/>
        </w:rPr>
        <w:t xml:space="preserve">DSJ </w:t>
      </w:r>
      <w:r w:rsidR="005623EC" w:rsidRPr="00E735C1">
        <w:rPr>
          <w:rFonts w:ascii="Arial CE" w:hAnsi="Arial CE" w:cs="Arial"/>
          <w:szCs w:val="22"/>
        </w:rPr>
        <w:t xml:space="preserve">bez dokladové části </w:t>
      </w:r>
      <w:r w:rsidRPr="00E735C1">
        <w:rPr>
          <w:rFonts w:ascii="Arial CE" w:hAnsi="Arial CE" w:cs="Arial"/>
          <w:szCs w:val="22"/>
        </w:rPr>
        <w:t xml:space="preserve">ve výši </w:t>
      </w:r>
      <w:r w:rsidR="005623EC" w:rsidRPr="00E735C1">
        <w:rPr>
          <w:rFonts w:ascii="Arial CE" w:hAnsi="Arial CE" w:cs="Arial"/>
          <w:szCs w:val="22"/>
        </w:rPr>
        <w:t>6</w:t>
      </w:r>
      <w:r w:rsidRPr="00E735C1">
        <w:rPr>
          <w:rFonts w:ascii="Arial CE" w:hAnsi="Arial CE" w:cs="Arial"/>
          <w:szCs w:val="22"/>
        </w:rPr>
        <w:t>0% ceny, t</w:t>
      </w:r>
      <w:r w:rsidRPr="00A87606">
        <w:rPr>
          <w:rFonts w:ascii="Arial CE" w:hAnsi="Arial CE" w:cs="Arial"/>
          <w:szCs w:val="22"/>
        </w:rPr>
        <w:t xml:space="preserve">j. </w:t>
      </w:r>
      <w:r w:rsidR="00E735C1" w:rsidRPr="00E735C1">
        <w:rPr>
          <w:rFonts w:ascii="Arial CE" w:hAnsi="Arial CE" w:cs="Arial"/>
          <w:b/>
          <w:szCs w:val="22"/>
        </w:rPr>
        <w:t>170 06</w:t>
      </w:r>
      <w:r w:rsidR="00E735C1">
        <w:rPr>
          <w:rFonts w:ascii="Arial CE" w:hAnsi="Arial CE" w:cs="Arial"/>
          <w:b/>
          <w:szCs w:val="22"/>
        </w:rPr>
        <w:t>5</w:t>
      </w:r>
      <w:r w:rsidR="00C33382" w:rsidRPr="00E735C1">
        <w:rPr>
          <w:rFonts w:ascii="Arial CE" w:hAnsi="Arial CE" w:cs="Arial"/>
          <w:b/>
          <w:szCs w:val="22"/>
        </w:rPr>
        <w:t>,00</w:t>
      </w:r>
      <w:r w:rsidR="00C33382" w:rsidRPr="00C33382">
        <w:rPr>
          <w:rFonts w:ascii="Arial CE" w:hAnsi="Arial CE" w:cs="Arial"/>
          <w:szCs w:val="22"/>
        </w:rPr>
        <w:t xml:space="preserve"> </w:t>
      </w:r>
      <w:r w:rsidRPr="00A87606">
        <w:rPr>
          <w:rFonts w:ascii="Arial CE" w:hAnsi="Arial CE" w:cs="Arial"/>
          <w:b/>
          <w:szCs w:val="22"/>
        </w:rPr>
        <w:t>Kč bez DPH</w:t>
      </w:r>
      <w:r w:rsidR="00C33382">
        <w:rPr>
          <w:rFonts w:ascii="Arial CE" w:hAnsi="Arial CE" w:cs="Arial"/>
          <w:szCs w:val="22"/>
        </w:rPr>
        <w:t>.</w:t>
      </w:r>
    </w:p>
    <w:p w:rsidR="005623EC" w:rsidRPr="00C33382" w:rsidRDefault="005623EC" w:rsidP="005623EC">
      <w:pPr>
        <w:pStyle w:val="Odstavecseseznamem"/>
        <w:numPr>
          <w:ilvl w:val="0"/>
          <w:numId w:val="22"/>
        </w:numPr>
        <w:rPr>
          <w:rFonts w:ascii="Arial CE" w:hAnsi="Arial CE" w:cs="Arial"/>
          <w:b/>
          <w:szCs w:val="22"/>
        </w:rPr>
      </w:pPr>
      <w:r w:rsidRPr="00E735C1">
        <w:rPr>
          <w:rFonts w:ascii="Arial CE" w:hAnsi="Arial CE" w:cs="Arial"/>
          <w:szCs w:val="22"/>
        </w:rPr>
        <w:t xml:space="preserve">V případě </w:t>
      </w:r>
      <w:r w:rsidR="00C33382" w:rsidRPr="00E735C1">
        <w:rPr>
          <w:rFonts w:ascii="Arial CE" w:hAnsi="Arial CE" w:cs="Arial"/>
          <w:szCs w:val="22"/>
        </w:rPr>
        <w:t>druhého</w:t>
      </w:r>
      <w:r w:rsidRPr="00E735C1">
        <w:rPr>
          <w:rFonts w:ascii="Arial CE" w:hAnsi="Arial CE" w:cs="Arial"/>
          <w:szCs w:val="22"/>
        </w:rPr>
        <w:t xml:space="preserve"> dílčího plnění dnem protokolárního předání a převzetí </w:t>
      </w:r>
      <w:r w:rsidR="00C33382" w:rsidRPr="00E735C1">
        <w:rPr>
          <w:rFonts w:ascii="Arial CE" w:hAnsi="Arial CE" w:cs="Arial"/>
          <w:szCs w:val="22"/>
        </w:rPr>
        <w:t xml:space="preserve">dokladové části k stupni </w:t>
      </w:r>
      <w:r w:rsidR="00E15CD5" w:rsidRPr="00E735C1">
        <w:rPr>
          <w:rFonts w:ascii="Arial CE" w:hAnsi="Arial CE" w:cs="Arial"/>
          <w:szCs w:val="22"/>
        </w:rPr>
        <w:t xml:space="preserve">DSJ </w:t>
      </w:r>
      <w:r w:rsidRPr="00E735C1">
        <w:rPr>
          <w:rFonts w:ascii="Arial CE" w:hAnsi="Arial CE" w:cs="Arial"/>
          <w:szCs w:val="22"/>
        </w:rPr>
        <w:t xml:space="preserve">ve výši </w:t>
      </w:r>
      <w:r w:rsidR="00C33382" w:rsidRPr="00E735C1">
        <w:rPr>
          <w:rFonts w:ascii="Arial CE" w:hAnsi="Arial CE" w:cs="Arial"/>
          <w:szCs w:val="22"/>
        </w:rPr>
        <w:t>2</w:t>
      </w:r>
      <w:r w:rsidRPr="00E735C1">
        <w:rPr>
          <w:rFonts w:ascii="Arial CE" w:hAnsi="Arial CE" w:cs="Arial"/>
          <w:szCs w:val="22"/>
        </w:rPr>
        <w:t>0% ceny</w:t>
      </w:r>
      <w:r w:rsidRPr="005623EC">
        <w:rPr>
          <w:rFonts w:ascii="Arial CE" w:hAnsi="Arial CE" w:cs="Arial"/>
          <w:szCs w:val="22"/>
        </w:rPr>
        <w:t xml:space="preserve">, </w:t>
      </w:r>
      <w:r w:rsidR="00C33382" w:rsidRPr="005623EC">
        <w:rPr>
          <w:rFonts w:ascii="Arial CE" w:hAnsi="Arial CE" w:cs="Arial"/>
          <w:szCs w:val="22"/>
        </w:rPr>
        <w:t>tj</w:t>
      </w:r>
      <w:r w:rsidR="00C33382" w:rsidRPr="00C33382">
        <w:rPr>
          <w:rFonts w:ascii="Arial CE" w:hAnsi="Arial CE" w:cs="Arial"/>
          <w:b/>
          <w:szCs w:val="22"/>
        </w:rPr>
        <w:t xml:space="preserve">. </w:t>
      </w:r>
      <w:r w:rsidR="00E735C1">
        <w:rPr>
          <w:rFonts w:ascii="Arial CE" w:hAnsi="Arial CE" w:cs="Arial"/>
          <w:b/>
          <w:szCs w:val="22"/>
        </w:rPr>
        <w:t>56 687</w:t>
      </w:r>
      <w:r w:rsidR="00C33382" w:rsidRPr="00862710">
        <w:rPr>
          <w:rFonts w:ascii="Arial CE" w:eastAsia="Arial CE" w:hAnsi="Arial CE" w:cs="Arial CE"/>
          <w:b/>
          <w:szCs w:val="22"/>
        </w:rPr>
        <w:t>, 00</w:t>
      </w:r>
      <w:r w:rsidR="00C33382">
        <w:rPr>
          <w:rFonts w:ascii="Arial CE" w:eastAsia="Arial CE" w:hAnsi="Arial CE" w:cs="Arial CE"/>
          <w:szCs w:val="22"/>
        </w:rPr>
        <w:t xml:space="preserve"> </w:t>
      </w:r>
      <w:r w:rsidR="00C33382">
        <w:rPr>
          <w:rFonts w:ascii="Arial CE" w:eastAsia="Arial CE" w:hAnsi="Arial CE" w:cs="Arial CE"/>
          <w:b/>
          <w:szCs w:val="22"/>
        </w:rPr>
        <w:t xml:space="preserve">Kč </w:t>
      </w:r>
      <w:r w:rsidR="00C33382" w:rsidRPr="00A87606">
        <w:rPr>
          <w:rFonts w:ascii="Arial CE" w:eastAsia="Arial CE" w:hAnsi="Arial CE" w:cs="Arial CE"/>
          <w:b/>
          <w:szCs w:val="22"/>
        </w:rPr>
        <w:t>bez DPH</w:t>
      </w:r>
      <w:r w:rsidR="00C33382" w:rsidRPr="00A87606">
        <w:rPr>
          <w:rFonts w:ascii="Arial CE" w:eastAsia="Arial CE" w:hAnsi="Arial CE" w:cs="Arial CE"/>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w:t>
      </w:r>
      <w:r w:rsidR="00E15CD5">
        <w:rPr>
          <w:rFonts w:ascii="Arial CE" w:eastAsia="Arial CE" w:hAnsi="Arial CE" w:cs="Arial CE"/>
          <w:szCs w:val="22"/>
        </w:rPr>
        <w:t xml:space="preserve">DSJ </w:t>
      </w:r>
      <w:r w:rsidRPr="00A87606">
        <w:rPr>
          <w:rFonts w:ascii="Arial CE" w:eastAsia="Arial CE" w:hAnsi="Arial CE" w:cs="Arial CE"/>
          <w:szCs w:val="22"/>
        </w:rPr>
        <w:t xml:space="preserve">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E735C1" w:rsidRPr="00E735C1">
        <w:rPr>
          <w:rFonts w:ascii="Arial CE" w:eastAsia="Arial CE" w:hAnsi="Arial CE" w:cs="Arial CE"/>
          <w:b/>
          <w:szCs w:val="22"/>
        </w:rPr>
        <w:t>56 687,0</w:t>
      </w:r>
      <w:r w:rsidR="00862710" w:rsidRPr="00E735C1">
        <w:rPr>
          <w:rFonts w:ascii="Arial CE" w:eastAsia="Arial CE" w:hAnsi="Arial CE" w:cs="Arial CE"/>
          <w:b/>
          <w:szCs w:val="22"/>
        </w:rPr>
        <w:t>0</w:t>
      </w:r>
      <w:r w:rsidR="00862710">
        <w:rPr>
          <w:rFonts w:ascii="Arial CE" w:eastAsia="Arial CE" w:hAnsi="Arial CE" w:cs="Arial CE"/>
          <w:szCs w:val="22"/>
        </w:rPr>
        <w:t xml:space="preserve"> </w:t>
      </w:r>
      <w:r w:rsidR="00E528FC">
        <w:rPr>
          <w:rFonts w:ascii="Arial CE" w:eastAsia="Arial CE" w:hAnsi="Arial CE" w:cs="Arial CE"/>
          <w:b/>
          <w:szCs w:val="22"/>
        </w:rPr>
        <w:t xml:space="preserve">Kč </w:t>
      </w:r>
      <w:r w:rsidRPr="00A87606">
        <w:rPr>
          <w:rFonts w:ascii="Arial CE" w:eastAsia="Arial CE" w:hAnsi="Arial CE" w:cs="Arial CE"/>
          <w:b/>
          <w:szCs w:val="22"/>
        </w:rPr>
        <w:t>bez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Autorský dozor</w:t>
      </w:r>
      <w:r w:rsidRPr="00A87606">
        <w:rPr>
          <w:rFonts w:ascii="Arial CE" w:eastAsia="Arial CE" w:hAnsi="Arial CE" w:cs="Arial CE"/>
          <w:b/>
          <w:szCs w:val="22"/>
        </w:rPr>
        <w:t xml:space="preserve"> </w:t>
      </w:r>
      <w:r w:rsidRPr="00A87606">
        <w:rPr>
          <w:rFonts w:ascii="Arial CE" w:eastAsia="Arial CE" w:hAnsi="Arial CE" w:cs="Arial CE"/>
          <w:szCs w:val="22"/>
        </w:rPr>
        <w:t>je</w:t>
      </w:r>
      <w:r w:rsidRPr="00A87606">
        <w:rPr>
          <w:rFonts w:ascii="Arial CE" w:eastAsia="Arial CE" w:hAnsi="Arial CE" w:cs="Arial CE"/>
          <w:b/>
          <w:szCs w:val="22"/>
        </w:rPr>
        <w:t xml:space="preserve"> </w:t>
      </w:r>
      <w:r w:rsidRPr="00A87606">
        <w:rPr>
          <w:rFonts w:ascii="Arial CE" w:eastAsia="Arial CE" w:hAnsi="Arial CE" w:cs="Arial CE"/>
          <w:szCs w:val="22"/>
        </w:rPr>
        <w:t>uskutečněný výkon na stavbě dle</w:t>
      </w:r>
      <w:r w:rsidRPr="00A87606">
        <w:rPr>
          <w:rFonts w:ascii="Arial CE" w:eastAsia="Arial CE" w:hAnsi="Arial CE" w:cs="Arial CE"/>
          <w:b/>
          <w:szCs w:val="22"/>
        </w:rPr>
        <w:t xml:space="preserve"> </w:t>
      </w:r>
      <w:r w:rsidRPr="00A8760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lastRenderedPageBreak/>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10"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Zaplacením smluvních pokut nejsou dotčeny nároky smluvních stran na náhradu škody.</w:t>
      </w:r>
    </w:p>
    <w:p w:rsidR="001D42DD" w:rsidRPr="00FB33BC" w:rsidRDefault="001D42DD"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 xml:space="preserve">Čl. </w:t>
      </w:r>
      <w:r w:rsidR="002536D0" w:rsidRPr="00FB33BC">
        <w:rPr>
          <w:rFonts w:ascii="Arial CE" w:hAnsi="Arial CE" w:cs="Arial"/>
          <w:b/>
          <w:color w:val="000000"/>
          <w:szCs w:val="22"/>
          <w:u w:val="single"/>
        </w:rPr>
        <w:t>VI</w:t>
      </w:r>
      <w:r w:rsidRPr="00FB33BC">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lastRenderedPageBreak/>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CF65BB" w:rsidRDefault="001D42DD" w:rsidP="00DD4362">
      <w:pPr>
        <w:pStyle w:val="Odstavecseseznamem"/>
        <w:numPr>
          <w:ilvl w:val="1"/>
          <w:numId w:val="45"/>
        </w:numPr>
        <w:contextualSpacing/>
        <w:jc w:val="both"/>
        <w:rPr>
          <w:rFonts w:ascii="Arial CE" w:eastAsia="Arial CE" w:hAnsi="Arial CE" w:cs="Arial CE"/>
          <w:szCs w:val="22"/>
        </w:rPr>
      </w:pPr>
      <w:r w:rsidRPr="00CF65BB">
        <w:rPr>
          <w:rFonts w:ascii="Arial CE" w:eastAsia="Arial CE" w:hAnsi="Arial CE" w:cs="Arial CE"/>
          <w:szCs w:val="22"/>
        </w:rPr>
        <w:t xml:space="preserve">Je – li dílo určeno k využití při realizaci stavby, </w:t>
      </w:r>
      <w:r w:rsidR="00007236" w:rsidRPr="00CF65BB">
        <w:rPr>
          <w:rFonts w:ascii="Arial CE" w:eastAsia="Arial CE" w:hAnsi="Arial CE" w:cs="Arial CE"/>
          <w:szCs w:val="22"/>
        </w:rPr>
        <w:t>projektant</w:t>
      </w:r>
      <w:r w:rsidRPr="00CF65BB">
        <w:rPr>
          <w:rFonts w:ascii="Arial CE" w:eastAsia="Arial CE" w:hAnsi="Arial CE" w:cs="Arial CE"/>
          <w:szCs w:val="22"/>
        </w:rPr>
        <w:t xml:space="preserve"> odpovídá za vady </w:t>
      </w:r>
      <w:r w:rsidR="00007236" w:rsidRPr="00CF65BB">
        <w:rPr>
          <w:rFonts w:ascii="Arial CE" w:eastAsia="Arial CE" w:hAnsi="Arial CE" w:cs="Arial CE"/>
          <w:szCs w:val="22"/>
        </w:rPr>
        <w:t xml:space="preserve">do dokončení realizace. Po té přechází záruka na zhotovitele opravy. Dokončením opravy </w:t>
      </w:r>
      <w:proofErr w:type="gramStart"/>
      <w:r w:rsidR="00007236" w:rsidRPr="00CF65BB">
        <w:rPr>
          <w:rFonts w:ascii="Arial CE" w:eastAsia="Arial CE" w:hAnsi="Arial CE" w:cs="Arial CE"/>
          <w:szCs w:val="22"/>
        </w:rPr>
        <w:t>ze</w:t>
      </w:r>
      <w:proofErr w:type="gramEnd"/>
      <w:r w:rsidR="00007236" w:rsidRPr="00CF65BB">
        <w:rPr>
          <w:rFonts w:ascii="Arial CE" w:eastAsia="Arial CE" w:hAnsi="Arial CE" w:cs="Arial CE"/>
          <w:szCs w:val="22"/>
        </w:rPr>
        <w:t xml:space="preserve"> rozumí předání provozovateli</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EB7EEF" w:rsidRDefault="00EB7EEF" w:rsidP="000C5921">
      <w:pPr>
        <w:jc w:val="both"/>
        <w:rPr>
          <w:rFonts w:eastAsia="Arial" w:cs="Arial"/>
          <w:b/>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DD4362" w:rsidRDefault="00DD4362" w:rsidP="00FB33BC"/>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FB33BC" w:rsidRPr="00612E8A" w:rsidRDefault="00FB33BC" w:rsidP="00FB33BC"/>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C23F4" w:rsidRPr="001B3F83"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11"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DC23F4" w:rsidRPr="00DC6CC9"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E735C1" w:rsidRDefault="00E735C1"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CF65BB" w:rsidRDefault="00CF65BB"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663814" w:rsidRPr="00FB33BC" w:rsidRDefault="002536D0"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w:t>
      </w:r>
      <w:r w:rsidR="00663814" w:rsidRPr="00FB33BC">
        <w:rPr>
          <w:rFonts w:ascii="Arial CE" w:hAnsi="Arial CE" w:cs="Arial"/>
          <w:b/>
          <w:color w:val="000000"/>
          <w:szCs w:val="22"/>
          <w:u w:val="single"/>
        </w:rPr>
        <w:t xml:space="preserve"> ZÁVĚREČNÁ USTANOVENÍ</w:t>
      </w:r>
    </w:p>
    <w:p w:rsidR="00663814" w:rsidRPr="00663814" w:rsidRDefault="00663814" w:rsidP="00663814">
      <w:pPr>
        <w:rPr>
          <w:rFonts w:cs="Arial"/>
          <w:b/>
          <w:bCs/>
          <w:color w:val="000000"/>
          <w:szCs w:val="22"/>
        </w:rPr>
      </w:pPr>
    </w:p>
    <w:p w:rsidR="00663814" w:rsidRPr="00663814" w:rsidRDefault="00663814" w:rsidP="00663814">
      <w:pPr>
        <w:numPr>
          <w:ilvl w:val="0"/>
          <w:numId w:val="36"/>
        </w:numPr>
        <w:autoSpaceDE w:val="0"/>
        <w:autoSpaceDN w:val="0"/>
        <w:adjustRightInd w:val="0"/>
        <w:spacing w:after="120"/>
        <w:ind w:left="426" w:hanging="426"/>
        <w:jc w:val="both"/>
        <w:rPr>
          <w:rFonts w:cs="Arial"/>
          <w:szCs w:val="22"/>
        </w:rPr>
      </w:pPr>
      <w:r w:rsidRPr="00663814">
        <w:rPr>
          <w:rFonts w:cs="Arial"/>
          <w:bCs/>
          <w:szCs w:val="22"/>
        </w:rPr>
        <w:lastRenderedPageBreak/>
        <w:t xml:space="preserve">Pokud objednatel </w:t>
      </w:r>
      <w:r w:rsidRPr="00663814">
        <w:rPr>
          <w:rFonts w:cs="Arial"/>
          <w:szCs w:val="22"/>
        </w:rPr>
        <w:t>nevyzve zhotovitele do 2 let od převzetí díla k zahájení činnosti autorského dozoru, končí na základě vzájemného ujednání platnost této smlouvy.</w:t>
      </w:r>
    </w:p>
    <w:p w:rsidR="00663814" w:rsidRPr="00663814" w:rsidRDefault="00663814" w:rsidP="00663814">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663814">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663814" w:rsidRPr="00663814" w:rsidRDefault="00663814" w:rsidP="00663814">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C23F4">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663814" w:rsidRPr="00663814" w:rsidRDefault="00663814" w:rsidP="00663814">
      <w:pPr>
        <w:pStyle w:val="Odstavecseseznamem"/>
        <w:numPr>
          <w:ilvl w:val="0"/>
          <w:numId w:val="37"/>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sidR="00DD4362">
        <w:rPr>
          <w:rFonts w:cs="Arial"/>
          <w:bCs/>
          <w:color w:val="000000"/>
          <w:szCs w:val="22"/>
        </w:rPr>
        <w:t xml:space="preserve">ájí provádění díla ve lhůtě do </w:t>
      </w:r>
      <w:r w:rsidR="00DD4362" w:rsidRPr="00EB7EEF">
        <w:rPr>
          <w:rFonts w:cs="Arial"/>
          <w:bCs/>
          <w:szCs w:val="22"/>
        </w:rPr>
        <w:t>10</w:t>
      </w:r>
      <w:r w:rsidRPr="00663814">
        <w:rPr>
          <w:rFonts w:cs="Arial"/>
          <w:bCs/>
          <w:color w:val="000000"/>
          <w:szCs w:val="22"/>
        </w:rPr>
        <w:t xml:space="preserve"> týdnů po uzavření smlouvy o dílo, </w:t>
      </w:r>
    </w:p>
    <w:p w:rsidR="00663814" w:rsidRPr="00DD4362" w:rsidRDefault="00663814" w:rsidP="00663814">
      <w:pPr>
        <w:pStyle w:val="Odstavecseseznamem"/>
        <w:numPr>
          <w:ilvl w:val="0"/>
          <w:numId w:val="37"/>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sidR="00DD4362">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DD4362" w:rsidRPr="00663814" w:rsidRDefault="00DD4362" w:rsidP="00FB33BC"/>
    <w:p w:rsidR="00F821EB" w:rsidRPr="00663814" w:rsidRDefault="00663814" w:rsidP="00F821EB">
      <w:pPr>
        <w:pStyle w:val="Odstavecseseznamem"/>
        <w:autoSpaceDE w:val="0"/>
        <w:autoSpaceDN w:val="0"/>
        <w:adjustRightInd w:val="0"/>
        <w:ind w:left="426"/>
        <w:contextualSpacing/>
        <w:jc w:val="both"/>
        <w:rPr>
          <w:rFonts w:cs="Arial"/>
          <w:bCs/>
          <w:szCs w:val="22"/>
        </w:rPr>
      </w:pPr>
      <w:r w:rsidRPr="00E735C1">
        <w:rPr>
          <w:rFonts w:cs="Arial"/>
          <w:bCs/>
          <w:color w:val="000000"/>
          <w:szCs w:val="22"/>
        </w:rPr>
        <w:t xml:space="preserve">Objednatel má právo od smlouvy odstoupit </w:t>
      </w:r>
      <w:r w:rsidR="00F821EB" w:rsidRPr="00E735C1">
        <w:rPr>
          <w:rFonts w:cs="Arial"/>
          <w:bCs/>
          <w:color w:val="000000"/>
          <w:szCs w:val="22"/>
        </w:rPr>
        <w:t xml:space="preserve">na základě písemného oznámení </w:t>
      </w:r>
      <w:r w:rsidRPr="00E735C1">
        <w:rPr>
          <w:rFonts w:cs="Arial"/>
          <w:bCs/>
          <w:color w:val="000000"/>
          <w:szCs w:val="22"/>
        </w:rPr>
        <w:t>a není povinen hradit žádné náklady, které zhotoviteli s prováděním díla vznikly. Vznikne-li takovým prodlením objednateli škoda, je za ni zhotovitel zodpovědný ve smyslu platné právní úpravy.</w:t>
      </w:r>
      <w:r w:rsidR="00F821EB" w:rsidRPr="00E735C1">
        <w:rPr>
          <w:rFonts w:cs="Arial"/>
          <w:bCs/>
          <w:szCs w:val="22"/>
        </w:rPr>
        <w:t xml:space="preserve"> Objednatel může zaplatit poměrnou část původně určené ceny zhotoviteli, má – li z částečného plnění zhotovitele prospěch.</w:t>
      </w:r>
    </w:p>
    <w:p w:rsidR="00DC23F4" w:rsidRPr="00753916" w:rsidRDefault="00F821EB" w:rsidP="00753916">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215F9F" w:rsidRPr="00663814" w:rsidRDefault="00215F9F" w:rsidP="00663814">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w:t>
      </w:r>
      <w:r w:rsidR="00871142">
        <w:rPr>
          <w:rFonts w:cs="Arial"/>
          <w:bCs/>
          <w:color w:val="000000"/>
          <w:szCs w:val="22"/>
        </w:rPr>
        <w:t xml:space="preserve"> č. 182/2006 Sb.</w:t>
      </w:r>
      <w:r w:rsidR="00DD4362">
        <w:rPr>
          <w:rFonts w:cs="Arial"/>
          <w:bCs/>
          <w:color w:val="000000"/>
          <w:szCs w:val="22"/>
        </w:rPr>
        <w:t>, o</w:t>
      </w:r>
      <w:r w:rsidR="00871142">
        <w:rPr>
          <w:rFonts w:cs="Arial"/>
          <w:bCs/>
          <w:color w:val="000000"/>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sidR="00306645">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663814" w:rsidRPr="00663814" w:rsidRDefault="00663814" w:rsidP="00663814">
      <w:pPr>
        <w:autoSpaceDE w:val="0"/>
        <w:autoSpaceDN w:val="0"/>
        <w:adjustRightInd w:val="0"/>
        <w:jc w:val="both"/>
        <w:rPr>
          <w:rFonts w:cs="Arial"/>
          <w:bCs/>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663814" w:rsidRDefault="00663814" w:rsidP="00663814">
      <w:pPr>
        <w:autoSpaceDE w:val="0"/>
        <w:autoSpaceDN w:val="0"/>
        <w:adjustRightInd w:val="0"/>
        <w:jc w:val="both"/>
        <w:rPr>
          <w:rFonts w:cs="Arial"/>
          <w:bCs/>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C90751" w:rsidRPr="00CF65BB" w:rsidRDefault="00DD4362" w:rsidP="00C90751">
      <w:pPr>
        <w:autoSpaceDE w:val="0"/>
        <w:autoSpaceDN w:val="0"/>
        <w:adjustRightInd w:val="0"/>
        <w:jc w:val="both"/>
        <w:rPr>
          <w:color w:val="FF0000"/>
          <w:szCs w:val="22"/>
        </w:rPr>
      </w:pPr>
      <w:r w:rsidRPr="00CF65BB">
        <w:rPr>
          <w:rFonts w:cs="Arial"/>
          <w:color w:val="000000"/>
          <w:szCs w:val="22"/>
        </w:rPr>
        <w:t>V</w:t>
      </w:r>
      <w:r w:rsidR="00C90751" w:rsidRPr="00CF65BB">
        <w:rPr>
          <w:rFonts w:cs="Arial"/>
          <w:color w:val="000000"/>
          <w:szCs w:val="22"/>
        </w:rPr>
        <w:t xml:space="preserve"> Chomutově dne</w:t>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E528FC" w:rsidRPr="00CF65BB">
        <w:rPr>
          <w:szCs w:val="22"/>
        </w:rPr>
        <w:t>V </w:t>
      </w:r>
      <w:r w:rsidR="00E735C1" w:rsidRPr="00CF65BB">
        <w:rPr>
          <w:szCs w:val="22"/>
        </w:rPr>
        <w:tab/>
      </w:r>
      <w:r w:rsidR="00E735C1" w:rsidRPr="00CF65BB">
        <w:rPr>
          <w:szCs w:val="22"/>
        </w:rPr>
        <w:tab/>
      </w:r>
      <w:r w:rsidR="00E735C1" w:rsidRPr="00CF65BB">
        <w:rPr>
          <w:szCs w:val="22"/>
        </w:rPr>
        <w:tab/>
      </w:r>
      <w:r w:rsidR="00C90751" w:rsidRPr="00CF65BB">
        <w:rPr>
          <w:szCs w:val="22"/>
        </w:rPr>
        <w:t xml:space="preserve"> dne</w:t>
      </w:r>
    </w:p>
    <w:p w:rsidR="00C90751" w:rsidRPr="00CF65BB" w:rsidRDefault="00C90751"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r w:rsidRPr="00CF65BB">
        <w:rPr>
          <w:szCs w:val="22"/>
        </w:rPr>
        <w:t>……………………………………</w:t>
      </w:r>
      <w:r w:rsidRPr="00CF65BB">
        <w:rPr>
          <w:szCs w:val="22"/>
        </w:rPr>
        <w:tab/>
      </w:r>
      <w:r w:rsidRPr="00CF65BB">
        <w:rPr>
          <w:szCs w:val="22"/>
        </w:rPr>
        <w:tab/>
      </w:r>
      <w:r w:rsidRPr="00CF65BB">
        <w:rPr>
          <w:szCs w:val="22"/>
        </w:rPr>
        <w:tab/>
        <w:t>…………………………………….</w:t>
      </w:r>
    </w:p>
    <w:p w:rsidR="00C90751" w:rsidRPr="00CF65BB" w:rsidRDefault="00C90751" w:rsidP="00C90751">
      <w:pPr>
        <w:autoSpaceDE w:val="0"/>
        <w:autoSpaceDN w:val="0"/>
        <w:adjustRightInd w:val="0"/>
        <w:jc w:val="both"/>
        <w:rPr>
          <w:szCs w:val="22"/>
        </w:rPr>
      </w:pPr>
      <w:bookmarkStart w:id="0" w:name="_GoBack"/>
      <w:bookmarkEnd w:id="0"/>
      <w:r w:rsidRPr="00CF65BB">
        <w:rPr>
          <w:szCs w:val="22"/>
        </w:rPr>
        <w:t>investiční ředitel</w:t>
      </w:r>
      <w:r w:rsidRPr="00CF65BB">
        <w:rPr>
          <w:szCs w:val="22"/>
        </w:rPr>
        <w:tab/>
      </w:r>
      <w:r w:rsidRPr="00CF65BB">
        <w:rPr>
          <w:szCs w:val="22"/>
        </w:rPr>
        <w:tab/>
      </w:r>
      <w:r w:rsidRPr="00CF65BB">
        <w:rPr>
          <w:szCs w:val="22"/>
        </w:rPr>
        <w:tab/>
      </w:r>
      <w:r w:rsidRPr="00CF65BB">
        <w:rPr>
          <w:szCs w:val="22"/>
        </w:rPr>
        <w:tab/>
      </w:r>
      <w:r w:rsidRPr="00CF65BB">
        <w:rPr>
          <w:szCs w:val="22"/>
        </w:rPr>
        <w:tab/>
        <w:t>jednatel</w:t>
      </w:r>
    </w:p>
    <w:p w:rsidR="00007236" w:rsidRPr="00CF65BB" w:rsidRDefault="00C90751" w:rsidP="00007236">
      <w:pPr>
        <w:tabs>
          <w:tab w:val="left" w:pos="3960"/>
        </w:tabs>
        <w:autoSpaceDE w:val="0"/>
        <w:autoSpaceDN w:val="0"/>
        <w:adjustRightInd w:val="0"/>
        <w:spacing w:line="300" w:lineRule="atLeast"/>
        <w:ind w:left="3960" w:hanging="3960"/>
        <w:jc w:val="both"/>
        <w:rPr>
          <w:rFonts w:cs="Arial"/>
          <w:b/>
          <w:bCs/>
          <w:color w:val="000000"/>
          <w:szCs w:val="22"/>
        </w:rPr>
      </w:pPr>
      <w:r w:rsidRPr="00CF65BB">
        <w:rPr>
          <w:szCs w:val="22"/>
        </w:rPr>
        <w:t>Povodí Ohře, státní podnik</w:t>
      </w:r>
      <w:r w:rsidRPr="00CF65BB">
        <w:rPr>
          <w:szCs w:val="22"/>
        </w:rPr>
        <w:tab/>
        <w:t xml:space="preserve"> </w:t>
      </w:r>
      <w:r w:rsidRPr="00CF65BB">
        <w:rPr>
          <w:szCs w:val="22"/>
        </w:rPr>
        <w:tab/>
      </w:r>
      <w:r w:rsidRPr="00CF65BB">
        <w:rPr>
          <w:szCs w:val="22"/>
        </w:rPr>
        <w:tab/>
      </w:r>
      <w:r w:rsidR="00007236" w:rsidRPr="00CF65BB">
        <w:rPr>
          <w:rFonts w:cs="Arial"/>
          <w:bCs/>
          <w:color w:val="000000"/>
          <w:szCs w:val="22"/>
        </w:rPr>
        <w:t xml:space="preserve">ALFA – projekt, projektová a </w:t>
      </w:r>
      <w:r w:rsidR="00007236" w:rsidRPr="00CF65BB">
        <w:rPr>
          <w:rFonts w:cs="Arial"/>
          <w:bCs/>
          <w:color w:val="000000"/>
          <w:szCs w:val="22"/>
        </w:rPr>
        <w:tab/>
      </w:r>
      <w:r w:rsidR="00007236" w:rsidRPr="00CF65BB">
        <w:rPr>
          <w:rFonts w:cs="Arial"/>
          <w:bCs/>
          <w:color w:val="000000"/>
          <w:szCs w:val="22"/>
        </w:rPr>
        <w:tab/>
      </w:r>
      <w:r w:rsidR="00007236" w:rsidRPr="00CF65BB">
        <w:rPr>
          <w:rFonts w:cs="Arial"/>
          <w:bCs/>
          <w:color w:val="000000"/>
          <w:szCs w:val="22"/>
        </w:rPr>
        <w:tab/>
        <w:t>inženýrská kancelář spol. s r.o.</w:t>
      </w:r>
    </w:p>
    <w:p w:rsidR="00007236" w:rsidRPr="00CF65BB" w:rsidRDefault="00007236" w:rsidP="00007236">
      <w:pPr>
        <w:tabs>
          <w:tab w:val="left" w:pos="3960"/>
        </w:tabs>
        <w:autoSpaceDE w:val="0"/>
        <w:autoSpaceDN w:val="0"/>
        <w:adjustRightInd w:val="0"/>
        <w:spacing w:line="300" w:lineRule="atLeast"/>
        <w:jc w:val="both"/>
        <w:rPr>
          <w:rFonts w:cs="Arial"/>
          <w:bCs/>
          <w:color w:val="000000"/>
          <w:szCs w:val="22"/>
        </w:rPr>
      </w:pPr>
      <w:r w:rsidRPr="00CF65BB">
        <w:rPr>
          <w:rFonts w:cs="Arial"/>
          <w:b/>
          <w:bCs/>
          <w:color w:val="000000"/>
          <w:szCs w:val="22"/>
        </w:rPr>
        <w:tab/>
      </w:r>
      <w:r w:rsidRPr="00CF65BB">
        <w:rPr>
          <w:rFonts w:cs="Arial"/>
          <w:bCs/>
          <w:color w:val="000000"/>
          <w:szCs w:val="22"/>
        </w:rPr>
        <w:t xml:space="preserve"> </w:t>
      </w:r>
    </w:p>
    <w:p w:rsidR="00C90751" w:rsidRPr="00CF65BB" w:rsidRDefault="00C90751" w:rsidP="00C90751">
      <w:pPr>
        <w:autoSpaceDE w:val="0"/>
        <w:autoSpaceDN w:val="0"/>
        <w:adjustRightInd w:val="0"/>
        <w:jc w:val="both"/>
        <w:rPr>
          <w:szCs w:val="22"/>
        </w:rPr>
      </w:pPr>
    </w:p>
    <w:p w:rsidR="00C90751" w:rsidRPr="00DD4362" w:rsidRDefault="00C90751" w:rsidP="00DD4362">
      <w:pPr>
        <w:autoSpaceDE w:val="0"/>
        <w:autoSpaceDN w:val="0"/>
        <w:adjustRightInd w:val="0"/>
        <w:jc w:val="both"/>
        <w:rPr>
          <w:rFonts w:cs="Arial"/>
          <w:b/>
          <w:szCs w:val="22"/>
        </w:rPr>
      </w:pPr>
      <w:r w:rsidRPr="00CF65BB">
        <w:rPr>
          <w:szCs w:val="22"/>
        </w:rPr>
        <w:t xml:space="preserve">objednatel (podpis, razítko) </w:t>
      </w:r>
      <w:r w:rsidRPr="00CF65BB">
        <w:rPr>
          <w:szCs w:val="22"/>
        </w:rPr>
        <w:tab/>
      </w:r>
      <w:r w:rsidRPr="00CF65BB">
        <w:rPr>
          <w:szCs w:val="22"/>
        </w:rPr>
        <w:tab/>
      </w:r>
      <w:r w:rsidRPr="00CF65BB">
        <w:rPr>
          <w:szCs w:val="22"/>
        </w:rPr>
        <w:tab/>
      </w:r>
      <w:r w:rsidRPr="00CF65BB">
        <w:rPr>
          <w:szCs w:val="22"/>
        </w:rPr>
        <w:tab/>
        <w:t>zhotovitel (podpis, razítko)</w:t>
      </w:r>
    </w:p>
    <w:sectPr w:rsidR="00C90751" w:rsidRPr="00DD4362" w:rsidSect="00936966">
      <w:headerReference w:type="default" r:id="rId12"/>
      <w:footerReference w:type="defaul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0F8" w:rsidRDefault="009350F8">
      <w:r>
        <w:separator/>
      </w:r>
    </w:p>
  </w:endnote>
  <w:endnote w:type="continuationSeparator" w:id="0">
    <w:p w:rsidR="009350F8" w:rsidRDefault="0093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6535A7" w:rsidRPr="00AC6821">
              <w:rPr>
                <w:rFonts w:cs="Arial"/>
                <w:b/>
                <w:bCs/>
                <w:sz w:val="18"/>
                <w:szCs w:val="18"/>
              </w:rPr>
              <w:fldChar w:fldCharType="begin"/>
            </w:r>
            <w:r w:rsidRPr="00AC6821">
              <w:rPr>
                <w:rFonts w:cs="Arial"/>
                <w:b/>
                <w:bCs/>
                <w:sz w:val="18"/>
                <w:szCs w:val="18"/>
              </w:rPr>
              <w:instrText>PAGE</w:instrText>
            </w:r>
            <w:r w:rsidR="006535A7" w:rsidRPr="00AC6821">
              <w:rPr>
                <w:rFonts w:cs="Arial"/>
                <w:b/>
                <w:bCs/>
                <w:sz w:val="18"/>
                <w:szCs w:val="18"/>
              </w:rPr>
              <w:fldChar w:fldCharType="separate"/>
            </w:r>
            <w:r w:rsidR="00E4197E">
              <w:rPr>
                <w:rFonts w:cs="Arial"/>
                <w:b/>
                <w:bCs/>
                <w:noProof/>
                <w:sz w:val="18"/>
                <w:szCs w:val="18"/>
              </w:rPr>
              <w:t>4</w:t>
            </w:r>
            <w:r w:rsidR="006535A7" w:rsidRPr="00AC6821">
              <w:rPr>
                <w:rFonts w:cs="Arial"/>
                <w:b/>
                <w:bCs/>
                <w:sz w:val="18"/>
                <w:szCs w:val="18"/>
              </w:rPr>
              <w:fldChar w:fldCharType="end"/>
            </w:r>
            <w:r w:rsidRPr="00AC6821">
              <w:rPr>
                <w:rFonts w:cs="Arial"/>
                <w:sz w:val="18"/>
                <w:szCs w:val="18"/>
              </w:rPr>
              <w:t xml:space="preserve"> z </w:t>
            </w:r>
            <w:r w:rsidR="006535A7" w:rsidRPr="00AC6821">
              <w:rPr>
                <w:rFonts w:cs="Arial"/>
                <w:b/>
                <w:bCs/>
                <w:sz w:val="18"/>
                <w:szCs w:val="18"/>
              </w:rPr>
              <w:fldChar w:fldCharType="begin"/>
            </w:r>
            <w:r w:rsidRPr="00AC6821">
              <w:rPr>
                <w:rFonts w:cs="Arial"/>
                <w:b/>
                <w:bCs/>
                <w:sz w:val="18"/>
                <w:szCs w:val="18"/>
              </w:rPr>
              <w:instrText>NUMPAGES</w:instrText>
            </w:r>
            <w:r w:rsidR="006535A7" w:rsidRPr="00AC6821">
              <w:rPr>
                <w:rFonts w:cs="Arial"/>
                <w:b/>
                <w:bCs/>
                <w:sz w:val="18"/>
                <w:szCs w:val="18"/>
              </w:rPr>
              <w:fldChar w:fldCharType="separate"/>
            </w:r>
            <w:r w:rsidR="00E4197E">
              <w:rPr>
                <w:rFonts w:cs="Arial"/>
                <w:b/>
                <w:bCs/>
                <w:noProof/>
                <w:sz w:val="18"/>
                <w:szCs w:val="18"/>
              </w:rPr>
              <w:t>10</w:t>
            </w:r>
            <w:r w:rsidR="006535A7"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6535A7" w:rsidRPr="00AC6821">
              <w:rPr>
                <w:rFonts w:cs="Arial"/>
                <w:b/>
                <w:bCs/>
                <w:sz w:val="18"/>
                <w:szCs w:val="18"/>
              </w:rPr>
              <w:fldChar w:fldCharType="begin"/>
            </w:r>
            <w:r w:rsidRPr="00AC6821">
              <w:rPr>
                <w:rFonts w:cs="Arial"/>
                <w:b/>
                <w:bCs/>
                <w:sz w:val="18"/>
                <w:szCs w:val="18"/>
              </w:rPr>
              <w:instrText>PAGE</w:instrText>
            </w:r>
            <w:r w:rsidR="006535A7" w:rsidRPr="00AC6821">
              <w:rPr>
                <w:rFonts w:cs="Arial"/>
                <w:b/>
                <w:bCs/>
                <w:sz w:val="18"/>
                <w:szCs w:val="18"/>
              </w:rPr>
              <w:fldChar w:fldCharType="separate"/>
            </w:r>
            <w:r w:rsidR="00E4197E">
              <w:rPr>
                <w:rFonts w:cs="Arial"/>
                <w:b/>
                <w:bCs/>
                <w:noProof/>
                <w:sz w:val="18"/>
                <w:szCs w:val="18"/>
              </w:rPr>
              <w:t>1</w:t>
            </w:r>
            <w:r w:rsidR="006535A7" w:rsidRPr="00AC6821">
              <w:rPr>
                <w:rFonts w:cs="Arial"/>
                <w:b/>
                <w:bCs/>
                <w:sz w:val="18"/>
                <w:szCs w:val="18"/>
              </w:rPr>
              <w:fldChar w:fldCharType="end"/>
            </w:r>
            <w:r w:rsidRPr="00AC6821">
              <w:rPr>
                <w:rFonts w:cs="Arial"/>
                <w:sz w:val="18"/>
                <w:szCs w:val="18"/>
              </w:rPr>
              <w:t xml:space="preserve"> z </w:t>
            </w:r>
            <w:r w:rsidR="006535A7" w:rsidRPr="00AC6821">
              <w:rPr>
                <w:rFonts w:cs="Arial"/>
                <w:b/>
                <w:bCs/>
                <w:sz w:val="18"/>
                <w:szCs w:val="18"/>
              </w:rPr>
              <w:fldChar w:fldCharType="begin"/>
            </w:r>
            <w:r w:rsidRPr="00AC6821">
              <w:rPr>
                <w:rFonts w:cs="Arial"/>
                <w:b/>
                <w:bCs/>
                <w:sz w:val="18"/>
                <w:szCs w:val="18"/>
              </w:rPr>
              <w:instrText>NUMPAGES</w:instrText>
            </w:r>
            <w:r w:rsidR="006535A7" w:rsidRPr="00AC6821">
              <w:rPr>
                <w:rFonts w:cs="Arial"/>
                <w:b/>
                <w:bCs/>
                <w:sz w:val="18"/>
                <w:szCs w:val="18"/>
              </w:rPr>
              <w:fldChar w:fldCharType="separate"/>
            </w:r>
            <w:r w:rsidR="00E4197E">
              <w:rPr>
                <w:rFonts w:cs="Arial"/>
                <w:b/>
                <w:bCs/>
                <w:noProof/>
                <w:sz w:val="18"/>
                <w:szCs w:val="18"/>
              </w:rPr>
              <w:t>10</w:t>
            </w:r>
            <w:r w:rsidR="006535A7"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0F8" w:rsidRDefault="009350F8">
      <w:r>
        <w:separator/>
      </w:r>
    </w:p>
  </w:footnote>
  <w:footnote w:type="continuationSeparator" w:id="0">
    <w:p w:rsidR="009350F8" w:rsidRDefault="0093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8B95C4A"/>
    <w:multiLevelType w:val="hybridMultilevel"/>
    <w:tmpl w:val="8EB2E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0B1CEB"/>
    <w:multiLevelType w:val="hybridMultilevel"/>
    <w:tmpl w:val="89644F4E"/>
    <w:lvl w:ilvl="0" w:tplc="CDBA06D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8"/>
  </w:num>
  <w:num w:numId="26">
    <w:abstractNumId w:val="4"/>
  </w:num>
  <w:num w:numId="27">
    <w:abstractNumId w:val="16"/>
  </w:num>
  <w:num w:numId="28">
    <w:abstractNumId w:val="36"/>
  </w:num>
  <w:num w:numId="29">
    <w:abstractNumId w:val="2"/>
  </w:num>
  <w:num w:numId="30">
    <w:abstractNumId w:val="5"/>
  </w:num>
  <w:num w:numId="31">
    <w:abstractNumId w:val="44"/>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9"/>
  </w:num>
  <w:num w:numId="39">
    <w:abstractNumId w:val="37"/>
  </w:num>
  <w:num w:numId="40">
    <w:abstractNumId w:val="13"/>
  </w:num>
  <w:num w:numId="41">
    <w:abstractNumId w:val="30"/>
  </w:num>
  <w:num w:numId="42">
    <w:abstractNumId w:val="24"/>
  </w:num>
  <w:num w:numId="43">
    <w:abstractNumId w:val="23"/>
  </w:num>
  <w:num w:numId="44">
    <w:abstractNumId w:val="43"/>
  </w:num>
  <w:num w:numId="45">
    <w:abstractNumId w:val="8"/>
  </w:num>
  <w:num w:numId="46">
    <w:abstractNumId w:val="1"/>
  </w:num>
  <w:num w:numId="47">
    <w:abstractNumId w:val="34"/>
  </w:num>
  <w:num w:numId="4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A5C"/>
    <w:rsid w:val="00003EC4"/>
    <w:rsid w:val="00004E9A"/>
    <w:rsid w:val="00005727"/>
    <w:rsid w:val="0000641B"/>
    <w:rsid w:val="000064C7"/>
    <w:rsid w:val="00007236"/>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62B"/>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513"/>
    <w:rsid w:val="001B2908"/>
    <w:rsid w:val="001B2A5C"/>
    <w:rsid w:val="001B4BB0"/>
    <w:rsid w:val="001B4C5E"/>
    <w:rsid w:val="001B5CE4"/>
    <w:rsid w:val="001B5E7B"/>
    <w:rsid w:val="001C2560"/>
    <w:rsid w:val="001C5573"/>
    <w:rsid w:val="001C5C42"/>
    <w:rsid w:val="001C6151"/>
    <w:rsid w:val="001D12CC"/>
    <w:rsid w:val="001D1C6B"/>
    <w:rsid w:val="001D1D7A"/>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4AB"/>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2FAB"/>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4DA1"/>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4C58"/>
    <w:rsid w:val="004359EA"/>
    <w:rsid w:val="00437419"/>
    <w:rsid w:val="00440CF0"/>
    <w:rsid w:val="004418DF"/>
    <w:rsid w:val="00441DD6"/>
    <w:rsid w:val="004425D4"/>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67AA9"/>
    <w:rsid w:val="00471ADB"/>
    <w:rsid w:val="004743E7"/>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829"/>
    <w:rsid w:val="005569D5"/>
    <w:rsid w:val="00561EC7"/>
    <w:rsid w:val="005623EC"/>
    <w:rsid w:val="005637D5"/>
    <w:rsid w:val="00563B32"/>
    <w:rsid w:val="00563EAF"/>
    <w:rsid w:val="00565903"/>
    <w:rsid w:val="005677E1"/>
    <w:rsid w:val="005678E6"/>
    <w:rsid w:val="00567B8D"/>
    <w:rsid w:val="005703AF"/>
    <w:rsid w:val="0057217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35A7"/>
    <w:rsid w:val="00654AAD"/>
    <w:rsid w:val="00654E0C"/>
    <w:rsid w:val="006631E7"/>
    <w:rsid w:val="00663814"/>
    <w:rsid w:val="00663AC3"/>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65CC"/>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50F8"/>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53C3"/>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0C97"/>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77C16"/>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E74CE"/>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B489D"/>
    <w:rsid w:val="00CC0327"/>
    <w:rsid w:val="00CC0807"/>
    <w:rsid w:val="00CC3B53"/>
    <w:rsid w:val="00CC626D"/>
    <w:rsid w:val="00CC63EE"/>
    <w:rsid w:val="00CD235F"/>
    <w:rsid w:val="00CD28B8"/>
    <w:rsid w:val="00CD6A24"/>
    <w:rsid w:val="00CD6B3D"/>
    <w:rsid w:val="00CE1A18"/>
    <w:rsid w:val="00CE6395"/>
    <w:rsid w:val="00CE6CCE"/>
    <w:rsid w:val="00CE7D07"/>
    <w:rsid w:val="00CE7F23"/>
    <w:rsid w:val="00CE7F4E"/>
    <w:rsid w:val="00CF0188"/>
    <w:rsid w:val="00CF098F"/>
    <w:rsid w:val="00CF0FB4"/>
    <w:rsid w:val="00CF4ABF"/>
    <w:rsid w:val="00CF5095"/>
    <w:rsid w:val="00CF65BB"/>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054"/>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48A0"/>
    <w:rsid w:val="00DB5210"/>
    <w:rsid w:val="00DB6689"/>
    <w:rsid w:val="00DC0922"/>
    <w:rsid w:val="00DC23F4"/>
    <w:rsid w:val="00DC3B64"/>
    <w:rsid w:val="00DC403E"/>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CD5"/>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197E"/>
    <w:rsid w:val="00E47A58"/>
    <w:rsid w:val="00E5013A"/>
    <w:rsid w:val="00E5140A"/>
    <w:rsid w:val="00E52494"/>
    <w:rsid w:val="00E528FC"/>
    <w:rsid w:val="00E53F73"/>
    <w:rsid w:val="00E578CD"/>
    <w:rsid w:val="00E63A15"/>
    <w:rsid w:val="00E64E8D"/>
    <w:rsid w:val="00E65FA7"/>
    <w:rsid w:val="00E7088A"/>
    <w:rsid w:val="00E725DD"/>
    <w:rsid w:val="00E735C1"/>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C6734"/>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6C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33BC"/>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1C293A-A045-4878-8815-819C1F54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4362562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filfirmy/Compliance_programy.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hyperlink" Target="http://www.xc4.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AE83-85F2-486E-BCA9-38AC550D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3529</Words>
  <Characters>20826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24307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15</cp:revision>
  <cp:lastPrinted>2017-12-08T07:22:00Z</cp:lastPrinted>
  <dcterms:created xsi:type="dcterms:W3CDTF">2018-01-29T12:57:00Z</dcterms:created>
  <dcterms:modified xsi:type="dcterms:W3CDTF">2021-12-08T13:13:00Z</dcterms:modified>
</cp:coreProperties>
</file>