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spacing w:lineRule="auto" w:line="259" w:before="0" w:after="364"/>
        <w:ind w:left="40" w:hanging="0"/>
        <w:jc w:val="center"/>
        <w:rPr>
          <w:sz w:val="40"/>
          <w:szCs w:val="40"/>
        </w:rPr>
      </w:pPr>
      <w:r>
        <w:rPr>
          <w:sz w:val="40"/>
          <w:szCs w:val="40"/>
          <w:u w:val="single"/>
        </w:rPr>
        <w:t>Smlouva zajištění Školy v přírodě</w:t>
      </w:r>
    </w:p>
    <w:p>
      <w:pPr>
        <w:pStyle w:val="LOnormal"/>
        <w:spacing w:lineRule="auto" w:line="259" w:before="0" w:after="364"/>
        <w:ind w:left="40" w:hanging="0"/>
        <w:jc w:val="center"/>
        <w:rPr>
          <w:sz w:val="20"/>
          <w:szCs w:val="20"/>
          <w:u w:val="single"/>
        </w:rPr>
      </w:pPr>
      <w:r>
        <w:rPr>
          <w:sz w:val="20"/>
          <w:szCs w:val="20"/>
          <w:u w:val="single"/>
        </w:rPr>
      </w:r>
    </w:p>
    <w:p>
      <w:pPr>
        <w:pStyle w:val="LOnormal"/>
        <w:spacing w:lineRule="auto" w:line="259" w:before="0" w:after="192"/>
        <w:ind w:left="40" w:hanging="0"/>
        <w:jc w:val="left"/>
        <w:rPr>
          <w:sz w:val="20"/>
          <w:szCs w:val="20"/>
        </w:rPr>
      </w:pPr>
      <w:r>
        <w:rPr>
          <w:sz w:val="20"/>
          <w:szCs w:val="20"/>
          <w:u w:val="single"/>
        </w:rPr>
        <w:t>Smluvní strany</w:t>
      </w:r>
    </w:p>
    <w:p>
      <w:pPr>
        <w:pStyle w:val="LOnormal"/>
        <w:spacing w:lineRule="auto" w:line="240" w:before="0" w:after="239"/>
        <w:ind w:left="40" w:hanging="0"/>
        <w:jc w:val="left"/>
        <w:rPr>
          <w:sz w:val="20"/>
          <w:szCs w:val="20"/>
        </w:rPr>
      </w:pPr>
      <w:r>
        <w:rPr>
          <w:sz w:val="20"/>
          <w:szCs w:val="20"/>
        </w:rPr>
        <w:t>Čambusáček - dětské rekreace pro děti, IČO: 09805141, Adresa: Doležalova 1023/5, 198 00 zastoupena: Markem Havlem jednatelem, dále jen dodavatel</w:t>
      </w:r>
    </w:p>
    <w:p>
      <w:pPr>
        <w:pStyle w:val="LOnormal"/>
        <w:spacing w:lineRule="auto" w:line="259" w:before="0" w:after="101"/>
        <w:ind w:left="40" w:hanging="0"/>
        <w:jc w:val="left"/>
        <w:rPr>
          <w:sz w:val="20"/>
          <w:szCs w:val="20"/>
        </w:rPr>
      </w:pPr>
      <w:r>
        <w:rPr>
          <w:sz w:val="20"/>
          <w:szCs w:val="20"/>
        </w:rPr>
        <w:t>a</w:t>
      </w:r>
    </w:p>
    <w:p>
      <w:pPr>
        <w:pStyle w:val="LOnormal"/>
        <w:spacing w:lineRule="auto" w:line="240" w:before="0" w:after="423"/>
        <w:ind w:left="20" w:hanging="0"/>
        <w:jc w:val="left"/>
        <w:rPr>
          <w:sz w:val="20"/>
          <w:szCs w:val="20"/>
        </w:rPr>
      </w:pPr>
      <w:r>
        <w:rPr>
          <w:sz w:val="20"/>
          <w:szCs w:val="20"/>
        </w:rPr>
        <w:t>Základní škola, Adresa Gymnázium Sokolov a Krajské vzdělávací centrum, příspěvková organizace Husitská 2053, 356 01 Sokolov, IČ: 49767194 zastoupena RNDR. Jiří Widž dále jen odběratel uzavírají následující smlouvu:</w:t>
      </w:r>
    </w:p>
    <w:p>
      <w:pPr>
        <w:pStyle w:val="LOnormal"/>
        <w:ind w:left="0" w:right="-5" w:firstLine="40"/>
        <w:rPr>
          <w:sz w:val="20"/>
          <w:szCs w:val="20"/>
        </w:rPr>
      </w:pPr>
      <w:r>
        <w:rPr>
          <w:sz w:val="20"/>
          <w:szCs w:val="20"/>
        </w:rPr>
        <w:t>1. Dodavatel se zavazuje zajistit pro odběratele školu v přírodě v Hotel Kořínek, Příchovice 571 468 48 Kořenov. Termín: X-X. X. 2022</w:t>
      </w:r>
    </w:p>
    <w:p>
      <w:pPr>
        <w:pStyle w:val="LOnormal"/>
        <w:ind w:left="0" w:right="-5" w:firstLine="40"/>
        <w:rPr>
          <w:rFonts w:ascii="Calibri" w:hAnsi="Calibri" w:eastAsia="Calibri" w:cs="Calibri"/>
          <w:color w:val="000000"/>
          <w:sz w:val="20"/>
          <w:szCs w:val="20"/>
        </w:rPr>
      </w:pPr>
      <w:r>
        <w:rPr>
          <w:rFonts w:eastAsia="Calibri" w:cs="Calibri"/>
          <w:color w:val="000000"/>
          <w:sz w:val="20"/>
          <w:szCs w:val="20"/>
        </w:rPr>
      </w:r>
    </w:p>
    <w:p>
      <w:pPr>
        <w:pStyle w:val="LOnormal"/>
        <w:ind w:left="0" w:right="-5" w:firstLine="40"/>
        <w:rPr>
          <w:sz w:val="20"/>
          <w:szCs w:val="20"/>
        </w:rPr>
      </w:pPr>
      <w:r>
        <w:rPr>
          <w:sz w:val="20"/>
          <w:szCs w:val="20"/>
        </w:rPr>
        <w:t>2. Školy v přírodě se zúčastní počet 26 platících dětí. Zvýšení kapacity lze učinit po vzájemné dohodě smluvních stran.  Odběratel se zavazuje, že přůměrný počet platících osob na den během pobytu, neklesne pod 22 platících osob („minimální počet účastníků“), V případě, že nebude dostaženo tohoto minimální počtu účastníků, odběratel doplatí částku za smluvené (objednané) služby, do výše tohoto minimálního počtu účastníků. Předchozí věta platí i pro případ odstoupení od smlouvy {vypovězení smlouvy) ze strany odběratele.</w:t>
      </w:r>
    </w:p>
    <w:p>
      <w:pPr>
        <w:pStyle w:val="LOnormal"/>
        <w:ind w:left="0" w:right="-5" w:firstLine="40"/>
        <w:rPr>
          <w:rFonts w:ascii="Calibri" w:hAnsi="Calibri" w:eastAsia="Calibri" w:cs="Calibri"/>
          <w:color w:val="000000"/>
          <w:sz w:val="20"/>
          <w:szCs w:val="20"/>
        </w:rPr>
      </w:pPr>
      <w:r>
        <w:rPr>
          <w:rFonts w:eastAsia="Calibri" w:cs="Calibri"/>
          <w:color w:val="000000"/>
          <w:sz w:val="20"/>
          <w:szCs w:val="20"/>
        </w:rPr>
      </w:r>
    </w:p>
    <w:p>
      <w:pPr>
        <w:pStyle w:val="LOnormal"/>
        <w:numPr>
          <w:ilvl w:val="0"/>
          <w:numId w:val="1"/>
        </w:numPr>
        <w:ind w:left="355" w:right="-5" w:hanging="355"/>
        <w:rPr>
          <w:sz w:val="20"/>
          <w:szCs w:val="20"/>
        </w:rPr>
      </w:pPr>
      <w:r>
        <w:rPr>
          <w:sz w:val="20"/>
          <w:szCs w:val="20"/>
        </w:rPr>
        <w:t xml:space="preserve">Dodavatel zajistí ubytováni na pokojích v budově nebo v dřevěných chatách. </w:t>
      </w:r>
    </w:p>
    <w:p>
      <w:pPr>
        <w:pStyle w:val="LOnormal"/>
        <w:numPr>
          <w:ilvl w:val="0"/>
          <w:numId w:val="0"/>
        </w:numPr>
        <w:ind w:left="355" w:right="-5" w:hanging="0"/>
        <w:rPr>
          <w:sz w:val="20"/>
          <w:szCs w:val="20"/>
        </w:rPr>
      </w:pPr>
      <w:r>
        <w:rPr>
          <w:sz w:val="20"/>
          <w:szCs w:val="20"/>
        </w:rPr>
      </w:r>
    </w:p>
    <w:p>
      <w:pPr>
        <w:pStyle w:val="LOnormal"/>
        <w:numPr>
          <w:ilvl w:val="0"/>
          <w:numId w:val="1"/>
        </w:numPr>
        <w:ind w:left="355" w:right="-5" w:hanging="355"/>
        <w:rPr>
          <w:sz w:val="20"/>
          <w:szCs w:val="20"/>
        </w:rPr>
      </w:pPr>
      <w:r>
        <w:rPr>
          <w:sz w:val="20"/>
          <w:szCs w:val="20"/>
        </w:rPr>
        <w:t>Dodavatel  zajistí přes svého dodavatele ubytování a stravu formou plné penze (tj. Jidlo denně:  snídaně, dopolední svačina, oběd, odpolední svačina a večeře) a celodenně jim zajistí pitný režim. Prvním jídlem v den zahájení pobytu bude oběd, posledním jídlem v den ukončení pobytu bude snídaně.</w:t>
      </w:r>
    </w:p>
    <w:p>
      <w:pPr>
        <w:pStyle w:val="LOnormal"/>
        <w:numPr>
          <w:ilvl w:val="0"/>
          <w:numId w:val="0"/>
        </w:numPr>
        <w:ind w:left="355" w:right="-5" w:hanging="0"/>
        <w:rPr>
          <w:sz w:val="20"/>
          <w:szCs w:val="20"/>
        </w:rPr>
      </w:pPr>
      <w:r>
        <w:rPr>
          <w:sz w:val="20"/>
          <w:szCs w:val="20"/>
        </w:rPr>
      </w:r>
    </w:p>
    <w:p>
      <w:pPr>
        <w:pStyle w:val="LOnormal"/>
        <w:numPr>
          <w:ilvl w:val="0"/>
          <w:numId w:val="1"/>
        </w:numPr>
        <w:ind w:left="355" w:right="-5" w:hanging="355"/>
        <w:rPr>
          <w:sz w:val="20"/>
          <w:szCs w:val="20"/>
        </w:rPr>
      </w:pPr>
      <w:r>
        <w:rPr>
          <w:sz w:val="20"/>
          <w:szCs w:val="20"/>
        </w:rPr>
        <w:t>Dodavatel zajistí zdarma ubytování a stravu jednomu pedagogickému dozoru na jednu třídu (resp. zaměstnancům odběratele}, kteří s dětmi na školu v přírodě do Rekreačního Střediska pojedou.</w:t>
      </w:r>
    </w:p>
    <w:p>
      <w:pPr>
        <w:pStyle w:val="LOnormal"/>
        <w:numPr>
          <w:ilvl w:val="0"/>
          <w:numId w:val="0"/>
        </w:numPr>
        <w:ind w:left="355" w:right="-5" w:hanging="0"/>
        <w:rPr>
          <w:sz w:val="20"/>
          <w:szCs w:val="20"/>
        </w:rPr>
      </w:pPr>
      <w:r>
        <w:rPr>
          <w:sz w:val="20"/>
          <w:szCs w:val="20"/>
        </w:rPr>
      </w:r>
    </w:p>
    <w:p>
      <w:pPr>
        <w:pStyle w:val="LOnormal"/>
        <w:keepNext w:val="false"/>
        <w:keepLines w:val="false"/>
        <w:pageBreakBefore w:val="false"/>
        <w:widowControl/>
        <w:numPr>
          <w:ilvl w:val="0"/>
          <w:numId w:val="1"/>
        </w:numPr>
        <w:shd w:val="clear" w:fill="auto"/>
        <w:spacing w:lineRule="auto" w:line="216" w:before="0" w:after="3"/>
        <w:ind w:left="355" w:right="-5" w:hanging="355"/>
        <w:jc w:val="both"/>
        <w:rPr>
          <w:sz w:val="20"/>
          <w:szCs w:val="20"/>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Dodavatel také zajistí jednoho vychovatele na každou třídu dětí a jejich prostřednictvím i denní program na odpoledne a večer. Vychovatelé v tyto hodiny zodpovídají za děti dané třídy.</w:t>
      </w:r>
    </w:p>
    <w:p>
      <w:pPr>
        <w:pStyle w:val="LOnormal"/>
        <w:widowControl/>
        <w:numPr>
          <w:ilvl w:val="0"/>
          <w:numId w:val="0"/>
        </w:numPr>
        <w:shd w:val="clear" w:fill="auto"/>
        <w:spacing w:lineRule="auto" w:line="216" w:before="0" w:after="3"/>
        <w:ind w:left="355" w:right="-5" w:hanging="0"/>
        <w:jc w:val="both"/>
        <w:rPr>
          <w:caps w:val="false"/>
          <w:smallCaps w:val="false"/>
          <w:sz w:val="20"/>
          <w:szCs w:val="20"/>
        </w:rPr>
      </w:pPr>
      <w:r>
        <w:rPr>
          <w:caps w:val="false"/>
          <w:smallCaps w:val="false"/>
          <w:sz w:val="20"/>
          <w:szCs w:val="20"/>
        </w:rPr>
      </w:r>
    </w:p>
    <w:p>
      <w:pPr>
        <w:pStyle w:val="LOnormal"/>
        <w:ind w:left="390" w:right="-5" w:hanging="0"/>
        <w:rPr>
          <w:sz w:val="20"/>
          <w:szCs w:val="20"/>
        </w:rPr>
      </w:pPr>
      <w:r>
        <w:rPr>
          <w:sz w:val="20"/>
          <w:szCs w:val="20"/>
        </w:rPr>
        <w:t>7. Dodavatel rovněž zajistí po dobu konání pobytu zdravotní dozor (včetně zdravotnice), hlídání dětí.</w:t>
      </w:r>
    </w:p>
    <w:p>
      <w:pPr>
        <w:pStyle w:val="LOnormal"/>
        <w:ind w:left="390" w:right="-5" w:hanging="0"/>
        <w:rPr>
          <w:sz w:val="20"/>
          <w:szCs w:val="20"/>
        </w:rPr>
      </w:pPr>
      <w:r>
        <w:rPr>
          <w:sz w:val="20"/>
          <w:szCs w:val="20"/>
        </w:rPr>
      </w:r>
    </w:p>
    <w:p>
      <w:pPr>
        <w:pStyle w:val="LOnormal"/>
        <w:ind w:left="390" w:right="-5" w:hanging="350"/>
        <w:rPr>
          <w:sz w:val="20"/>
          <w:szCs w:val="20"/>
        </w:rPr>
      </w:pPr>
      <w:r>
        <w:rPr>
          <w:sz w:val="20"/>
          <w:szCs w:val="20"/>
        </w:rPr>
        <w:t>8. Dodavatel prohlašuje, že uvedený objekt splňuje hygienické podmínky ubytovácího a stravovacího zařízení.</w:t>
      </w:r>
    </w:p>
    <w:p>
      <w:pPr>
        <w:pStyle w:val="LOnormal"/>
        <w:ind w:left="390" w:right="-5" w:hanging="350"/>
        <w:rPr>
          <w:sz w:val="20"/>
          <w:szCs w:val="20"/>
        </w:rPr>
      </w:pPr>
      <w:r>
        <w:rPr>
          <w:sz w:val="20"/>
          <w:szCs w:val="20"/>
        </w:rPr>
      </w:r>
    </w:p>
    <w:p>
      <w:pPr>
        <w:pStyle w:val="LOnormal"/>
        <w:ind w:left="390" w:right="-5" w:hanging="350"/>
        <w:rPr>
          <w:sz w:val="20"/>
          <w:szCs w:val="20"/>
        </w:rPr>
      </w:pPr>
      <w:r>
        <w:rPr>
          <w:sz w:val="20"/>
          <w:szCs w:val="20"/>
        </w:rPr>
        <w:t xml:space="preserve">9. Strany se dohodly na souhrnné ceně za výše uvedené služby v celkové výši 3 700Kč za každé platící dítě. V ceně je zahrnuto ubytování, stravování. Odměna vychovatelů, Zdravotní péče (vybavená lékárnička), noční dozor a pobyt učitelů. </w:t>
      </w:r>
      <w:r>
        <w:rPr>
          <w:sz w:val="20"/>
          <w:szCs w:val="20"/>
        </w:rPr>
        <w:drawing>
          <wp:inline distT="0" distB="0" distL="0" distR="0">
            <wp:extent cx="14605" cy="14605"/>
            <wp:effectExtent l="0" t="0" r="0" b="0"/>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2"/>
                    <a:stretch>
                      <a:fillRect/>
                    </a:stretch>
                  </pic:blipFill>
                  <pic:spPr bwMode="auto">
                    <a:xfrm>
                      <a:off x="0" y="0"/>
                      <a:ext cx="14605" cy="14605"/>
                    </a:xfrm>
                    <a:prstGeom prst="rect">
                      <a:avLst/>
                    </a:prstGeom>
                  </pic:spPr>
                </pic:pic>
              </a:graphicData>
            </a:graphic>
          </wp:inline>
        </w:drawing>
      </w:r>
      <w:r>
        <w:rPr>
          <w:sz w:val="20"/>
          <w:szCs w:val="20"/>
        </w:rPr>
        <w:t>Všechny služby jsou cenové kalkulovány na početní stavy uvedené v bodě této smlouvy. Pokud se platící dítě nezúčastní pobytu v celé délce, naleží mu za každý celý pobytový den, které nestrávilo ve středisku, paušální částka 160, Kč (stravné, ubytováni}.</w:t>
      </w:r>
    </w:p>
    <w:p>
      <w:pPr>
        <w:pStyle w:val="LOnormal"/>
        <w:ind w:left="390" w:right="-5" w:hanging="350"/>
        <w:rPr>
          <w:sz w:val="20"/>
          <w:szCs w:val="20"/>
        </w:rPr>
      </w:pPr>
      <w:r>
        <w:rPr>
          <w:sz w:val="20"/>
          <w:szCs w:val="20"/>
        </w:rPr>
        <w:br/>
        <w:t>Předchozí dvé věty platí jen za předpokladu, že odběratel dodržel ustanovení smlouvy týkající se minimálního průměrného počtu platících účastníků pobytů</w:t>
      </w:r>
      <w:r>
        <w:rPr>
          <w:sz w:val="20"/>
          <w:szCs w:val="20"/>
        </w:rPr>
        <w:drawing>
          <wp:inline distT="0" distB="0" distL="0" distR="0">
            <wp:extent cx="25400" cy="25400"/>
            <wp:effectExtent l="0" t="0" r="0" b="0"/>
            <wp:docPr id="2"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descr=""/>
                    <pic:cNvPicPr>
                      <a:picLocks noChangeAspect="1" noChangeArrowheads="1"/>
                    </pic:cNvPicPr>
                  </pic:nvPicPr>
                  <pic:blipFill>
                    <a:blip r:embed="rId3"/>
                    <a:stretch>
                      <a:fillRect/>
                    </a:stretch>
                  </pic:blipFill>
                  <pic:spPr bwMode="auto">
                    <a:xfrm>
                      <a:off x="0" y="0"/>
                      <a:ext cx="25400" cy="25400"/>
                    </a:xfrm>
                    <a:prstGeom prst="rect">
                      <a:avLst/>
                    </a:prstGeom>
                  </pic:spPr>
                </pic:pic>
              </a:graphicData>
            </a:graphic>
          </wp:inline>
        </w:drawing>
      </w:r>
    </w:p>
    <w:p>
      <w:pPr>
        <w:pStyle w:val="LOnormal"/>
        <w:ind w:left="390" w:right="-5" w:hanging="350"/>
        <w:rPr>
          <w:sz w:val="20"/>
          <w:szCs w:val="20"/>
        </w:rPr>
      </w:pPr>
      <w:r>
        <w:rPr>
          <w:sz w:val="20"/>
          <w:szCs w:val="20"/>
        </w:rPr>
      </w:r>
    </w:p>
    <w:p>
      <w:pPr>
        <w:pStyle w:val="LOnormal"/>
        <w:ind w:left="355" w:right="-5" w:hanging="355"/>
        <w:rPr>
          <w:sz w:val="20"/>
          <w:szCs w:val="20"/>
        </w:rPr>
      </w:pPr>
      <w:r>
        <w:rPr>
          <w:sz w:val="20"/>
          <w:szCs w:val="20"/>
        </w:rPr>
        <w:t>10. Úhrada za poskytnuté služby bude provedena ve dvou splátkách První splátku ve výši 50% z celkové ceny (tj. Částku 48 100,- Kč) se odběratel zavazuje uhradit nejpozději do 3. 5. 2022. Druhou splátku ve výši 50% z celkové ceny (tj. Částku 48 100,- Kč) se odběratel zavazuje uhradit nejpozději do 14. 6. 2022 na bankovní účet: xxxxxxxx/xxxx.</w:t>
      </w:r>
    </w:p>
    <w:p>
      <w:pPr>
        <w:pStyle w:val="LOnormal"/>
        <w:ind w:left="355" w:right="-5" w:hanging="355"/>
        <w:rPr>
          <w:sz w:val="20"/>
          <w:szCs w:val="20"/>
        </w:rPr>
      </w:pPr>
      <w:r>
        <w:rPr>
          <w:sz w:val="20"/>
          <w:szCs w:val="20"/>
        </w:rPr>
      </w:r>
    </w:p>
    <w:p>
      <w:pPr>
        <w:pStyle w:val="LOnormal"/>
        <w:ind w:left="355" w:right="-5" w:hanging="355"/>
        <w:rPr>
          <w:sz w:val="20"/>
          <w:szCs w:val="20"/>
        </w:rPr>
      </w:pPr>
      <w:r>
        <w:rPr>
          <w:sz w:val="20"/>
          <w:szCs w:val="20"/>
        </w:rPr>
        <w:t>11.Tato smlouva nabývá účinnosti dnem podpisu oběma smluvními stranami. Obě smluvní strany prohlašuji, že tuto smlouvu uzavírají svobodně a že je obsah této smlouvy pro ně určitý a srozumitelný, Níže podepsaní prohlašuji, Že jsou oprávněni uzavřít tuto smlouvu, resp. jednat jménem smluvní strany.</w:t>
      </w:r>
    </w:p>
    <w:p>
      <w:pPr>
        <w:pStyle w:val="LOnormal"/>
        <w:ind w:left="355" w:right="-5" w:hanging="355"/>
        <w:rPr>
          <w:sz w:val="20"/>
          <w:szCs w:val="20"/>
        </w:rPr>
      </w:pPr>
      <w:r>
        <w:rPr>
          <w:sz w:val="20"/>
          <w:szCs w:val="20"/>
        </w:rPr>
      </w:r>
    </w:p>
    <w:p>
      <w:pPr>
        <w:pStyle w:val="LOnormal"/>
        <w:ind w:left="355" w:right="-5" w:hanging="355"/>
        <w:rPr>
          <w:sz w:val="20"/>
          <w:szCs w:val="20"/>
        </w:rPr>
      </w:pPr>
      <w:r>
        <w:rPr>
          <w:sz w:val="20"/>
          <w:szCs w:val="20"/>
        </w:rPr>
        <w:t>12. Tato smlouva podlého zveřejnění v registru smluv, a smluvní strany souhlasí se zveřejněním v plném rozsahu. Zveřejnění smlouvy provede dodavatel.</w:t>
      </w:r>
    </w:p>
    <w:p>
      <w:pPr>
        <w:pStyle w:val="LOnormal"/>
        <w:ind w:left="355" w:right="-5" w:hanging="355"/>
        <w:rPr>
          <w:sz w:val="20"/>
          <w:szCs w:val="20"/>
        </w:rPr>
      </w:pPr>
      <w:r>
        <w:rPr>
          <w:sz w:val="20"/>
          <w:szCs w:val="20"/>
        </w:rPr>
      </w:r>
    </w:p>
    <w:p>
      <w:pPr>
        <w:pStyle w:val="LOnormal"/>
        <w:ind w:left="355" w:right="-5" w:hanging="355"/>
        <w:rPr>
          <w:sz w:val="20"/>
          <w:szCs w:val="20"/>
        </w:rPr>
      </w:pPr>
      <w:r>
        <w:rPr>
          <w:sz w:val="20"/>
          <w:szCs w:val="20"/>
        </w:rPr>
        <w:t>13.Tato smlouva se vyhotovuje ve dvou stejnopisech, z nichž po jednom obdrží každá strana. Případně změny či doplňky této smlouvy jsou uzavřeny pouze písemnou formou.</w:t>
      </w:r>
    </w:p>
    <w:p>
      <w:pPr>
        <w:sectPr>
          <w:type w:val="nextPage"/>
          <w:pgSz w:w="12040" w:h="16920"/>
          <w:pgMar w:left="1280" w:right="1340" w:header="0" w:top="1221" w:footer="0" w:bottom="1835" w:gutter="0"/>
          <w:pgNumType w:start="1" w:fmt="decimal"/>
          <w:formProt w:val="false"/>
          <w:textDirection w:val="lrTb"/>
          <w:docGrid w:type="default" w:linePitch="100" w:charSpace="0"/>
        </w:sectPr>
      </w:pPr>
    </w:p>
    <w:p>
      <w:pPr>
        <w:pStyle w:val="LOnormal"/>
        <w:spacing w:lineRule="auto" w:line="259" w:before="0" w:after="25"/>
        <w:ind w:left="-920" w:right="-1020" w:hanging="0"/>
        <w:jc w:val="left"/>
        <w:rPr>
          <w:sz w:val="20"/>
          <w:szCs w:val="20"/>
        </w:rPr>
      </w:pPr>
      <w:r>
        <w:rPr>
          <w:sz w:val="20"/>
          <w:szCs w:val="20"/>
        </w:rPr>
      </w:r>
    </w:p>
    <w:tbl>
      <w:tblPr>
        <w:tblStyle w:val="Table1"/>
        <w:tblW w:w="7510" w:type="dxa"/>
        <w:jc w:val="left"/>
        <w:tblInd w:w="0" w:type="dxa"/>
        <w:tblLayout w:type="fixed"/>
        <w:tblCellMar>
          <w:top w:w="0" w:type="dxa"/>
          <w:left w:w="108" w:type="dxa"/>
          <w:bottom w:w="0" w:type="dxa"/>
          <w:right w:w="108" w:type="dxa"/>
        </w:tblCellMar>
        <w:tblLook w:val="0400"/>
      </w:tblPr>
      <w:tblGrid>
        <w:gridCol w:w="5075"/>
        <w:gridCol w:w="1960"/>
        <w:gridCol w:w="475"/>
      </w:tblGrid>
      <w:tr>
        <w:trPr>
          <w:trHeight w:val="230" w:hRule="atLeast"/>
        </w:trPr>
        <w:tc>
          <w:tcPr>
            <w:tcW w:w="5075" w:type="dxa"/>
            <w:tcBorders/>
          </w:tcPr>
          <w:p>
            <w:pPr>
              <w:pStyle w:val="LOnormal"/>
              <w:widowControl w:val="false"/>
              <w:spacing w:lineRule="auto" w:line="259" w:before="0" w:after="0"/>
              <w:ind w:left="0" w:hanging="0"/>
              <w:jc w:val="left"/>
              <w:rPr>
                <w:sz w:val="20"/>
                <w:szCs w:val="20"/>
              </w:rPr>
            </w:pPr>
            <w:r>
              <w:rPr>
                <w:sz w:val="20"/>
                <w:szCs w:val="20"/>
              </w:rPr>
              <w:t>V Praze dne</w:t>
            </w:r>
          </w:p>
        </w:tc>
        <w:tc>
          <w:tcPr>
            <w:tcW w:w="1960" w:type="dxa"/>
            <w:tcBorders/>
          </w:tcPr>
          <w:p>
            <w:pPr>
              <w:pStyle w:val="LOnormal"/>
              <w:widowControl w:val="false"/>
              <w:tabs>
                <w:tab w:val="clear" w:pos="720"/>
                <w:tab w:val="center" w:pos="1000" w:leader="none"/>
                <w:tab w:val="center" w:pos="1770" w:leader="none"/>
                <w:tab w:val="center" w:pos="1840" w:leader="none"/>
                <w:tab w:val="right" w:pos="1960" w:leader="none"/>
              </w:tabs>
              <w:spacing w:lineRule="auto" w:line="259" w:before="0" w:after="0"/>
              <w:ind w:left="0" w:hanging="0"/>
              <w:jc w:val="left"/>
              <w:rPr>
                <w:sz w:val="20"/>
                <w:szCs w:val="20"/>
              </w:rPr>
            </w:pPr>
            <w:r>
              <w:rPr>
                <w:sz w:val="20"/>
                <w:szCs w:val="20"/>
              </w:rPr>
              <w:tab/>
              <w:t xml:space="preserve">12.4.2022 </w:t>
            </w:r>
            <w:r>
              <w:rPr>
                <w:sz w:val="20"/>
                <w:szCs w:val="20"/>
              </w:rPr>
              <w:drawing>
                <wp:inline distT="0" distB="0" distL="0" distR="0">
                  <wp:extent cx="25400" cy="25400"/>
                  <wp:effectExtent l="0" t="0" r="0" b="0"/>
                  <wp:docPr id="3"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descr=""/>
                          <pic:cNvPicPr>
                            <a:picLocks noChangeAspect="1" noChangeArrowheads="1"/>
                          </pic:cNvPicPr>
                        </pic:nvPicPr>
                        <pic:blipFill>
                          <a:blip r:embed="rId4"/>
                          <a:stretch>
                            <a:fillRect/>
                          </a:stretch>
                        </pic:blipFill>
                        <pic:spPr bwMode="auto">
                          <a:xfrm>
                            <a:off x="0" y="0"/>
                            <a:ext cx="25400" cy="25400"/>
                          </a:xfrm>
                          <a:prstGeom prst="rect">
                            <a:avLst/>
                          </a:prstGeom>
                        </pic:spPr>
                      </pic:pic>
                    </a:graphicData>
                  </a:graphic>
                </wp:inline>
              </w:drawing>
            </w:r>
            <w:r>
              <w:rPr>
                <w:sz w:val="20"/>
                <w:szCs w:val="20"/>
              </w:rPr>
              <w:tab/>
            </w:r>
            <w:r>
              <w:rPr>
                <w:sz w:val="20"/>
                <w:szCs w:val="20"/>
              </w:rPr>
              <w:drawing>
                <wp:inline distT="0" distB="0" distL="0" distR="0">
                  <wp:extent cx="14605" cy="25400"/>
                  <wp:effectExtent l="0" t="0" r="0" b="0"/>
                  <wp:docPr id="4" name="image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descr=""/>
                          <pic:cNvPicPr>
                            <a:picLocks noChangeAspect="1" noChangeArrowheads="1"/>
                          </pic:cNvPicPr>
                        </pic:nvPicPr>
                        <pic:blipFill>
                          <a:blip r:embed="rId5"/>
                          <a:stretch>
                            <a:fillRect/>
                          </a:stretch>
                        </pic:blipFill>
                        <pic:spPr bwMode="auto">
                          <a:xfrm>
                            <a:off x="0" y="0"/>
                            <a:ext cx="14605" cy="25400"/>
                          </a:xfrm>
                          <a:prstGeom prst="rect">
                            <a:avLst/>
                          </a:prstGeom>
                        </pic:spPr>
                      </pic:pic>
                    </a:graphicData>
                  </a:graphic>
                </wp:inline>
              </w:drawing>
            </w:r>
            <w:r>
              <w:rPr>
                <w:sz w:val="20"/>
                <w:szCs w:val="20"/>
              </w:rPr>
              <w:tab/>
            </w:r>
            <w:r>
              <w:rPr>
                <w:sz w:val="20"/>
                <w:szCs w:val="20"/>
              </w:rPr>
              <w:drawing>
                <wp:inline distT="0" distB="0" distL="0" distR="0">
                  <wp:extent cx="25400" cy="25400"/>
                  <wp:effectExtent l="0" t="0" r="0" b="0"/>
                  <wp:docPr id="5"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png" descr=""/>
                          <pic:cNvPicPr>
                            <a:picLocks noChangeAspect="1" noChangeArrowheads="1"/>
                          </pic:cNvPicPr>
                        </pic:nvPicPr>
                        <pic:blipFill>
                          <a:blip r:embed="rId6"/>
                          <a:stretch>
                            <a:fillRect/>
                          </a:stretch>
                        </pic:blipFill>
                        <pic:spPr bwMode="auto">
                          <a:xfrm>
                            <a:off x="0" y="0"/>
                            <a:ext cx="25400" cy="25400"/>
                          </a:xfrm>
                          <a:prstGeom prst="rect">
                            <a:avLst/>
                          </a:prstGeom>
                        </pic:spPr>
                      </pic:pic>
                    </a:graphicData>
                  </a:graphic>
                </wp:inline>
              </w:drawing>
            </w:r>
            <w:r>
              <w:rPr>
                <w:sz w:val="20"/>
                <w:szCs w:val="20"/>
              </w:rPr>
              <w:tab/>
            </w:r>
            <w:r>
              <w:rPr>
                <w:sz w:val="20"/>
                <w:szCs w:val="20"/>
              </w:rPr>
              <w:drawing>
                <wp:inline distT="0" distB="0" distL="0" distR="0">
                  <wp:extent cx="25400" cy="25400"/>
                  <wp:effectExtent l="0" t="0" r="0" b="0"/>
                  <wp:docPr id="6"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descr=""/>
                          <pic:cNvPicPr>
                            <a:picLocks noChangeAspect="1" noChangeArrowheads="1"/>
                          </pic:cNvPicPr>
                        </pic:nvPicPr>
                        <pic:blipFill>
                          <a:blip r:embed="rId7"/>
                          <a:stretch>
                            <a:fillRect/>
                          </a:stretch>
                        </pic:blipFill>
                        <pic:spPr bwMode="auto">
                          <a:xfrm>
                            <a:off x="0" y="0"/>
                            <a:ext cx="25400" cy="25400"/>
                          </a:xfrm>
                          <a:prstGeom prst="rect">
                            <a:avLst/>
                          </a:prstGeom>
                        </pic:spPr>
                      </pic:pic>
                    </a:graphicData>
                  </a:graphic>
                </wp:inline>
              </w:drawing>
            </w:r>
          </w:p>
        </w:tc>
        <w:tc>
          <w:tcPr>
            <w:tcW w:w="475" w:type="dxa"/>
            <w:tcBorders/>
            <w:vAlign w:val="bottom"/>
          </w:tcPr>
          <w:p>
            <w:pPr>
              <w:pStyle w:val="LOnormal"/>
              <w:widowControl w:val="false"/>
              <w:spacing w:lineRule="auto" w:line="259" w:before="0" w:after="0"/>
              <w:ind w:left="20" w:hanging="0"/>
              <w:jc w:val="left"/>
              <w:rPr>
                <w:sz w:val="20"/>
                <w:szCs w:val="20"/>
              </w:rPr>
            </w:pPr>
            <w:r>
              <w:rPr>
                <w:sz w:val="20"/>
                <w:szCs w:val="20"/>
              </w:rPr>
            </w:r>
          </w:p>
        </w:tc>
      </w:tr>
    </w:tbl>
    <w:p>
      <w:pPr>
        <w:pStyle w:val="LOnormal"/>
        <w:tabs>
          <w:tab w:val="clear" w:pos="720"/>
          <w:tab w:val="right" w:pos="7460" w:leader="none"/>
        </w:tabs>
        <w:spacing w:lineRule="auto" w:line="259" w:before="0" w:after="0"/>
        <w:ind w:left="0" w:hanging="0"/>
        <w:jc w:val="left"/>
        <w:rPr>
          <w:sz w:val="20"/>
          <w:szCs w:val="20"/>
        </w:rPr>
      </w:pPr>
      <w:r>
        <w:rPr>
          <w:sz w:val="20"/>
          <w:szCs w:val="20"/>
        </w:rPr>
        <w:t>Dodavatel</w:t>
      </w:r>
    </w:p>
    <w:p>
      <w:pPr>
        <w:pStyle w:val="LOnormal"/>
        <w:tabs>
          <w:tab w:val="clear" w:pos="720"/>
          <w:tab w:val="right" w:pos="7460" w:leader="none"/>
        </w:tabs>
        <w:spacing w:lineRule="auto" w:line="259" w:before="0" w:after="0"/>
        <w:ind w:left="0" w:hanging="0"/>
        <w:jc w:val="left"/>
        <w:rPr>
          <w:sz w:val="20"/>
          <w:szCs w:val="20"/>
        </w:rPr>
      </w:pPr>
      <w:r>
        <w:rPr>
          <w:sz w:val="20"/>
          <w:szCs w:val="20"/>
        </w:rPr>
        <w:tab/>
        <w:t>Odběratel</w:t>
      </w:r>
    </w:p>
    <w:tbl>
      <w:tblPr>
        <w:tblStyle w:val="Table2"/>
        <w:tblW w:w="7739" w:type="dxa"/>
        <w:jc w:val="left"/>
        <w:tblInd w:w="11" w:type="dxa"/>
        <w:tblLayout w:type="fixed"/>
        <w:tblCellMar>
          <w:top w:w="0" w:type="dxa"/>
          <w:left w:w="108" w:type="dxa"/>
          <w:bottom w:w="0" w:type="dxa"/>
          <w:right w:w="108" w:type="dxa"/>
        </w:tblCellMar>
        <w:tblLook w:val="0400"/>
      </w:tblPr>
      <w:tblGrid>
        <w:gridCol w:w="3598"/>
        <w:gridCol w:w="4140"/>
      </w:tblGrid>
      <w:tr>
        <w:trPr>
          <w:trHeight w:val="1243" w:hRule="atLeast"/>
        </w:trPr>
        <w:tc>
          <w:tcPr>
            <w:tcW w:w="3598" w:type="dxa"/>
            <w:tcBorders/>
          </w:tcPr>
          <w:p>
            <w:pPr>
              <w:pStyle w:val="LOnormal"/>
              <w:widowControl w:val="false"/>
              <w:spacing w:lineRule="auto" w:line="259" w:before="0" w:after="0"/>
              <w:ind w:left="-2231" w:right="1875" w:hanging="0"/>
              <w:jc w:val="left"/>
              <w:rPr>
                <w:sz w:val="20"/>
                <w:szCs w:val="20"/>
              </w:rPr>
            </w:pPr>
            <w:r>
              <w:rPr>
                <w:sz w:val="20"/>
                <w:szCs w:val="20"/>
              </w:rPr>
            </w:r>
          </w:p>
          <w:p>
            <w:pPr>
              <w:pStyle w:val="LOnormal"/>
              <w:widowControl w:val="false"/>
              <w:spacing w:lineRule="auto" w:line="259" w:before="0" w:after="160"/>
              <w:ind w:left="0" w:hanging="0"/>
              <w:jc w:val="left"/>
              <w:rPr>
                <w:sz w:val="20"/>
                <w:szCs w:val="20"/>
              </w:rPr>
            </w:pPr>
            <w:r>
              <w:rPr>
                <w:sz w:val="20"/>
                <w:szCs w:val="20"/>
              </w:rPr>
            </w:r>
          </w:p>
        </w:tc>
        <w:tc>
          <w:tcPr>
            <w:tcW w:w="4140" w:type="dxa"/>
            <w:tcBorders/>
          </w:tcPr>
          <w:p>
            <w:pPr>
              <w:pStyle w:val="LOnormal"/>
              <w:widowControl w:val="false"/>
              <w:spacing w:lineRule="auto" w:line="259" w:before="0" w:after="0"/>
              <w:ind w:left="1525" w:hanging="0"/>
              <w:jc w:val="left"/>
              <w:rPr>
                <w:sz w:val="20"/>
                <w:szCs w:val="20"/>
              </w:rPr>
            </w:pPr>
            <w:r>
              <w:rPr>
                <w:sz w:val="20"/>
                <w:szCs w:val="20"/>
              </w:rPr>
            </w:r>
          </w:p>
        </w:tc>
      </w:tr>
    </w:tbl>
    <w:p>
      <w:pPr>
        <w:pStyle w:val="LOnormal"/>
        <w:widowControl/>
        <w:bidi w:val="0"/>
        <w:spacing w:lineRule="auto" w:line="216" w:before="0" w:after="3"/>
        <w:ind w:left="390" w:hanging="350"/>
        <w:jc w:val="both"/>
        <w:rPr>
          <w:sz w:val="20"/>
          <w:szCs w:val="20"/>
        </w:rPr>
      </w:pPr>
      <w:r>
        <w:rPr>
          <w:sz w:val="20"/>
          <w:szCs w:val="20"/>
        </w:rPr>
      </w:r>
    </w:p>
    <w:sectPr>
      <w:type w:val="continuous"/>
      <w:pgSz w:w="12040" w:h="16920"/>
      <w:pgMar w:left="1280" w:right="1340" w:header="0" w:top="1221" w:footer="0" w:bottom="1835" w:gutter="0"/>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Georgia">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3"/>
      <w:numFmt w:val="decimal"/>
      <w:lvlText w:val="%1."/>
      <w:lvlJc w:val="left"/>
      <w:pPr>
        <w:tabs>
          <w:tab w:val="num" w:pos="0"/>
        </w:tabs>
        <w:ind w:left="355" w:hanging="355"/>
      </w:pPr>
      <w:rPr>
        <w:dstrike w:val="false"/>
        <w:strike w:val="false"/>
        <w:vertAlign w:val="baseline"/>
        <w:position w:val="0"/>
        <w:sz w:val="26"/>
        <w:sz w:val="26"/>
        <w:i w:val="false"/>
        <w:u w:val="none"/>
        <w:b w:val="false"/>
        <w:shd w:fill="auto" w:val="clear"/>
        <w:szCs w:val="26"/>
        <w:rFonts w:ascii="Calibri" w:hAnsi="Calibri" w:eastAsia="Calibri" w:cs="Calibri"/>
        <w:color w:val="000000"/>
      </w:rPr>
    </w:lvl>
    <w:lvl w:ilvl="1">
      <w:start w:val="1"/>
      <w:numFmt w:val="lowerLetter"/>
      <w:lvlText w:val="%2"/>
      <w:lvlJc w:val="left"/>
      <w:pPr>
        <w:tabs>
          <w:tab w:val="num" w:pos="0"/>
        </w:tabs>
        <w:ind w:left="1080" w:hanging="1080"/>
      </w:pPr>
      <w:rPr>
        <w:dstrike w:val="false"/>
        <w:strike w:val="false"/>
        <w:vertAlign w:val="baseline"/>
        <w:position w:val="0"/>
        <w:sz w:val="26"/>
        <w:sz w:val="26"/>
        <w:i w:val="false"/>
        <w:u w:val="none"/>
        <w:b w:val="false"/>
        <w:shd w:fill="auto" w:val="clear"/>
        <w:szCs w:val="26"/>
        <w:rFonts w:ascii="Calibri" w:hAnsi="Calibri" w:eastAsia="Calibri" w:cs="Calibri"/>
        <w:color w:val="000000"/>
      </w:rPr>
    </w:lvl>
    <w:lvl w:ilvl="2">
      <w:start w:val="1"/>
      <w:numFmt w:val="lowerRoman"/>
      <w:lvlText w:val="%3"/>
      <w:lvlJc w:val="left"/>
      <w:pPr>
        <w:tabs>
          <w:tab w:val="num" w:pos="0"/>
        </w:tabs>
        <w:ind w:left="1800" w:hanging="1800"/>
      </w:pPr>
      <w:rPr>
        <w:dstrike w:val="false"/>
        <w:strike w:val="false"/>
        <w:vertAlign w:val="baseline"/>
        <w:position w:val="0"/>
        <w:sz w:val="26"/>
        <w:sz w:val="26"/>
        <w:i w:val="false"/>
        <w:u w:val="none"/>
        <w:b w:val="false"/>
        <w:shd w:fill="auto" w:val="clear"/>
        <w:szCs w:val="26"/>
        <w:rFonts w:ascii="Calibri" w:hAnsi="Calibri" w:eastAsia="Calibri" w:cs="Calibri"/>
        <w:color w:val="000000"/>
      </w:rPr>
    </w:lvl>
    <w:lvl w:ilvl="3">
      <w:start w:val="1"/>
      <w:numFmt w:val="decimal"/>
      <w:lvlText w:val="%4"/>
      <w:lvlJc w:val="left"/>
      <w:pPr>
        <w:tabs>
          <w:tab w:val="num" w:pos="0"/>
        </w:tabs>
        <w:ind w:left="2520" w:hanging="2520"/>
      </w:pPr>
      <w:rPr>
        <w:dstrike w:val="false"/>
        <w:strike w:val="false"/>
        <w:vertAlign w:val="baseline"/>
        <w:position w:val="0"/>
        <w:sz w:val="26"/>
        <w:sz w:val="26"/>
        <w:i w:val="false"/>
        <w:u w:val="none"/>
        <w:b w:val="false"/>
        <w:shd w:fill="auto" w:val="clear"/>
        <w:szCs w:val="26"/>
        <w:rFonts w:ascii="Calibri" w:hAnsi="Calibri" w:eastAsia="Calibri" w:cs="Calibri"/>
        <w:color w:val="000000"/>
      </w:rPr>
    </w:lvl>
    <w:lvl w:ilvl="4">
      <w:start w:val="1"/>
      <w:numFmt w:val="lowerLetter"/>
      <w:lvlText w:val="%5"/>
      <w:lvlJc w:val="left"/>
      <w:pPr>
        <w:tabs>
          <w:tab w:val="num" w:pos="0"/>
        </w:tabs>
        <w:ind w:left="3240" w:hanging="3240"/>
      </w:pPr>
      <w:rPr>
        <w:dstrike w:val="false"/>
        <w:strike w:val="false"/>
        <w:vertAlign w:val="baseline"/>
        <w:position w:val="0"/>
        <w:sz w:val="26"/>
        <w:sz w:val="26"/>
        <w:i w:val="false"/>
        <w:u w:val="none"/>
        <w:b w:val="false"/>
        <w:shd w:fill="auto" w:val="clear"/>
        <w:szCs w:val="26"/>
        <w:rFonts w:ascii="Calibri" w:hAnsi="Calibri" w:eastAsia="Calibri" w:cs="Calibri"/>
        <w:color w:val="000000"/>
      </w:rPr>
    </w:lvl>
    <w:lvl w:ilvl="5">
      <w:start w:val="1"/>
      <w:numFmt w:val="lowerRoman"/>
      <w:lvlText w:val="%6"/>
      <w:lvlJc w:val="left"/>
      <w:pPr>
        <w:tabs>
          <w:tab w:val="num" w:pos="0"/>
        </w:tabs>
        <w:ind w:left="3960" w:hanging="3960"/>
      </w:pPr>
      <w:rPr>
        <w:dstrike w:val="false"/>
        <w:strike w:val="false"/>
        <w:vertAlign w:val="baseline"/>
        <w:position w:val="0"/>
        <w:sz w:val="26"/>
        <w:sz w:val="26"/>
        <w:i w:val="false"/>
        <w:u w:val="none"/>
        <w:b w:val="false"/>
        <w:shd w:fill="auto" w:val="clear"/>
        <w:szCs w:val="26"/>
        <w:rFonts w:ascii="Calibri" w:hAnsi="Calibri" w:eastAsia="Calibri" w:cs="Calibri"/>
        <w:color w:val="000000"/>
      </w:rPr>
    </w:lvl>
    <w:lvl w:ilvl="6">
      <w:start w:val="1"/>
      <w:numFmt w:val="decimal"/>
      <w:lvlText w:val="%7"/>
      <w:lvlJc w:val="left"/>
      <w:pPr>
        <w:tabs>
          <w:tab w:val="num" w:pos="0"/>
        </w:tabs>
        <w:ind w:left="4680" w:hanging="4680"/>
      </w:pPr>
      <w:rPr>
        <w:dstrike w:val="false"/>
        <w:strike w:val="false"/>
        <w:vertAlign w:val="baseline"/>
        <w:position w:val="0"/>
        <w:sz w:val="26"/>
        <w:sz w:val="26"/>
        <w:i w:val="false"/>
        <w:u w:val="none"/>
        <w:b w:val="false"/>
        <w:shd w:fill="auto" w:val="clear"/>
        <w:szCs w:val="26"/>
        <w:rFonts w:ascii="Calibri" w:hAnsi="Calibri" w:eastAsia="Calibri" w:cs="Calibri"/>
        <w:color w:val="000000"/>
      </w:rPr>
    </w:lvl>
    <w:lvl w:ilvl="7">
      <w:start w:val="1"/>
      <w:numFmt w:val="lowerLetter"/>
      <w:lvlText w:val="%8"/>
      <w:lvlJc w:val="left"/>
      <w:pPr>
        <w:tabs>
          <w:tab w:val="num" w:pos="0"/>
        </w:tabs>
        <w:ind w:left="5400" w:hanging="5400"/>
      </w:pPr>
      <w:rPr>
        <w:dstrike w:val="false"/>
        <w:strike w:val="false"/>
        <w:vertAlign w:val="baseline"/>
        <w:position w:val="0"/>
        <w:sz w:val="26"/>
        <w:sz w:val="26"/>
        <w:i w:val="false"/>
        <w:u w:val="none"/>
        <w:b w:val="false"/>
        <w:shd w:fill="auto" w:val="clear"/>
        <w:szCs w:val="26"/>
        <w:rFonts w:ascii="Calibri" w:hAnsi="Calibri" w:eastAsia="Calibri" w:cs="Calibri"/>
        <w:color w:val="000000"/>
      </w:rPr>
    </w:lvl>
    <w:lvl w:ilvl="8">
      <w:start w:val="1"/>
      <w:numFmt w:val="lowerRoman"/>
      <w:lvlText w:val="%9"/>
      <w:lvlJc w:val="left"/>
      <w:pPr>
        <w:tabs>
          <w:tab w:val="num" w:pos="0"/>
        </w:tabs>
        <w:ind w:left="6120" w:hanging="6120"/>
      </w:pPr>
      <w:rPr>
        <w:dstrike w:val="false"/>
        <w:strike w:val="false"/>
        <w:vertAlign w:val="baseline"/>
        <w:position w:val="0"/>
        <w:sz w:val="26"/>
        <w:sz w:val="26"/>
        <w:i w:val="false"/>
        <w:u w:val="none"/>
        <w:b w:val="false"/>
        <w:shd w:fill="auto" w:val="clear"/>
        <w:szCs w:val="26"/>
        <w:rFonts w:ascii="Calibri" w:hAnsi="Calibri" w:eastAsia="Calibri" w:cs="Calibri"/>
        <w:color w:val="00000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4"/>
        <w:szCs w:val="24"/>
        <w:lang w:val="cs-CZ" w:eastAsia="zh-CN" w:bidi="hi-IN"/>
      </w:rPr>
    </w:rPrDefault>
    <w:pPrDefault>
      <w:pPr>
        <w:suppressAutoHyphens w:val="true"/>
      </w:pPr>
    </w:pPrDefault>
  </w:docDefaults>
  <w:style w:type="paragraph" w:styleId="Normal">
    <w:name w:val="Normal"/>
    <w:qFormat/>
    <w:pPr>
      <w:widowControl/>
      <w:suppressAutoHyphens w:val="true"/>
      <w:bidi w:val="0"/>
      <w:spacing w:lineRule="auto" w:line="216" w:before="0" w:after="3"/>
      <w:ind w:left="390" w:hanging="350"/>
      <w:jc w:val="both"/>
    </w:pPr>
    <w:rPr>
      <w:rFonts w:ascii="Calibri" w:hAnsi="Calibri" w:eastAsia="Calibri" w:cs="Calibri"/>
      <w:color w:val="auto"/>
      <w:kern w:val="0"/>
      <w:sz w:val="24"/>
      <w:szCs w:val="24"/>
      <w:lang w:val="cs-CZ" w:eastAsia="zh-CN" w:bidi="hi-IN"/>
    </w:rPr>
  </w:style>
  <w:style w:type="paragraph" w:styleId="Nadpis1">
    <w:name w:val="Heading 1"/>
    <w:basedOn w:val="LOnormal"/>
    <w:next w:val="LOnormal"/>
    <w:qFormat/>
    <w:pPr>
      <w:keepNext w:val="true"/>
      <w:keepLines/>
      <w:pageBreakBefore w:val="false"/>
      <w:spacing w:lineRule="auto" w:line="240" w:before="480" w:after="120"/>
    </w:pPr>
    <w:rPr>
      <w:b/>
      <w:sz w:val="48"/>
      <w:szCs w:val="48"/>
    </w:rPr>
  </w:style>
  <w:style w:type="paragraph" w:styleId="Nadpis2">
    <w:name w:val="Heading 2"/>
    <w:basedOn w:val="LOnormal"/>
    <w:next w:val="LOnormal"/>
    <w:qFormat/>
    <w:pPr>
      <w:keepNext w:val="true"/>
      <w:keepLines/>
      <w:pageBreakBefore w:val="false"/>
      <w:spacing w:lineRule="auto" w:line="240" w:before="360" w:after="80"/>
    </w:pPr>
    <w:rPr>
      <w:b/>
      <w:sz w:val="36"/>
      <w:szCs w:val="36"/>
    </w:rPr>
  </w:style>
  <w:style w:type="paragraph" w:styleId="Nadpis3">
    <w:name w:val="Heading 3"/>
    <w:basedOn w:val="LOnormal"/>
    <w:next w:val="LOnormal"/>
    <w:qFormat/>
    <w:pPr>
      <w:keepNext w:val="true"/>
      <w:keepLines/>
      <w:pageBreakBefore w:val="false"/>
      <w:spacing w:lineRule="auto" w:line="240" w:before="280" w:after="80"/>
    </w:pPr>
    <w:rPr>
      <w:b/>
      <w:sz w:val="28"/>
      <w:szCs w:val="28"/>
    </w:rPr>
  </w:style>
  <w:style w:type="paragraph" w:styleId="Nadpis4">
    <w:name w:val="Heading 4"/>
    <w:basedOn w:val="LOnormal"/>
    <w:next w:val="LOnormal"/>
    <w:qFormat/>
    <w:pPr>
      <w:keepNext w:val="true"/>
      <w:keepLines/>
      <w:pageBreakBefore w:val="false"/>
      <w:spacing w:lineRule="auto" w:line="240" w:before="240" w:after="40"/>
    </w:pPr>
    <w:rPr>
      <w:b/>
      <w:sz w:val="24"/>
      <w:szCs w:val="24"/>
    </w:rPr>
  </w:style>
  <w:style w:type="paragraph" w:styleId="Nadpis5">
    <w:name w:val="Heading 5"/>
    <w:basedOn w:val="LOnormal"/>
    <w:next w:val="LOnormal"/>
    <w:qFormat/>
    <w:pPr>
      <w:keepNext w:val="true"/>
      <w:keepLines/>
      <w:pageBreakBefore w:val="false"/>
      <w:spacing w:lineRule="auto" w:line="240" w:before="220" w:after="40"/>
    </w:pPr>
    <w:rPr>
      <w:b/>
      <w:sz w:val="22"/>
      <w:szCs w:val="22"/>
    </w:rPr>
  </w:style>
  <w:style w:type="paragraph" w:styleId="Nadpis6">
    <w:name w:val="Heading 6"/>
    <w:basedOn w:val="LOnormal"/>
    <w:next w:val="LOnormal"/>
    <w:qFormat/>
    <w:pPr>
      <w:keepNext w:val="true"/>
      <w:keepLines/>
      <w:pageBreakBefore w:val="false"/>
      <w:spacing w:lineRule="auto" w:line="240" w:before="200" w:after="40"/>
    </w:pPr>
    <w:rPr>
      <w:b/>
      <w:sz w:val="20"/>
      <w:szCs w:val="20"/>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LOnormal" w:default="1">
    <w:name w:val="LO-normal"/>
    <w:qFormat/>
    <w:pPr>
      <w:widowControl/>
      <w:suppressAutoHyphens w:val="true"/>
      <w:bidi w:val="0"/>
      <w:spacing w:lineRule="auto" w:line="216" w:before="0" w:after="3"/>
      <w:ind w:left="390" w:hanging="350"/>
      <w:jc w:val="both"/>
    </w:pPr>
    <w:rPr>
      <w:rFonts w:ascii="Calibri" w:hAnsi="Calibri" w:eastAsia="Calibri" w:cs="Calibri"/>
      <w:color w:val="auto"/>
      <w:kern w:val="0"/>
      <w:sz w:val="24"/>
      <w:szCs w:val="24"/>
      <w:lang w:val="cs-CZ" w:eastAsia="zh-CN" w:bidi="hi-IN"/>
    </w:rPr>
  </w:style>
  <w:style w:type="paragraph" w:styleId="Nzev">
    <w:name w:val="Title"/>
    <w:basedOn w:val="LOnormal"/>
    <w:next w:val="LOnormal"/>
    <w:qFormat/>
    <w:pPr>
      <w:keepNext w:val="true"/>
      <w:keepLines/>
      <w:pageBreakBefore w:val="false"/>
      <w:spacing w:lineRule="auto" w:line="240" w:before="480" w:after="120"/>
    </w:pPr>
    <w:rPr>
      <w:b/>
      <w:sz w:val="72"/>
      <w:szCs w:val="72"/>
    </w:rPr>
  </w:style>
  <w:style w:type="paragraph" w:styleId="Podtitul">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TotalTime>
  <Application>LibreOffice/7.0.3.1$Windows_X86_64 LibreOffice_project/d7547858d014d4cf69878db179d326fc3483e082</Application>
  <Pages>2</Pages>
  <Words>542</Words>
  <Characters>3134</Characters>
  <CharactersWithSpaces>3660</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cs-CZ</dc:language>
  <cp:lastModifiedBy/>
  <dcterms:modified xsi:type="dcterms:W3CDTF">2022-05-11T12:14:10Z</dcterms:modified>
  <cp:revision>2</cp:revision>
  <dc:subject/>
  <dc:title/>
</cp:coreProperties>
</file>