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3F" w:rsidRDefault="00C11933">
      <w:pPr>
        <w:spacing w:after="3" w:line="259" w:lineRule="auto"/>
        <w:ind w:left="456" w:hanging="10"/>
        <w:jc w:val="left"/>
      </w:pPr>
      <w:bookmarkStart w:id="0" w:name="_GoBack"/>
      <w:bookmarkEnd w:id="0"/>
      <w:r>
        <w:rPr>
          <w:sz w:val="30"/>
        </w:rPr>
        <w:t>UJEDNÁNÍ O PROVÁDĚNÍ KRIZOVÉHO OPATŘENÍ A NÁHRADĚ ŠKODY VZNIKLÉ PROVOZOVATELI PŘEPRAVNÍ SOUSTAVY V SOUVISLOSTI SE ZAJIŠTĚNÍM USKLADNĚNÍ PLYNU PRO SKLADOVACÍ ROK 2022/2023 V ZÁSOBNÍCÍCH PLYNU NA ÚZEMÍ ČESKÉ REPUBLIKY PŘIPOJENÝCH K PŘEPRAVNÍ SOUSTAVĚ ČESKÉ R</w:t>
      </w:r>
      <w:r>
        <w:rPr>
          <w:sz w:val="30"/>
        </w:rPr>
        <w:t>EPUBLIKY PODLE</w:t>
      </w:r>
    </w:p>
    <w:p w:rsidR="00D17A3F" w:rsidRDefault="00C11933">
      <w:pPr>
        <w:pStyle w:val="Nadpis1"/>
      </w:pPr>
      <w:r>
        <w:t>KRIZOVÉHO OPATŘENÍ</w:t>
      </w:r>
    </w:p>
    <w:p w:rsidR="00D17A3F" w:rsidRDefault="00C11933">
      <w:pPr>
        <w:ind w:left="118" w:right="136"/>
      </w:pPr>
      <w:r>
        <w:t>uzavřené mezi následujícími smluvními stranami:</w:t>
      </w:r>
    </w:p>
    <w:p w:rsidR="00D17A3F" w:rsidRDefault="00C11933">
      <w:pPr>
        <w:spacing w:after="207"/>
        <w:ind w:left="118" w:right="3950"/>
      </w:pPr>
      <w:r>
        <w:t xml:space="preserve">Česká republika — Ministerstvo průmyslu a obchodu, se sídlem Na Františku 32, 1 10 15 Praha l, IČO: 47609109, zastoupena Ing. Jozef </w:t>
      </w:r>
      <w:proofErr w:type="spellStart"/>
      <w:r>
        <w:t>Síkela</w:t>
      </w:r>
      <w:proofErr w:type="spellEnd"/>
      <w:r>
        <w:t>, ministr bankovní účet č. 1525001/0</w:t>
      </w:r>
      <w:r>
        <w:t>710 vedený u České národní banky</w:t>
      </w:r>
    </w:p>
    <w:p w:rsidR="00D17A3F" w:rsidRDefault="00C11933">
      <w:pPr>
        <w:spacing w:after="40" w:line="474" w:lineRule="auto"/>
        <w:ind w:left="118" w:right="7188"/>
      </w:pPr>
      <w:r>
        <w:rPr>
          <w:sz w:val="24"/>
        </w:rPr>
        <w:t>(dále jen „Ministerstvo”) a</w:t>
      </w:r>
    </w:p>
    <w:p w:rsidR="00D17A3F" w:rsidRDefault="00C11933">
      <w:pPr>
        <w:spacing w:after="13" w:line="265" w:lineRule="auto"/>
        <w:ind w:left="118"/>
      </w:pPr>
      <w:r>
        <w:rPr>
          <w:sz w:val="24"/>
        </w:rPr>
        <w:t>NET4GAS, s.r.o.,</w:t>
      </w:r>
    </w:p>
    <w:p w:rsidR="00D17A3F" w:rsidRDefault="00C11933">
      <w:pPr>
        <w:spacing w:after="9"/>
        <w:ind w:left="118" w:right="136"/>
      </w:pPr>
      <w:r>
        <w:t>Na Hřebenech 11 171 8/8,</w:t>
      </w:r>
    </w:p>
    <w:p w:rsidR="00D17A3F" w:rsidRDefault="00C11933">
      <w:pPr>
        <w:spacing w:after="23"/>
        <w:ind w:left="118" w:right="136"/>
      </w:pPr>
      <w:r>
        <w:rPr>
          <w:noProof/>
        </w:rPr>
        <w:drawing>
          <wp:inline distT="0" distB="0" distL="0" distR="0">
            <wp:extent cx="4569" cy="4570"/>
            <wp:effectExtent l="0" t="0" r="0" b="0"/>
            <wp:docPr id="164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14021 Praha 4,</w:t>
      </w:r>
    </w:p>
    <w:p w:rsidR="00D17A3F" w:rsidRDefault="00C11933">
      <w:pPr>
        <w:spacing w:after="24"/>
        <w:ind w:left="118" w:right="1374"/>
      </w:pPr>
      <w:r>
        <w:t xml:space="preserve">IČO: 27260364, zapsaná v obchodním rejstříku vedeném Městským soudem v Praze, oddíl C, vložka 108316, zastoupená: Andreas </w:t>
      </w:r>
      <w:proofErr w:type="spellStart"/>
      <w:r>
        <w:t>Rau</w:t>
      </w:r>
      <w:proofErr w:type="spellEnd"/>
      <w:r>
        <w:t>, jednatel</w:t>
      </w:r>
    </w:p>
    <w:p w:rsidR="00D17A3F" w:rsidRDefault="00C11933">
      <w:pPr>
        <w:spacing w:after="532"/>
        <w:ind w:left="115" w:right="2403" w:firstLine="1302"/>
      </w:pPr>
      <w:r>
        <w:t>V</w:t>
      </w:r>
      <w:r>
        <w:t>áclav Hrach, jednatel bankovní účet č. 217848053/0300 vedený u Československá obchodní banka, a.s.</w:t>
      </w:r>
    </w:p>
    <w:p w:rsidR="00D17A3F" w:rsidRDefault="00C11933">
      <w:pPr>
        <w:spacing w:after="317" w:line="265" w:lineRule="auto"/>
        <w:ind w:left="118"/>
      </w:pPr>
      <w:r>
        <w:rPr>
          <w:sz w:val="24"/>
        </w:rPr>
        <w:t>(dále jen „NET4GAS” nebo „Provozovatel přepravní soustavy”)</w:t>
      </w:r>
    </w:p>
    <w:p w:rsidR="00D17A3F" w:rsidRDefault="00C11933">
      <w:pPr>
        <w:spacing w:after="265"/>
        <w:ind w:left="118" w:right="136"/>
      </w:pPr>
      <w:r>
        <w:t>(Ministerstvo a NET4GAS dále společně také „Smluvní strany", jednotlivě „Smluvní strana”)</w:t>
      </w:r>
    </w:p>
    <w:p w:rsidR="00D17A3F" w:rsidRDefault="00C11933">
      <w:pPr>
        <w:spacing w:after="308" w:line="265" w:lineRule="auto"/>
        <w:ind w:left="118"/>
      </w:pPr>
      <w:r>
        <w:rPr>
          <w:sz w:val="24"/>
        </w:rPr>
        <w:t>VZHLEDEM K TOMU, ŽE:</w:t>
      </w:r>
    </w:p>
    <w:p w:rsidR="00D17A3F" w:rsidRDefault="00C11933">
      <w:pPr>
        <w:ind w:left="827" w:right="136" w:hanging="712"/>
      </w:pPr>
      <w:r>
        <w:rPr>
          <w:noProof/>
        </w:rPr>
        <w:drawing>
          <wp:inline distT="0" distB="0" distL="0" distR="0">
            <wp:extent cx="187339" cy="127961"/>
            <wp:effectExtent l="0" t="0" r="0" b="0"/>
            <wp:docPr id="25341" name="Picture 2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1" name="Picture 25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39" cy="12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NET4GAS byl jako držitel licence na přepravu plynu ve smyslu ustanovení S 4 odst. I písm. b) bod 2 ve spojení s </w:t>
      </w:r>
      <w:proofErr w:type="spellStart"/>
      <w:r>
        <w:t>S</w:t>
      </w:r>
      <w:proofErr w:type="spellEnd"/>
      <w:r>
        <w:t xml:space="preserve"> 4 odst. 2 zákona č. 458/2000 Sb., o podmínkách podnikání a o výkonu státní správy v energetických odvětvích a o změně ně</w:t>
      </w:r>
      <w:r>
        <w:t>kterých zákonů (energetický zákon), ve znění pozdějších předpisů (dále jen „Energetický zákon") krizovým opatřením Ministerstva č.j. MPO 22638/22/41200/01000 ze dne 28. dubna 2022 (dále jen „Krizové opatření”), vydaným podle S 12a zákona č. 240/2000 Sb., o</w:t>
      </w:r>
      <w:r>
        <w:t xml:space="preserve"> krizovém řízení a o změně některých zákonů (krizový zákon), ve znění pozdějších předpisů (dále jen „Krizový zákon”), pověřen k provádění aukcí na zajištění uskladnění plynu v zásobnících plynu na území České republiky (dále jen „Aukce”) za podmínek dále s</w:t>
      </w:r>
      <w:r>
        <w:t>tanovených v Krizovém opatření;</w:t>
      </w:r>
    </w:p>
    <w:p w:rsidR="00D17A3F" w:rsidRDefault="00C11933">
      <w:pPr>
        <w:numPr>
          <w:ilvl w:val="0"/>
          <w:numId w:val="1"/>
        </w:numPr>
        <w:ind w:left="842" w:right="136" w:hanging="727"/>
      </w:pPr>
      <w:r>
        <w:t>Povinnost organizovat Aukce pro skladovací rok 2022/2023 Provozovatelem přepravní soustavy znamená uzavření smluvního vztahu s obchodníky s plynem s případnou povinností hradit jim odměnu za uskladnění plynu a vzdání se práv</w:t>
      </w:r>
      <w:r>
        <w:t>a volné dispozice s plynem v zásobníku plynu;</w:t>
      </w:r>
    </w:p>
    <w:p w:rsidR="00D17A3F" w:rsidRDefault="00C11933">
      <w:pPr>
        <w:numPr>
          <w:ilvl w:val="0"/>
          <w:numId w:val="1"/>
        </w:numPr>
        <w:spacing w:after="369"/>
        <w:ind w:left="842" w:right="136" w:hanging="727"/>
      </w:pPr>
      <w:r>
        <w:lastRenderedPageBreak/>
        <w:t>Finanční prostředky vynaložené na odměnu obchodníkům s plynem v důsledku plnění Krizového opatření je však stát podle ustanovení S 36 Krizového zákona ve vztahu k Provozovateli přepravní soustavy povinen nahrad</w:t>
      </w:r>
      <w:r>
        <w:t>it jako škodu způsobenou v příčinné souvislosti s krizovými opatřeními přijatými podle Krizového zákona;</w:t>
      </w:r>
    </w:p>
    <w:p w:rsidR="00D17A3F" w:rsidRDefault="00C11933">
      <w:pPr>
        <w:numPr>
          <w:ilvl w:val="0"/>
          <w:numId w:val="1"/>
        </w:numPr>
        <w:spacing w:after="214"/>
        <w:ind w:left="842" w:right="136" w:hanging="727"/>
      </w:pPr>
      <w:r>
        <w:t xml:space="preserve">Ministerstvo má zájem tímto Ujednáním dohodnout s Provozovatelem přepravní soustavy podmínky pro praktické naplňování usnesení vlády č. 347 ze dne 27. </w:t>
      </w:r>
      <w:r>
        <w:t>dubna 2022 (dále jen „Usnesení vlády") tak, aby nahradilo Provozovateli přepravní soustavy škodu, která Provozovateli přepravní soustavy v důsledku plnění Krizového opatření vznikla nebo vznikne, a to vždy do IO dnů od podání žádosti Provozovatele přepravn</w:t>
      </w:r>
      <w:r>
        <w:t>í soustavy o náhradu škody vzniklé z plnění jeho povinností podle Krizového opatření hradit účastníkům Aukce odměnu za uskladnění plynu a vzdání se práva volné dispozice s plynem v zásobníku plynu;</w:t>
      </w:r>
    </w:p>
    <w:p w:rsidR="00D17A3F" w:rsidRDefault="00C11933">
      <w:pPr>
        <w:numPr>
          <w:ilvl w:val="0"/>
          <w:numId w:val="1"/>
        </w:numPr>
        <w:spacing w:after="321"/>
        <w:ind w:left="842" w:right="136" w:hanging="727"/>
      </w:pPr>
      <w:r>
        <w:t>Za účelem naplnění Krizového opatření a Usnesení vlády a s</w:t>
      </w:r>
      <w:r>
        <w:t xml:space="preserve"> cílem umožnit realizaci Aukcí a plnit povinnost náhrady škody podle ustanovení S 36 Krizového zákona tak, aby plnění povinností Provozovatele přepravní soustavy podle Krizového zákona bylo pro něj v důsledku toho finančně neutrální a neohrožovalo řádné pl</w:t>
      </w:r>
      <w:r>
        <w:t>nění jeho povinností jako držitele licence na přepravu plynu dle Energetického zákona, si Smluvní strany přejí upravit svoje vzájemná práva a povinnosti smluvně. Smluvní strany berou na vědomí, že škoda Provozovatele přepravní soustavy způsobená plněním po</w:t>
      </w:r>
      <w:r>
        <w:t>vinnosti podle Krizového opatření bude vznikat postupně podle toho, kdy účastníci Aukce jako smluvní strany Dílčích smluv splní závazky vyplývající z těchto Dílčích smluv, a proto i náhrada škody Provozovatele přepravní soustavy bude probíhat průběžně.</w:t>
      </w:r>
    </w:p>
    <w:p w:rsidR="00D17A3F" w:rsidRDefault="00C11933">
      <w:pPr>
        <w:numPr>
          <w:ilvl w:val="0"/>
          <w:numId w:val="1"/>
        </w:numPr>
        <w:spacing w:after="316"/>
        <w:ind w:left="842" w:right="136" w:hanging="727"/>
      </w:pPr>
      <w:r>
        <w:t>Sml</w:t>
      </w:r>
      <w:r>
        <w:t>uvní strany rovněž považují za nezbytné sjednat prováděcí pravidla k provádění Aukcí podle Krizového opatření;</w:t>
      </w:r>
    </w:p>
    <w:p w:rsidR="00D17A3F" w:rsidRDefault="00C11933">
      <w:pPr>
        <w:spacing w:after="518" w:line="265" w:lineRule="auto"/>
        <w:ind w:left="3"/>
      </w:pPr>
      <w:r>
        <w:rPr>
          <w:sz w:val="24"/>
        </w:rPr>
        <w:t>DOHODLY SE SMLUVNÍ STRANY TAKTO:</w:t>
      </w:r>
    </w:p>
    <w:p w:rsidR="00D17A3F" w:rsidRDefault="00C11933">
      <w:pPr>
        <w:tabs>
          <w:tab w:val="center" w:pos="2054"/>
        </w:tabs>
        <w:spacing w:after="254" w:line="265" w:lineRule="auto"/>
        <w:ind w:left="0" w:firstLine="0"/>
        <w:jc w:val="left"/>
      </w:pPr>
      <w:r>
        <w:rPr>
          <w:sz w:val="24"/>
        </w:rPr>
        <w:t>1.1.</w:t>
      </w:r>
      <w:r>
        <w:rPr>
          <w:sz w:val="24"/>
        </w:rPr>
        <w:tab/>
        <w:t>Definice a výklad</w:t>
      </w:r>
    </w:p>
    <w:p w:rsidR="00D17A3F" w:rsidRDefault="00C11933">
      <w:pPr>
        <w:ind w:left="1230" w:right="136" w:hanging="1115"/>
      </w:pPr>
      <w:r>
        <w:t xml:space="preserve">1.1.1. Pokud z kontextu nevyplývá něco jiného, mají níže uvedené výrazy, jsou-li uvedeny </w:t>
      </w:r>
      <w:r>
        <w:t>velkým počátečním písmenem či jsou-li napsány velkými písmeny, následující význam:</w:t>
      </w:r>
    </w:p>
    <w:p w:rsidR="00D17A3F" w:rsidRDefault="00C11933">
      <w:pPr>
        <w:spacing w:after="323"/>
        <w:ind w:left="118" w:right="136"/>
      </w:pPr>
      <w:r>
        <w:rPr>
          <w:u w:val="single" w:color="000000"/>
        </w:rPr>
        <w:t>22AuggĽ'</w:t>
      </w:r>
      <w:r>
        <w:t xml:space="preserve"> má význam dle bodu (A) preambule tohoto Ujednání.</w:t>
      </w:r>
    </w:p>
    <w:p w:rsidR="00D17A3F" w:rsidRDefault="00C11933">
      <w:pPr>
        <w:ind w:left="118" w:right="58"/>
      </w:pPr>
      <w:r>
        <w:rPr>
          <w:noProof/>
        </w:rPr>
        <w:drawing>
          <wp:inline distT="0" distB="0" distL="0" distR="0">
            <wp:extent cx="996093" cy="127961"/>
            <wp:effectExtent l="0" t="0" r="0" b="0"/>
            <wp:docPr id="25344" name="Picture 25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4" name="Picture 253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6093" cy="12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 smlouva o zajištění uskladnění plynu a omezení dispozice s uskladněným plynem uzavřená na základě Rámcové smlouvy, a to výběrem nabídky předložené účastníkem Aukce v Aukci, jejímž předmětem je závazek takového účastníka Aukce zajistit uskladnění plynu v</w:t>
      </w:r>
      <w:r>
        <w:t xml:space="preserve"> M Wh v zásobníku plynu na území České republiky přímo připojeném k přepravní soustavě České republiky, a to v rozsahu akceptované nabídky v Aukci a za </w:t>
      </w:r>
      <w:proofErr w:type="spellStart"/>
      <w:r>
        <w:t>vysoutěženou</w:t>
      </w:r>
      <w:proofErr w:type="spellEnd"/>
      <w:r>
        <w:t xml:space="preserve"> cenu.</w:t>
      </w:r>
    </w:p>
    <w:p w:rsidR="00D17A3F" w:rsidRDefault="00C11933">
      <w:pPr>
        <w:ind w:left="118" w:right="136"/>
      </w:pPr>
      <w:r>
        <w:rPr>
          <w:noProof/>
        </w:rPr>
        <w:drawing>
          <wp:inline distT="0" distB="0" distL="0" distR="0">
            <wp:extent cx="22846" cy="41130"/>
            <wp:effectExtent l="0" t="0" r="0" b="0"/>
            <wp:docPr id="4363" name="Picture 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" name="Picture 4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,</w:t>
      </w:r>
      <w:proofErr w:type="spellStart"/>
      <w:r>
        <w:rPr>
          <w:u w:val="single" w:color="000000"/>
        </w:rPr>
        <w:t>Uiednání</w:t>
      </w:r>
      <w:proofErr w:type="spellEnd"/>
      <w:proofErr w:type="gramEnd"/>
      <w:r>
        <w:rPr>
          <w:u w:val="single" w:color="000000"/>
        </w:rPr>
        <w:t>”</w:t>
      </w:r>
      <w:r>
        <w:t xml:space="preserve"> znamená toto ujednání, ve znění případných pozdějších sjednaných změn a d</w:t>
      </w:r>
      <w:r>
        <w:t>odatků.</w:t>
      </w:r>
    </w:p>
    <w:p w:rsidR="00D17A3F" w:rsidRDefault="00C11933">
      <w:pPr>
        <w:ind w:left="118" w:right="72"/>
      </w:pPr>
      <w:r>
        <w:rPr>
          <w:u w:val="single" w:color="000000"/>
        </w:rPr>
        <w:t xml:space="preserve">„Energetický zákon” </w:t>
      </w:r>
      <w:r>
        <w:t>znamená zákon č. 458/2000 Sb., o podmínkách podnikání a o výkonu státní správy v energetických odvětvích a o změně některých zákonů (energetický zákon), ve znění pozdějších předpisů, dle bodu (A)preambule tohoto Ujednání.</w:t>
      </w:r>
    </w:p>
    <w:p w:rsidR="00D17A3F" w:rsidRDefault="00C11933">
      <w:pPr>
        <w:ind w:left="118" w:right="136"/>
      </w:pPr>
      <w:r>
        <w:rPr>
          <w:u w:val="single" w:color="000000"/>
        </w:rPr>
        <w:t>„Krizo</w:t>
      </w:r>
      <w:r>
        <w:rPr>
          <w:u w:val="single" w:color="000000"/>
        </w:rPr>
        <w:t xml:space="preserve">vé opatření” </w:t>
      </w:r>
      <w:r>
        <w:t>znamená opatření Ministerstva průmyslu a obchodu podle bodu (A) preambule tohoto Ujednání.</w:t>
      </w:r>
    </w:p>
    <w:p w:rsidR="00D17A3F" w:rsidRDefault="00C11933">
      <w:pPr>
        <w:ind w:left="118" w:right="136"/>
      </w:pPr>
      <w:r>
        <w:rPr>
          <w:noProof/>
        </w:rPr>
        <w:lastRenderedPageBreak/>
        <w:drawing>
          <wp:inline distT="0" distB="0" distL="0" distR="0">
            <wp:extent cx="63969" cy="27420"/>
            <wp:effectExtent l="0" t="0" r="0" b="0"/>
            <wp:docPr id="25349" name="Picture 25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9" name="Picture 253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OZ</w:t>
      </w:r>
      <w:r>
        <w:t>” znamená zákon č. 89/2012 Sb., občanský zákoník, ve znění pozdějších předpisů.</w:t>
      </w:r>
    </w:p>
    <w:p w:rsidR="00D17A3F" w:rsidRDefault="00C11933">
      <w:pPr>
        <w:ind w:left="118" w:right="14"/>
      </w:pPr>
      <w:r>
        <w:rPr>
          <w:noProof/>
        </w:rPr>
        <w:drawing>
          <wp:inline distT="0" distB="0" distL="0" distR="0">
            <wp:extent cx="59400" cy="27420"/>
            <wp:effectExtent l="0" t="0" r="0" b="0"/>
            <wp:docPr id="25351" name="Picture 25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1" name="Picture 253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Rámcová smlouva”</w:t>
      </w:r>
      <w:r>
        <w:t xml:space="preserve"> znamená rámcovou smlouvu o zajištění uskladnění ply</w:t>
      </w:r>
      <w:r>
        <w:t xml:space="preserve">nu a omezení dispozice s uskladněným plynem uzavřenou mezi účastníkem Aukce, Provozovatelem přepravní soustavy a provozovatelem zásobníku plynu podle vzoru oznámeného </w:t>
      </w:r>
      <w:proofErr w:type="gramStart"/>
      <w:r>
        <w:t>Ministerstvem</w:t>
      </w:r>
      <w:proofErr w:type="gramEnd"/>
      <w:r>
        <w:t xml:space="preserve"> podle čl. 2. I. 3. tohoto Ujednání.</w:t>
      </w:r>
    </w:p>
    <w:p w:rsidR="00D17A3F" w:rsidRDefault="00C11933">
      <w:pPr>
        <w:numPr>
          <w:ilvl w:val="0"/>
          <w:numId w:val="2"/>
        </w:numPr>
        <w:spacing w:after="254" w:line="265" w:lineRule="auto"/>
        <w:ind w:left="1245" w:hanging="1130"/>
      </w:pPr>
      <w:proofErr w:type="spellStart"/>
      <w:r>
        <w:rPr>
          <w:sz w:val="24"/>
        </w:rPr>
        <w:t>Prováděcípravidla</w:t>
      </w:r>
      <w:proofErr w:type="spellEnd"/>
      <w:r>
        <w:rPr>
          <w:sz w:val="24"/>
        </w:rPr>
        <w:t xml:space="preserve"> k realizaci Aukcí</w:t>
      </w:r>
    </w:p>
    <w:p w:rsidR="00D17A3F" w:rsidRDefault="00C11933">
      <w:pPr>
        <w:numPr>
          <w:ilvl w:val="1"/>
          <w:numId w:val="2"/>
        </w:numPr>
        <w:spacing w:after="254" w:line="265" w:lineRule="auto"/>
        <w:ind w:hanging="1151"/>
      </w:pPr>
      <w:r>
        <w:rPr>
          <w:sz w:val="24"/>
        </w:rPr>
        <w:t>Sta</w:t>
      </w:r>
      <w:r>
        <w:rPr>
          <w:sz w:val="24"/>
        </w:rPr>
        <w:t>novení parametrů Aukcí</w:t>
      </w:r>
    </w:p>
    <w:p w:rsidR="00D17A3F" w:rsidRDefault="00C11933">
      <w:pPr>
        <w:numPr>
          <w:ilvl w:val="2"/>
          <w:numId w:val="2"/>
        </w:numPr>
        <w:ind w:left="1252" w:right="136" w:hanging="1137"/>
      </w:pPr>
      <w:r>
        <w:rPr>
          <w:noProof/>
        </w:rPr>
        <w:drawing>
          <wp:inline distT="0" distB="0" distL="0" distR="0">
            <wp:extent cx="4569" cy="4570"/>
            <wp:effectExtent l="0" t="0" r="0" b="0"/>
            <wp:docPr id="6821" name="Picture 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" name="Picture 68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Ministerstvo se zavazuje stanovit Provozovateli přepravní soustavy cenové, časové a věcné parametry připravované Aukce, konané podle Krizového opatření, a oznámit je nejpozději jeden pracovní den před plánovaným konáním Aukce do 10</w:t>
      </w:r>
      <w:r>
        <w:t>:00 hodin.</w:t>
      </w:r>
    </w:p>
    <w:p w:rsidR="00D17A3F" w:rsidRDefault="00C11933">
      <w:pPr>
        <w:numPr>
          <w:ilvl w:val="2"/>
          <w:numId w:val="2"/>
        </w:numPr>
        <w:spacing w:after="323"/>
        <w:ind w:left="1252" w:right="136" w:hanging="1137"/>
      </w:pPr>
      <w:r>
        <w:t>Ministerstvo může stanovit konkrétní parametry Aukcí pro konkrétní Aukci nebo pro více Aukcí po sobě následujících, případně pro více Aukcí uskutečněných Provozovatelem přepravní soustavy v určitém období.</w:t>
      </w:r>
    </w:p>
    <w:p w:rsidR="00D17A3F" w:rsidRDefault="00C11933">
      <w:pPr>
        <w:numPr>
          <w:ilvl w:val="2"/>
          <w:numId w:val="2"/>
        </w:numPr>
        <w:spacing w:after="317"/>
        <w:ind w:left="1252" w:right="136" w:hanging="1137"/>
      </w:pPr>
      <w:r>
        <w:t xml:space="preserve">Parametry Aukcí stanovované a oznamované </w:t>
      </w:r>
      <w:proofErr w:type="gramStart"/>
      <w:r>
        <w:t>Ministerstvem</w:t>
      </w:r>
      <w:proofErr w:type="gramEnd"/>
      <w:r>
        <w:t xml:space="preserve"> jsou zejména:</w:t>
      </w:r>
    </w:p>
    <w:p w:rsidR="00D17A3F" w:rsidRDefault="00C11933">
      <w:pPr>
        <w:numPr>
          <w:ilvl w:val="3"/>
          <w:numId w:val="2"/>
        </w:numPr>
        <w:spacing w:after="45"/>
        <w:ind w:right="136" w:hanging="576"/>
      </w:pPr>
      <w:r>
        <w:t>identifikace virtuálního zásobníku plynu, na kterém má být Aukce uskutečněna,</w:t>
      </w:r>
    </w:p>
    <w:p w:rsidR="00D17A3F" w:rsidRDefault="00C11933">
      <w:pPr>
        <w:numPr>
          <w:ilvl w:val="3"/>
          <w:numId w:val="2"/>
        </w:numPr>
        <w:spacing w:after="28"/>
        <w:ind w:right="136" w:hanging="576"/>
      </w:pPr>
      <w:r>
        <w:t>období, pro které jsou parametry Aukcí stanoveny, pokud nejsou stanoveny pro konkrétní určenou Aukci,</w:t>
      </w:r>
    </w:p>
    <w:p w:rsidR="00D17A3F" w:rsidRDefault="00C11933">
      <w:pPr>
        <w:numPr>
          <w:ilvl w:val="3"/>
          <w:numId w:val="2"/>
        </w:numPr>
        <w:spacing w:after="67"/>
        <w:ind w:right="136" w:hanging="576"/>
      </w:pPr>
      <w:r>
        <w:t xml:space="preserve">množství </w:t>
      </w:r>
      <w:proofErr w:type="spellStart"/>
      <w:r>
        <w:t>aukcionovaného</w:t>
      </w:r>
      <w:proofErr w:type="spellEnd"/>
      <w:r>
        <w:t xml:space="preserve"> uskladnění plynu, </w:t>
      </w:r>
      <w:proofErr w:type="spellStart"/>
      <w:r>
        <w:t>aukcionované</w:t>
      </w:r>
      <w:proofErr w:type="spellEnd"/>
      <w:r>
        <w:t xml:space="preserve"> v jednotlivé Aukci nebo pro více Aukcí,</w:t>
      </w:r>
    </w:p>
    <w:p w:rsidR="00D17A3F" w:rsidRDefault="00C11933">
      <w:pPr>
        <w:numPr>
          <w:ilvl w:val="3"/>
          <w:numId w:val="2"/>
        </w:numPr>
        <w:spacing w:after="214" w:line="258" w:lineRule="auto"/>
        <w:ind w:right="136" w:hanging="576"/>
      </w:pPr>
      <w:r>
        <w:t xml:space="preserve">vyvolávací cena za uskladnění plynu a vzdání se práva dispozice uskladněným plynem, </w:t>
      </w:r>
      <w:r>
        <w:rPr>
          <w:noProof/>
        </w:rPr>
        <w:drawing>
          <wp:inline distT="0" distB="0" distL="0" distR="0">
            <wp:extent cx="150785" cy="123391"/>
            <wp:effectExtent l="0" t="0" r="0" b="0"/>
            <wp:docPr id="25353" name="Picture 2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3" name="Picture 253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12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doba trvání aukčního kola a doba trvání přestávky mezi aukčními koly a (f)</w:t>
      </w:r>
      <w:r>
        <w:tab/>
        <w:t>h</w:t>
      </w:r>
      <w:r>
        <w:t>odnota aukčního kroku v CZK/</w:t>
      </w:r>
      <w:proofErr w:type="spellStart"/>
      <w:r>
        <w:t>MWh</w:t>
      </w:r>
      <w:proofErr w:type="spellEnd"/>
      <w:r>
        <w:t>.</w:t>
      </w:r>
    </w:p>
    <w:p w:rsidR="00D17A3F" w:rsidRDefault="00C11933">
      <w:pPr>
        <w:spacing w:after="326"/>
        <w:ind w:left="1269" w:right="136"/>
      </w:pPr>
      <w:r>
        <w:t>Nejpozději dva pracovní dny přede dnem konání první Aukce stanovuje Ministerstvo obecné podmínky Aukcí a vzor Rámcové smlouvy o zajištění uskladnění plynu a omezení dispozice s uskladněným plynem a oznamuje je Provozovateli</w:t>
      </w:r>
      <w:r>
        <w:t xml:space="preserve"> přepravní soustavy prostřednictvím datové schránky Provozovatele přepravní soustavy.</w:t>
      </w:r>
    </w:p>
    <w:p w:rsidR="00D17A3F" w:rsidRDefault="00C11933">
      <w:pPr>
        <w:numPr>
          <w:ilvl w:val="2"/>
          <w:numId w:val="2"/>
        </w:numPr>
        <w:ind w:left="1252" w:right="136" w:hanging="1137"/>
      </w:pPr>
      <w:r>
        <w:t>Pokud se Smluvní strany nedohodnou jinak, cenové, časové a věcné parametry Aukcí, konaných podle Krizového opatření připravuje a Provozovateli přepravní soustavy následně</w:t>
      </w:r>
      <w:r>
        <w:t xml:space="preserve"> oznamuje Sekce energetiky, Ministerstva průmyslu a obchodu.</w:t>
      </w:r>
    </w:p>
    <w:p w:rsidR="00D17A3F" w:rsidRDefault="00C11933">
      <w:pPr>
        <w:numPr>
          <w:ilvl w:val="2"/>
          <w:numId w:val="2"/>
        </w:numPr>
        <w:ind w:left="1252" w:right="136" w:hanging="1137"/>
      </w:pPr>
      <w:r>
        <w:t xml:space="preserve">Parametry aukcí oznamuje </w:t>
      </w:r>
      <w:proofErr w:type="gramStart"/>
      <w:r>
        <w:t>Ministerstvo</w:t>
      </w:r>
      <w:proofErr w:type="gramEnd"/>
      <w:r>
        <w:t xml:space="preserve"> Provozovateli přepravní soustavy v elektronické podobě prostřednictvím datové schránky Provozovatele přepravní soustavy.</w:t>
      </w:r>
    </w:p>
    <w:p w:rsidR="00D17A3F" w:rsidRDefault="00C11933">
      <w:pPr>
        <w:numPr>
          <w:ilvl w:val="2"/>
          <w:numId w:val="2"/>
        </w:numPr>
        <w:ind w:left="1252" w:right="136" w:hanging="1137"/>
      </w:pPr>
      <w:r>
        <w:t>Ministerstvo nestanoví konkrétní par</w:t>
      </w:r>
      <w:r>
        <w:t>ametry Aukcí nebo v případě stanovených parametrů Aukcí pro více Aukcí po sobě následujících tyto parametry zruší a zrušení těchto parametrů oznámí Provozovateli přepravní soustavy, pokud by předpokládaný rozsah plnění za uskladnění plynu a vzdání se práva</w:t>
      </w:r>
      <w:r>
        <w:t xml:space="preserve"> dispozice plynem ze strany Provozovatele přepravní </w:t>
      </w:r>
      <w:proofErr w:type="gramStart"/>
      <w:r>
        <w:t>soustavy</w:t>
      </w:r>
      <w:proofErr w:type="gramEnd"/>
      <w:r>
        <w:t xml:space="preserve"> podle již uskutečněných Aukcí měl přesáhnout rozsah rozpočtových výdajů Ministerstva na náhradu škody.</w:t>
      </w:r>
    </w:p>
    <w:p w:rsidR="00D17A3F" w:rsidRDefault="00C11933">
      <w:pPr>
        <w:numPr>
          <w:ilvl w:val="0"/>
          <w:numId w:val="2"/>
        </w:numPr>
        <w:spacing w:after="207"/>
        <w:ind w:left="1245" w:hanging="1130"/>
      </w:pPr>
      <w:r>
        <w:t>Náhrada škody vzniklé v souvislosti s realizací Aukcí</w:t>
      </w:r>
    </w:p>
    <w:p w:rsidR="00D17A3F" w:rsidRDefault="00C11933">
      <w:pPr>
        <w:numPr>
          <w:ilvl w:val="1"/>
          <w:numId w:val="2"/>
        </w:numPr>
        <w:spacing w:after="254" w:line="265" w:lineRule="auto"/>
        <w:ind w:hanging="1151"/>
      </w:pPr>
      <w:r>
        <w:rPr>
          <w:sz w:val="24"/>
        </w:rPr>
        <w:lastRenderedPageBreak/>
        <w:t>Závazek k náhradě škody vzniklé Provoz</w:t>
      </w:r>
      <w:r>
        <w:rPr>
          <w:sz w:val="24"/>
        </w:rPr>
        <w:t>ovateli přepravní soustavy v souvislosti se zajištěním uskladnění plynu pro skladovací rok 2022/2023 v zásobnících plynu na území České republiky připojených k přepravní soustavě České republiky podle Krizového opatření.</w:t>
      </w:r>
    </w:p>
    <w:p w:rsidR="00D17A3F" w:rsidRDefault="00C11933">
      <w:pPr>
        <w:numPr>
          <w:ilvl w:val="2"/>
          <w:numId w:val="2"/>
        </w:numPr>
        <w:spacing w:after="338"/>
        <w:ind w:left="1252" w:right="136" w:hanging="1137"/>
      </w:pPr>
      <w:r>
        <w:t>Ministerstvo se zavazuje uhradit Pr</w:t>
      </w:r>
      <w:r>
        <w:t>ovozovateli přepravní soustavy škodu vzniklou v důsledku uzavření Dílčích smluv v souvislosti se zajištěním uskladnění plynu pro skladovací rok 2022/2023 v zásobnících plynu na území České republiky připojených k přepravní soustavě České republiky podle Kr</w:t>
      </w:r>
      <w:r>
        <w:t>izového opatření (dále jen „náhrada škody”). Smluvní strany se dohodly, že žádost o náhradu škody bude Provozovatel přepravní soustavy podávat na formuláři, jehož vzor je v příloze č. I k tohoto Ujednání, přičemž žádost bude obsahovat především nárokovanou</w:t>
      </w:r>
      <w:r>
        <w:t xml:space="preserve"> částku k úhradě a identifikaci Dílčích smluv sjednaných s účastníky Aukce, jejichž nabídky byly v příslušné Aukci úspěšné, z nichž povinnost náhrady škody podle tohoto článku Ujednání vyplývá.</w:t>
      </w:r>
    </w:p>
    <w:p w:rsidR="00D17A3F" w:rsidRDefault="00C11933">
      <w:pPr>
        <w:numPr>
          <w:ilvl w:val="2"/>
          <w:numId w:val="2"/>
        </w:numPr>
        <w:spacing w:after="256"/>
        <w:ind w:left="1252" w:right="136" w:hanging="1137"/>
      </w:pPr>
      <w:r>
        <w:t xml:space="preserve">Žádost podle čl. 3. </w:t>
      </w:r>
      <w:proofErr w:type="gramStart"/>
      <w:r>
        <w:t>I .</w:t>
      </w:r>
      <w:proofErr w:type="gramEnd"/>
      <w:r>
        <w:t xml:space="preserve"> </w:t>
      </w:r>
      <w:proofErr w:type="gramStart"/>
      <w:r>
        <w:t>l .</w:t>
      </w:r>
      <w:proofErr w:type="gramEnd"/>
      <w:r>
        <w:t xml:space="preserve"> Provozovatel přepravní soustavy doručí </w:t>
      </w:r>
      <w:proofErr w:type="gramStart"/>
      <w:r>
        <w:t>Ministerstvu</w:t>
      </w:r>
      <w:proofErr w:type="gramEnd"/>
      <w:r>
        <w:t xml:space="preserve"> prostřednictvím datové schránky Ministerstva</w:t>
      </w:r>
    </w:p>
    <w:p w:rsidR="00D17A3F" w:rsidRDefault="00C11933">
      <w:pPr>
        <w:numPr>
          <w:ilvl w:val="1"/>
          <w:numId w:val="2"/>
        </w:numPr>
        <w:spacing w:after="254" w:line="265" w:lineRule="auto"/>
        <w:ind w:hanging="1151"/>
      </w:pPr>
      <w:r>
        <w:rPr>
          <w:sz w:val="24"/>
        </w:rPr>
        <w:t>Splatnost</w:t>
      </w:r>
    </w:p>
    <w:p w:rsidR="00D17A3F" w:rsidRDefault="00C11933">
      <w:pPr>
        <w:numPr>
          <w:ilvl w:val="2"/>
          <w:numId w:val="2"/>
        </w:numPr>
        <w:ind w:left="1252" w:right="136" w:hanging="1137"/>
      </w:pPr>
      <w:r>
        <w:t xml:space="preserve">Částka nárokovaná v souladu s žádostí podle čl. </w:t>
      </w:r>
      <w:proofErr w:type="gramStart"/>
      <w:r>
        <w:t>3.I .</w:t>
      </w:r>
      <w:proofErr w:type="gramEnd"/>
      <w:r>
        <w:t xml:space="preserve"> </w:t>
      </w:r>
      <w:proofErr w:type="gramStart"/>
      <w:r>
        <w:t>I .</w:t>
      </w:r>
      <w:proofErr w:type="gramEnd"/>
      <w:r>
        <w:t xml:space="preserve"> je splatná ve lhůtě </w:t>
      </w:r>
      <w:proofErr w:type="gramStart"/>
      <w:r>
        <w:t>I</w:t>
      </w:r>
      <w:proofErr w:type="gramEnd"/>
      <w:r>
        <w:t xml:space="preserve"> O kalendářních dnů od předložení žádosti </w:t>
      </w:r>
      <w:r>
        <w:t xml:space="preserve">Provozovatele přepravní soustavy o náhradu škody. Povinnost </w:t>
      </w:r>
      <w:proofErr w:type="gramStart"/>
      <w:r>
        <w:t>Ministerstva</w:t>
      </w:r>
      <w:proofErr w:type="gramEnd"/>
      <w:r>
        <w:t xml:space="preserve"> k vyplacení náhrady škody se považuje za splněnou dnem připsání odpovídající částky na bankovní účet NET4GAS uvedený v záhlaví tohoto Ujednání.</w:t>
      </w:r>
    </w:p>
    <w:p w:rsidR="00D17A3F" w:rsidRDefault="00C11933">
      <w:pPr>
        <w:numPr>
          <w:ilvl w:val="1"/>
          <w:numId w:val="2"/>
        </w:numPr>
        <w:spacing w:after="286" w:line="265" w:lineRule="auto"/>
        <w:ind w:hanging="1151"/>
      </w:pPr>
      <w:r>
        <w:rPr>
          <w:sz w:val="24"/>
        </w:rPr>
        <w:t>Úrok z prodlení</w:t>
      </w:r>
    </w:p>
    <w:p w:rsidR="00D17A3F" w:rsidRDefault="00C11933">
      <w:pPr>
        <w:numPr>
          <w:ilvl w:val="2"/>
          <w:numId w:val="2"/>
        </w:numPr>
        <w:spacing w:after="2"/>
        <w:ind w:left="1252" w:right="136" w:hanging="1137"/>
      </w:pPr>
      <w:r>
        <w:t xml:space="preserve">V případě prodlení </w:t>
      </w:r>
      <w:proofErr w:type="gramStart"/>
      <w:r>
        <w:t>Mini</w:t>
      </w:r>
      <w:r>
        <w:t>sterstva</w:t>
      </w:r>
      <w:proofErr w:type="gramEnd"/>
      <w:r>
        <w:t xml:space="preserve"> se zaplacením náhrady škody na základě žádosti podle čl.</w:t>
      </w:r>
    </w:p>
    <w:p w:rsidR="00D17A3F" w:rsidRDefault="00C11933">
      <w:pPr>
        <w:spacing w:after="344"/>
        <w:ind w:left="1248" w:right="136"/>
      </w:pPr>
      <w:r>
        <w:t xml:space="preserve">3.1.I. tohoto Ujednání je NET4GAS oprávněn uplatnit vůči </w:t>
      </w:r>
      <w:proofErr w:type="gramStart"/>
      <w:r>
        <w:t>Ministerstvu</w:t>
      </w:r>
      <w:proofErr w:type="gramEnd"/>
      <w:r>
        <w:t xml:space="preserve"> úrok z prodlení ve výši 0,05 % z dlužné částky za každý den prodlení se zaplacením závazku.</w:t>
      </w:r>
    </w:p>
    <w:p w:rsidR="00D17A3F" w:rsidRDefault="00C11933">
      <w:pPr>
        <w:numPr>
          <w:ilvl w:val="0"/>
          <w:numId w:val="2"/>
        </w:numPr>
        <w:spacing w:after="305" w:line="265" w:lineRule="auto"/>
        <w:ind w:left="1245" w:hanging="1130"/>
      </w:pPr>
      <w:r>
        <w:rPr>
          <w:sz w:val="24"/>
        </w:rPr>
        <w:t>Závěrečná ustanovení</w:t>
      </w:r>
    </w:p>
    <w:p w:rsidR="00D17A3F" w:rsidRDefault="00C11933">
      <w:pPr>
        <w:spacing w:after="254"/>
        <w:ind w:left="1252" w:right="136" w:hanging="1137"/>
      </w:pPr>
      <w:r>
        <w:t xml:space="preserve">4. </w:t>
      </w:r>
      <w:proofErr w:type="gramStart"/>
      <w:r>
        <w:t>I .</w:t>
      </w:r>
      <w:proofErr w:type="gramEnd"/>
      <w:r>
        <w:t xml:space="preserve"> </w:t>
      </w:r>
      <w:proofErr w:type="gramStart"/>
      <w:r>
        <w:t>l .</w:t>
      </w:r>
      <w:proofErr w:type="gramEnd"/>
      <w:r>
        <w:t xml:space="preserve"> Smluvní strany se dohodly a tímto výslovně souhlasí, že povinnost Ministerstva k náhradě škody podle ustanovení S 36 Krizového zákona se ve vztahu k výdajům, které Provozovateli přepravní soustavy vznikly nebo vzniknou v důsledku vzniku povinnosti uhra</w:t>
      </w:r>
      <w:r>
        <w:t xml:space="preserve">dit smluvní cenu podle Dílčích smluv, považují co do důvodu a výše ve vztahu k této Aukci za splněnou zaplacením částky nárokované podle čl. 3. </w:t>
      </w:r>
      <w:proofErr w:type="gramStart"/>
      <w:r>
        <w:t>l .</w:t>
      </w:r>
      <w:proofErr w:type="gramEnd"/>
      <w:r>
        <w:t xml:space="preserve"> </w:t>
      </w:r>
      <w:proofErr w:type="gramStart"/>
      <w:r>
        <w:t>I .</w:t>
      </w:r>
      <w:proofErr w:type="gramEnd"/>
      <w:r>
        <w:t xml:space="preserve"> tohoto </w:t>
      </w:r>
      <w:proofErr w:type="gramStart"/>
      <w:r>
        <w:t>Ujednání..</w:t>
      </w:r>
      <w:proofErr w:type="gramEnd"/>
    </w:p>
    <w:p w:rsidR="00D17A3F" w:rsidRDefault="00C11933">
      <w:pPr>
        <w:ind w:left="1223" w:right="136" w:hanging="813"/>
      </w:pPr>
      <w:r>
        <w:rPr>
          <w:noProof/>
        </w:rPr>
        <w:drawing>
          <wp:inline distT="0" distB="0" distL="0" distR="0">
            <wp:extent cx="109662" cy="109680"/>
            <wp:effectExtent l="0" t="0" r="0" b="0"/>
            <wp:docPr id="25355" name="Picture 25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5" name="Picture 253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662" cy="1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Smluvní strany se vzájemně zavazují, že bez písemného souhlasu druhé Smluvní strany </w:t>
      </w:r>
      <w:r>
        <w:t>nezpřístupní jakýmkoliv způsobem informace o obsahu tohoto Ujednání, které se v souvislosti s Ujednáním dozvěděly, s výjimkou veřejně publikovaných informací a zpřístupnění informací za účelem plnění zákonných povinnosti, a to ani v dílčím rozsahu třetí st</w:t>
      </w:r>
      <w:r>
        <w:t>raně, s výjimkou osob, které jsou ve vedení Smluvní strany, či jsou její zástupci a zaměstnanci, pro které je poskytnutí takových informací zároveň nezbytné pro naplnění účelu Ujednání, a osob, které Smluvní strana použije pro naplnění účelu Ujednání, přič</w:t>
      </w:r>
      <w:r>
        <w:t>emž Smluvní strana uzavře s takovou osobou dohodu o zachování důvěrnosti poskytovaných informací. Závazek ochrany důvěrných informací podle předchozí věty trvá i po ukončení trvání závazků z tohoto Ujednání. Ministerstvo se zavazuje, že při jakémkoliv zpří</w:t>
      </w:r>
      <w:r>
        <w:t xml:space="preserve">stupnění informací podle tohoto článku Ujednání třetí straně bude zejména dbát ochrany obchodního tajemství a dobré pověsti Provozovatele přepravní soustavy. </w:t>
      </w:r>
      <w:r>
        <w:lastRenderedPageBreak/>
        <w:t>Tento proces se nevztahuje na žádosti podle zákona č. 106/1999 Sb., o svobodném přístupu k informa</w:t>
      </w:r>
      <w:r>
        <w:t>cím</w:t>
      </w:r>
    </w:p>
    <w:p w:rsidR="00D17A3F" w:rsidRDefault="00C11933">
      <w:pPr>
        <w:spacing w:after="320"/>
        <w:ind w:left="1245" w:right="136" w:hanging="1130"/>
      </w:pPr>
      <w:r>
        <w:t>4.I.3. Smluvní strany se dohodly, že jakékoliv spory o výklad a plnění tohoto Ujednání budou řešit prioritně vzájemným projednáním a dohodou. Nepodaří-li se Smluvním stranám vyřešit vzniklý spor smírnou cestou do 60 dní ode dne, kdy Smluvní strana píse</w:t>
      </w:r>
      <w:r>
        <w:t>mně požádá druhou Smluvní stranu o jednání podle věty první, jsou k jejich řešení příslušné obecné soudy České republiky.</w:t>
      </w:r>
    </w:p>
    <w:p w:rsidR="00D17A3F" w:rsidRDefault="00C11933">
      <w:pPr>
        <w:ind w:left="1266" w:right="136" w:hanging="849"/>
      </w:pPr>
      <w:r>
        <w:rPr>
          <w:noProof/>
        </w:rPr>
        <w:drawing>
          <wp:inline distT="0" distB="0" distL="0" distR="0">
            <wp:extent cx="123369" cy="100541"/>
            <wp:effectExtent l="0" t="0" r="0" b="0"/>
            <wp:docPr id="25358" name="Picture 2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8" name="Picture 253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369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Toto Ujednání nabývá platnosti dnem jejího podpisu oběma Smluvními stranami a účinnosti dnem jeho zveřejnění v souladu se zákonem č. 340/2015 Sb., o zvláštních podmínkách účinnosti některých smluv, uveřejňování těchto smluv a o registru smluv (zákon o regi</w:t>
      </w:r>
      <w:r>
        <w:t xml:space="preserve">stru smluv), v registru smluv na základě jeho vložení </w:t>
      </w:r>
      <w:proofErr w:type="gramStart"/>
      <w:r>
        <w:t>Ministerstvem</w:t>
      </w:r>
      <w:proofErr w:type="gramEnd"/>
      <w:r>
        <w:t xml:space="preserve"> bez zbytečného odkladu po uzavření tohoto Ujednání.</w:t>
      </w:r>
    </w:p>
    <w:p w:rsidR="00D17A3F" w:rsidRDefault="00C11933">
      <w:pPr>
        <w:ind w:left="1252" w:right="136" w:hanging="1137"/>
      </w:pPr>
      <w:r>
        <w:t xml:space="preserve">4.1.5. Toto Ujednání může být po jeho podpisu doplňováno či pozměňováno pouze po vzájemné dohodě Smluvních stran, a to písemně ve formě </w:t>
      </w:r>
      <w:r>
        <w:t>dodatku k Ujednání, není-li v tomto Ujednání výslovně uvedeno jinak.</w:t>
      </w:r>
    </w:p>
    <w:p w:rsidR="00D17A3F" w:rsidRDefault="00C11933">
      <w:pPr>
        <w:ind w:left="1259" w:right="136" w:hanging="1144"/>
      </w:pPr>
      <w:r>
        <w:t>4.1.6. Tato Ujednání bylo vypracováno a podepsáno v českém jazyce, a to po jednom stejnopise pro každou Smluvní stranu.</w:t>
      </w:r>
    </w:p>
    <w:p w:rsidR="00D17A3F" w:rsidRDefault="00C11933">
      <w:pPr>
        <w:spacing w:after="533"/>
        <w:ind w:left="1259" w:right="136" w:hanging="1144"/>
      </w:pPr>
      <w:r>
        <w:t>4.I.7. Toto Ujednání se řídí právem České republiky a bude v soulad</w:t>
      </w:r>
      <w:r>
        <w:t>u s ním vykládáno. Otázky výslovně tímto Ujednáním neupravené se řídí zejména příslušnými ustanoveními OZ.</w:t>
      </w:r>
    </w:p>
    <w:p w:rsidR="00D17A3F" w:rsidRDefault="00C11933">
      <w:pPr>
        <w:spacing w:after="801"/>
        <w:ind w:left="118" w:right="136"/>
      </w:pPr>
      <w:r>
        <w:t>Příloha: Vzor formuláře žádosti o náhradu škody</w:t>
      </w:r>
    </w:p>
    <w:p w:rsidR="00D17A3F" w:rsidRDefault="00C11933">
      <w:pPr>
        <w:spacing w:after="0"/>
        <w:ind w:left="118" w:right="136"/>
      </w:pPr>
      <w:r>
        <w:t xml:space="preserve">V Praze </w:t>
      </w:r>
      <w:proofErr w:type="spellStart"/>
      <w:r>
        <w:t>dneg</w:t>
      </w:r>
      <w:proofErr w:type="spellEnd"/>
      <w:r>
        <w:t xml:space="preserve"> května 2022</w:t>
      </w:r>
    </w:p>
    <w:p w:rsidR="00D17A3F" w:rsidRDefault="00C11933">
      <w:pPr>
        <w:spacing w:after="0" w:line="259" w:lineRule="auto"/>
        <w:ind w:left="9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245483" cy="1572096"/>
                <wp:effectExtent l="0" t="0" r="0" b="0"/>
                <wp:docPr id="23979" name="Group 23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483" cy="1572096"/>
                          <a:chOff x="0" y="0"/>
                          <a:chExt cx="5245483" cy="1572096"/>
                        </a:xfrm>
                      </wpg:grpSpPr>
                      <pic:pic xmlns:pic="http://schemas.openxmlformats.org/drawingml/2006/picture">
                        <pic:nvPicPr>
                          <pic:cNvPr id="25360" name="Picture 253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0523" y="0"/>
                            <a:ext cx="5144960" cy="1572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19" name="Rectangle 10619"/>
                        <wps:cNvSpPr/>
                        <wps:spPr>
                          <a:xfrm>
                            <a:off x="0" y="198797"/>
                            <a:ext cx="212698" cy="191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7A3F" w:rsidRDefault="00C1193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79" style="width:413.03pt;height:123.787pt;mso-position-horizontal-relative:char;mso-position-vertical-relative:line" coordsize="52454,15720">
                <v:shape id="Picture 25360" style="position:absolute;width:51449;height:15720;left:1005;top:0;" filled="f">
                  <v:imagedata r:id="rId16"/>
                </v:shape>
                <v:rect id="Rectangle 10619" style="position:absolute;width:2126;height:1914;left:0;top:1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za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17A3F" w:rsidRDefault="00C11933">
      <w:pPr>
        <w:spacing w:after="676" w:line="265" w:lineRule="auto"/>
        <w:ind w:left="312" w:right="281"/>
      </w:pPr>
      <w:r>
        <w:rPr>
          <w:sz w:val="24"/>
        </w:rPr>
        <w:t>Vzor formuláře žádosti o náhradu škody vzniklé Provozovateli přeprav</w:t>
      </w:r>
      <w:r>
        <w:rPr>
          <w:sz w:val="24"/>
        </w:rPr>
        <w:t>ní soustavy v souvislosti se zajištěním uskladnění plynu pro skladovací rok 2022/2023 v zásobnících plynu na území České republiky připojených k přepravní soustavě České republiky podle krizového opatření Ministerstva průmyslu a obchodu ze dne 28. dubna 20</w:t>
      </w:r>
      <w:r>
        <w:rPr>
          <w:sz w:val="24"/>
        </w:rPr>
        <w:t>22</w:t>
      </w:r>
    </w:p>
    <w:p w:rsidR="00D17A3F" w:rsidRDefault="00C11933">
      <w:pPr>
        <w:spacing w:after="194" w:line="259" w:lineRule="auto"/>
        <w:ind w:left="360" w:firstLine="0"/>
        <w:jc w:val="left"/>
      </w:pPr>
      <w:r>
        <w:rPr>
          <w:sz w:val="24"/>
          <w:u w:val="single" w:color="000000"/>
        </w:rPr>
        <w:t>Komu:</w:t>
      </w:r>
    </w:p>
    <w:p w:rsidR="00D17A3F" w:rsidRDefault="00C11933">
      <w:pPr>
        <w:spacing w:after="448" w:line="459" w:lineRule="auto"/>
        <w:ind w:left="312" w:right="3792"/>
      </w:pPr>
      <w:r>
        <w:t xml:space="preserve">Česká republika — Ministerstvo průmyslu a obchodu, se sídlem Na Františku 32, 1 10 15 Praha 1, IČO: 47609109, zastoupena </w:t>
      </w:r>
      <w:r>
        <w:rPr>
          <w:noProof/>
        </w:rPr>
        <w:lastRenderedPageBreak/>
        <w:drawing>
          <wp:inline distT="0" distB="0" distL="0" distR="0">
            <wp:extent cx="150785" cy="95971"/>
            <wp:effectExtent l="0" t="0" r="0" b="0"/>
            <wp:docPr id="25362" name="Picture 25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2" name="Picture 253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bankovní účet č. 1525001/0710 vedený u České národní banky</w:t>
      </w:r>
    </w:p>
    <w:p w:rsidR="00D17A3F" w:rsidRDefault="00C11933">
      <w:pPr>
        <w:spacing w:after="221" w:line="259" w:lineRule="auto"/>
        <w:ind w:left="290" w:hanging="10"/>
        <w:jc w:val="left"/>
      </w:pPr>
      <w:r>
        <w:rPr>
          <w:u w:val="single" w:color="000000"/>
        </w:rPr>
        <w:t>Žadatel:</w:t>
      </w:r>
    </w:p>
    <w:p w:rsidR="00D17A3F" w:rsidRDefault="00C11933">
      <w:pPr>
        <w:spacing w:after="567"/>
        <w:ind w:left="346" w:right="1137" w:hanging="58"/>
      </w:pPr>
      <w:r>
        <w:t xml:space="preserve">NET4GAS, s.r.o., se sídlem Praha 4 - Nusle, Na Hřebenech II 1 71 8/8, </w:t>
      </w:r>
      <w:proofErr w:type="spellStart"/>
      <w:r>
        <w:t>psč</w:t>
      </w:r>
      <w:proofErr w:type="spellEnd"/>
      <w:r>
        <w:t xml:space="preserve"> 14021 Praha 4, IČO: 27260364, zapsaná v obchodním rejstříku vedeném Městským soudem v Praze, oddíl C, vložka 108316, zastoupená [o] bankovní účet č. 2 17848053/0300 vedený u Českoslo</w:t>
      </w:r>
      <w:r>
        <w:t>venská obchodní banka, a. s.</w:t>
      </w:r>
    </w:p>
    <w:p w:rsidR="00D17A3F" w:rsidRDefault="00C11933">
      <w:pPr>
        <w:spacing w:after="317" w:line="259" w:lineRule="auto"/>
        <w:ind w:left="290" w:hanging="10"/>
        <w:jc w:val="left"/>
      </w:pPr>
      <w:r>
        <w:rPr>
          <w:u w:val="single" w:color="000000"/>
        </w:rPr>
        <w:t>Předmět žádosti:</w:t>
      </w:r>
    </w:p>
    <w:p w:rsidR="00D17A3F" w:rsidRDefault="00C11933">
      <w:pPr>
        <w:spacing w:after="790" w:line="259" w:lineRule="auto"/>
        <w:ind w:left="288" w:right="561" w:firstLine="0"/>
        <w:jc w:val="left"/>
      </w:pPr>
      <w:r>
        <w:rPr>
          <w:sz w:val="24"/>
        </w:rPr>
        <w:t>V souladu s Ujednáním o provádění krizového opatření a náhradě škody vzniklé Provozovateli přepravní soustavy v souvislosti se zajištěním uskladnění plynu pro skladovací rok 2022/2023 v zásobnících plynu na území České republiky připojených k přepravní sou</w:t>
      </w:r>
      <w:r>
        <w:rPr>
          <w:sz w:val="24"/>
        </w:rPr>
        <w:t xml:space="preserve">stavě České republiky podle krizového opatření Ministerstva průmyslu a obchodu ze dne 28. dubna 2022 žádáme o proplacení částky ve výši </w:t>
      </w:r>
      <w:proofErr w:type="gramStart"/>
      <w:r>
        <w:rPr>
          <w:sz w:val="24"/>
        </w:rPr>
        <w:tab/>
        <w:t>..</w:t>
      </w:r>
      <w:proofErr w:type="gramEnd"/>
      <w:r>
        <w:rPr>
          <w:sz w:val="24"/>
        </w:rPr>
        <w:t xml:space="preserve"> .. </w:t>
      </w:r>
      <w:r>
        <w:rPr>
          <w:noProof/>
        </w:rPr>
        <w:drawing>
          <wp:inline distT="0" distB="0" distL="0" distR="0">
            <wp:extent cx="708232" cy="18280"/>
            <wp:effectExtent l="0" t="0" r="0" b="0"/>
            <wp:docPr id="13474" name="Picture 1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" name="Picture 1347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823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korun českých. Částku uhraďte na výše uvedený bankovní účet.</w:t>
      </w:r>
    </w:p>
    <w:p w:rsidR="00D17A3F" w:rsidRDefault="00C11933">
      <w:pPr>
        <w:spacing w:after="258"/>
        <w:ind w:left="291" w:right="136"/>
      </w:pPr>
      <w:r>
        <w:t>Povinné přílohy žádosti:</w:t>
      </w:r>
    </w:p>
    <w:p w:rsidR="00D17A3F" w:rsidRDefault="00C11933">
      <w:pPr>
        <w:spacing w:after="181"/>
        <w:ind w:left="1000" w:right="324" w:hanging="331"/>
      </w:pPr>
      <w:proofErr w:type="gramStart"/>
      <w:r>
        <w:t>l .</w:t>
      </w:r>
      <w:proofErr w:type="gramEnd"/>
      <w:r>
        <w:t xml:space="preserve"> Kopie faktury vystave</w:t>
      </w:r>
      <w:r>
        <w:t>né účastníkem Aukce vůči NET4GAS, s.r.o., podle Dílčí smlouvy související se zajištěním uskladnění plynu pro skladovací rok 2022/2023 v zásobnících plynu na území České republiky připojených k přepravní soustavě České republiky podle krizového opatření Min</w:t>
      </w:r>
      <w:r>
        <w:t>isterstva průmyslu a obchodu ze dne 28. dubna 2022na;</w:t>
      </w:r>
    </w:p>
    <w:p w:rsidR="00D17A3F" w:rsidRDefault="00C11933">
      <w:pPr>
        <w:numPr>
          <w:ilvl w:val="0"/>
          <w:numId w:val="3"/>
        </w:numPr>
        <w:ind w:left="1001" w:right="136" w:hanging="353"/>
      </w:pPr>
      <w:r>
        <w:t>identifikace Dílčích smluv sjednaných NET4GAS, s.r.o., účastníky Aukce, jejichž nabídky byly v příslušné Aukci úspěšné;</w:t>
      </w:r>
    </w:p>
    <w:p w:rsidR="00D17A3F" w:rsidRDefault="00C11933">
      <w:pPr>
        <w:numPr>
          <w:ilvl w:val="0"/>
          <w:numId w:val="3"/>
        </w:numPr>
        <w:spacing w:after="730" w:line="219" w:lineRule="auto"/>
        <w:ind w:left="1001" w:right="136" w:hanging="353"/>
      </w:pPr>
      <w:r>
        <w:t xml:space="preserve">Čestné prohlášení NET4GAS, s.r.o., o splnění podmínek na jejichž základě bude proplacena účastníkovi (účastníkům) aukce faktura dle bodu </w:t>
      </w:r>
      <w:proofErr w:type="gramStart"/>
      <w:r>
        <w:t>l .</w:t>
      </w:r>
      <w:proofErr w:type="gramEnd"/>
    </w:p>
    <w:p w:rsidR="00D17A3F" w:rsidRDefault="00C11933">
      <w:pPr>
        <w:tabs>
          <w:tab w:val="center" w:pos="608"/>
          <w:tab w:val="center" w:pos="5757"/>
        </w:tabs>
        <w:spacing w:after="254" w:line="265" w:lineRule="auto"/>
        <w:ind w:left="0" w:firstLine="0"/>
        <w:jc w:val="left"/>
      </w:pPr>
      <w:r>
        <w:rPr>
          <w:sz w:val="24"/>
        </w:rPr>
        <w:tab/>
        <w:t>Datum</w:t>
      </w:r>
      <w:r>
        <w:rPr>
          <w:sz w:val="24"/>
        </w:rPr>
        <w:tab/>
        <w:t>Podpis</w:t>
      </w:r>
    </w:p>
    <w:sectPr w:rsidR="00D17A3F">
      <w:pgSz w:w="11902" w:h="16834"/>
      <w:pgMar w:top="1331" w:right="1173" w:bottom="1005" w:left="10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1A50"/>
    <w:multiLevelType w:val="hybridMultilevel"/>
    <w:tmpl w:val="3EB6283C"/>
    <w:lvl w:ilvl="0" w:tplc="DC203632">
      <w:start w:val="2"/>
      <w:numFmt w:val="upperLetter"/>
      <w:lvlText w:val="(%1)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C6F1E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627C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ECED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C357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677A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6C44E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E37A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0128C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735A4"/>
    <w:multiLevelType w:val="hybridMultilevel"/>
    <w:tmpl w:val="30A23642"/>
    <w:lvl w:ilvl="0" w:tplc="E7C2957A">
      <w:start w:val="2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6B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C33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2D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E6D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C025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A2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2F7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615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41F42"/>
    <w:multiLevelType w:val="multilevel"/>
    <w:tmpl w:val="A726EAA8"/>
    <w:lvl w:ilvl="0">
      <w:start w:val="2"/>
      <w:numFmt w:val="decimal"/>
      <w:lvlText w:val="%1.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3F"/>
    <w:rsid w:val="00C11933"/>
    <w:rsid w:val="00D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099C-B673-4A14-BF8B-3BE650B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3" w:line="271" w:lineRule="auto"/>
      <w:ind w:left="154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4"/>
      <w:ind w:left="43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43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A23B4A56.dotm</Template>
  <TotalTime>0</TotalTime>
  <Pages>6</Pages>
  <Words>2070</Words>
  <Characters>12217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T10518-20220509100655</vt:lpstr>
    </vt:vector>
  </TitlesOfParts>
  <Company>Ministerstvo průmyslu a obchodu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T10518-20220509100655</dc:title>
  <dc:subject/>
  <dc:creator>Král Vladislav</dc:creator>
  <cp:keywords/>
  <cp:lastModifiedBy>Král Vladislav</cp:lastModifiedBy>
  <cp:revision>2</cp:revision>
  <dcterms:created xsi:type="dcterms:W3CDTF">2022-05-10T11:36:00Z</dcterms:created>
  <dcterms:modified xsi:type="dcterms:W3CDTF">2022-05-10T11:36:00Z</dcterms:modified>
</cp:coreProperties>
</file>