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66C7AD3B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8D345A">
        <w:rPr>
          <w:rFonts w:cstheme="minorHAnsi"/>
          <w:b/>
        </w:rPr>
        <w:t>U/V PROVOZOVNĚ SEZAM BISTRO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Sportovní zařízení města Příbram, p.o.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Jaroslav Malkovský</w:t>
      </w:r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Sídlo: Lokšany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095C666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8D345A">
        <w:rPr>
          <w:rFonts w:cstheme="minorHAnsi"/>
        </w:rPr>
        <w:t>u/v provozovně SeZaM bistro Nový rybník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0798BDBF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> provozovně SeZaM bistro</w:t>
      </w:r>
      <w:r w:rsidRPr="009B204F">
        <w:rPr>
          <w:rFonts w:cstheme="minorHAnsi"/>
        </w:rPr>
        <w:t xml:space="preserve">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67037A">
        <w:rPr>
          <w:rFonts w:cstheme="minorHAnsi"/>
        </w:rPr>
        <w:t>2</w:t>
      </w:r>
      <w:r w:rsidR="00AA72CC">
        <w:rPr>
          <w:rFonts w:cstheme="minorHAnsi"/>
        </w:rPr>
        <w:t xml:space="preserve"> do 30.04.202</w:t>
      </w:r>
      <w:r w:rsidR="0067037A">
        <w:rPr>
          <w:rFonts w:cstheme="minorHAnsi"/>
        </w:rPr>
        <w:t>3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2C5ADE29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</w:t>
      </w:r>
      <w:r w:rsidR="008D345A">
        <w:rPr>
          <w:rFonts w:cstheme="minorHAnsi"/>
        </w:rPr>
        <w:t>SeZaM bistro NR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5060B5">
        <w:rPr>
          <w:rFonts w:cstheme="minorHAnsi"/>
        </w:rPr>
        <w:t>Gulyášová</w:t>
      </w:r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 zodpovědnost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0BA2AC53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 xml:space="preserve">u/v provozovně SeZaM bistra </w:t>
      </w:r>
      <w:r w:rsidRPr="009B204F">
        <w:rPr>
          <w:rFonts w:cstheme="minorHAnsi"/>
        </w:rPr>
        <w:t xml:space="preserve">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>mací dle předchozí domluvy s vedením PČR a MP Příbram, a to vždy prostřednictvím oprávněné osoby Dodavatelem kterou strany stanovují Jaroslava Malkovského.</w:t>
      </w:r>
    </w:p>
    <w:p w14:paraId="41A8A321" w14:textId="0C8ACC24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> provozovně SeZaM bistra</w:t>
      </w:r>
      <w:r w:rsidRPr="009B204F">
        <w:rPr>
          <w:rFonts w:cstheme="minorHAnsi"/>
        </w:rPr>
        <w:t xml:space="preserve"> Nov</w:t>
      </w:r>
      <w:r w:rsidR="008D345A">
        <w:rPr>
          <w:rFonts w:cstheme="minorHAnsi"/>
        </w:rPr>
        <w:t>ý</w:t>
      </w:r>
      <w:r w:rsidRPr="009B204F">
        <w:rPr>
          <w:rFonts w:cstheme="minorHAnsi"/>
        </w:rPr>
        <w:t xml:space="preserve"> rybník v Příbrami spolupracovat se všemi složkami IZS a s Městkou policí Příbram. Dále je povinen zabezpečit dodržování provozního a především návštěvního řádu jak v areálu Nového rybníka, tak </w:t>
      </w:r>
      <w:r w:rsidR="008D345A">
        <w:rPr>
          <w:rFonts w:cstheme="minorHAnsi"/>
        </w:rPr>
        <w:t>provozovny SeZam bistra Nový rybník.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ust.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718B2F15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5060B5">
        <w:rPr>
          <w:rFonts w:cstheme="minorHAnsi"/>
          <w:bCs/>
        </w:rPr>
        <w:t>2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75899E8B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5060B5">
        <w:rPr>
          <w:rFonts w:cstheme="minorHAnsi"/>
        </w:rPr>
        <w:t>2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Malkovský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EB0A" w14:textId="77777777" w:rsidR="00FD1CE4" w:rsidRDefault="00FD1CE4" w:rsidP="00605F95">
      <w:pPr>
        <w:spacing w:after="0" w:line="240" w:lineRule="auto"/>
      </w:pPr>
      <w:r>
        <w:separator/>
      </w:r>
    </w:p>
  </w:endnote>
  <w:endnote w:type="continuationSeparator" w:id="0">
    <w:p w14:paraId="0B66873C" w14:textId="77777777" w:rsidR="00FD1CE4" w:rsidRDefault="00FD1CE4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EndPr/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5EE2" w14:textId="77777777" w:rsidR="00FD1CE4" w:rsidRDefault="00FD1CE4" w:rsidP="00605F95">
      <w:pPr>
        <w:spacing w:after="0" w:line="240" w:lineRule="auto"/>
      </w:pPr>
      <w:r>
        <w:separator/>
      </w:r>
    </w:p>
  </w:footnote>
  <w:footnote w:type="continuationSeparator" w:id="0">
    <w:p w14:paraId="432CAA24" w14:textId="77777777" w:rsidR="00FD1CE4" w:rsidRDefault="00FD1CE4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1E6F45"/>
    <w:rsid w:val="002D46EE"/>
    <w:rsid w:val="00473737"/>
    <w:rsid w:val="004A5C54"/>
    <w:rsid w:val="004B6305"/>
    <w:rsid w:val="004E2F40"/>
    <w:rsid w:val="004F7455"/>
    <w:rsid w:val="004F7D34"/>
    <w:rsid w:val="005060B5"/>
    <w:rsid w:val="00526D84"/>
    <w:rsid w:val="005B03AE"/>
    <w:rsid w:val="005D2A07"/>
    <w:rsid w:val="005F0127"/>
    <w:rsid w:val="005F77BE"/>
    <w:rsid w:val="00605F95"/>
    <w:rsid w:val="00627D4C"/>
    <w:rsid w:val="0067037A"/>
    <w:rsid w:val="006C6D54"/>
    <w:rsid w:val="006D0309"/>
    <w:rsid w:val="006D060C"/>
    <w:rsid w:val="00711697"/>
    <w:rsid w:val="007266F0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A48FD"/>
    <w:rsid w:val="00BE2321"/>
    <w:rsid w:val="00C4243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7838"/>
    <w:rsid w:val="00F4260C"/>
    <w:rsid w:val="00F5105E"/>
    <w:rsid w:val="00F84808"/>
    <w:rsid w:val="00FB34D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DELL</cp:lastModifiedBy>
  <cp:revision>3</cp:revision>
  <cp:lastPrinted>2022-04-11T08:02:00Z</cp:lastPrinted>
  <dcterms:created xsi:type="dcterms:W3CDTF">2022-04-11T08:02:00Z</dcterms:created>
  <dcterms:modified xsi:type="dcterms:W3CDTF">2022-04-12T06:33:00Z</dcterms:modified>
</cp:coreProperties>
</file>