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2BC8" w:rsidRDefault="00D32BC8" w:rsidP="00D32BC8">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D32BC8" w:rsidRDefault="00D32BC8" w:rsidP="00D32BC8">
      <w:pPr>
        <w:spacing w:after="0" w:line="240" w:lineRule="auto"/>
      </w:pPr>
    </w:p>
    <w:p w:rsidR="00D32BC8" w:rsidRDefault="00D32BC8" w:rsidP="00D32BC8">
      <w:pPr>
        <w:spacing w:after="0" w:line="240" w:lineRule="auto"/>
      </w:pPr>
      <w:r>
        <w:t>č. smlouvy: 218/2022</w:t>
      </w:r>
    </w:p>
    <w:p w:rsidR="00D32BC8" w:rsidRDefault="00D32BC8" w:rsidP="00D32BC8">
      <w:pPr>
        <w:spacing w:after="0" w:line="240" w:lineRule="auto"/>
      </w:pPr>
    </w:p>
    <w:p w:rsidR="00D32BC8" w:rsidRDefault="00D32BC8" w:rsidP="00D32BC8">
      <w:pPr>
        <w:spacing w:after="0" w:line="240" w:lineRule="auto"/>
      </w:pPr>
      <w:r>
        <w:t>Smluvní strany:</w:t>
      </w:r>
    </w:p>
    <w:p w:rsidR="00D32BC8" w:rsidRDefault="00D32BC8" w:rsidP="00D32BC8">
      <w:pPr>
        <w:spacing w:after="0" w:line="240" w:lineRule="auto"/>
      </w:pPr>
    </w:p>
    <w:p w:rsidR="00D32BC8" w:rsidRDefault="00D32BC8" w:rsidP="00D32BC8">
      <w:pPr>
        <w:pStyle w:val="Odstavecseseznamem"/>
        <w:numPr>
          <w:ilvl w:val="0"/>
          <w:numId w:val="3"/>
        </w:numPr>
        <w:spacing w:after="0" w:line="240" w:lineRule="auto"/>
        <w:ind w:left="426" w:hanging="426"/>
      </w:pPr>
      <w:r w:rsidRPr="00D32BC8">
        <w:rPr>
          <w:b/>
        </w:rPr>
        <w:t>POSKYTOVATEL DOTACE</w:t>
      </w:r>
      <w:r>
        <w:t xml:space="preserve"> </w:t>
      </w:r>
      <w:r>
        <w:tab/>
        <w:t>Město Kroměříž</w:t>
      </w:r>
    </w:p>
    <w:p w:rsidR="00D32BC8" w:rsidRDefault="00D32BC8" w:rsidP="00D32BC8">
      <w:pPr>
        <w:spacing w:after="0" w:line="240" w:lineRule="auto"/>
      </w:pPr>
      <w:r>
        <w:t>Zastoupen:</w:t>
      </w:r>
      <w:r>
        <w:tab/>
      </w:r>
      <w:r>
        <w:tab/>
      </w:r>
      <w:r>
        <w:tab/>
        <w:t>Mgr. Jaroslavem Němcem, starostou města</w:t>
      </w:r>
    </w:p>
    <w:p w:rsidR="00D32BC8" w:rsidRDefault="00D32BC8" w:rsidP="00D32BC8">
      <w:pPr>
        <w:spacing w:after="0" w:line="240" w:lineRule="auto"/>
      </w:pPr>
      <w:r>
        <w:t>Sídlo:</w:t>
      </w:r>
      <w:r>
        <w:tab/>
      </w:r>
      <w:r>
        <w:tab/>
      </w:r>
      <w:r>
        <w:tab/>
      </w:r>
      <w:r>
        <w:tab/>
        <w:t>Velké nám. 115/1, 767 01 Kroměříž</w:t>
      </w:r>
    </w:p>
    <w:p w:rsidR="00D32BC8" w:rsidRDefault="00D32BC8" w:rsidP="00D32BC8">
      <w:pPr>
        <w:spacing w:after="0" w:line="240" w:lineRule="auto"/>
      </w:pPr>
      <w:r>
        <w:t>IČ:</w:t>
      </w:r>
      <w:r>
        <w:tab/>
      </w:r>
      <w:r>
        <w:tab/>
      </w:r>
      <w:r>
        <w:tab/>
      </w:r>
      <w:r>
        <w:tab/>
        <w:t>00287351</w:t>
      </w:r>
    </w:p>
    <w:p w:rsidR="00D32BC8" w:rsidRDefault="00D32BC8" w:rsidP="00D32BC8">
      <w:pPr>
        <w:spacing w:after="0" w:line="240" w:lineRule="auto"/>
      </w:pPr>
      <w:r>
        <w:t>Bankovní spojení:</w:t>
      </w:r>
      <w:r>
        <w:tab/>
      </w:r>
      <w:r>
        <w:tab/>
        <w:t>KB, a.s., č. účtu 8326340247/0100</w:t>
      </w:r>
    </w:p>
    <w:p w:rsidR="00D32BC8" w:rsidRDefault="00D32BC8" w:rsidP="00D32BC8">
      <w:pPr>
        <w:spacing w:after="0" w:line="240" w:lineRule="auto"/>
      </w:pPr>
      <w:r>
        <w:t>(dále jen „poskytovatel“)</w:t>
      </w:r>
    </w:p>
    <w:p w:rsidR="00D32BC8" w:rsidRDefault="00D32BC8" w:rsidP="00D32BC8">
      <w:pPr>
        <w:spacing w:after="0" w:line="240" w:lineRule="auto"/>
      </w:pPr>
    </w:p>
    <w:p w:rsidR="00D32BC8" w:rsidRPr="009E0D2B" w:rsidRDefault="00D32BC8" w:rsidP="00D32BC8">
      <w:pPr>
        <w:pStyle w:val="Odstavecseseznamem"/>
        <w:numPr>
          <w:ilvl w:val="0"/>
          <w:numId w:val="3"/>
        </w:numPr>
        <w:spacing w:after="0" w:line="240" w:lineRule="auto"/>
        <w:ind w:left="426" w:hanging="426"/>
      </w:pPr>
      <w:r w:rsidRPr="00D32BC8">
        <w:rPr>
          <w:b/>
        </w:rPr>
        <w:t>PŘÍJEMCE DOTACE</w:t>
      </w:r>
      <w:r w:rsidRPr="00D32BC8">
        <w:rPr>
          <w:b/>
        </w:rPr>
        <w:tab/>
      </w:r>
      <w:r>
        <w:tab/>
        <w:t>PAHOP, Zdravotní ústav paliativní a hospicové péče, z. ú.</w:t>
      </w:r>
    </w:p>
    <w:p w:rsidR="00D32BC8" w:rsidRPr="009E0D2B" w:rsidRDefault="00D32BC8" w:rsidP="00D32BC8">
      <w:pPr>
        <w:spacing w:after="0" w:line="240" w:lineRule="auto"/>
      </w:pPr>
      <w:r w:rsidRPr="009E0D2B">
        <w:t>Zastoupen:</w:t>
      </w:r>
      <w:r w:rsidRPr="009E0D2B">
        <w:tab/>
      </w:r>
      <w:r w:rsidRPr="009E0D2B">
        <w:tab/>
      </w:r>
      <w:r w:rsidRPr="009E0D2B">
        <w:tab/>
      </w:r>
      <w:r>
        <w:t>Mgr. Helena Schwarczová, ředitelka</w:t>
      </w:r>
    </w:p>
    <w:p w:rsidR="00D32BC8" w:rsidRPr="009E0D2B" w:rsidRDefault="00D32BC8" w:rsidP="00D32BC8">
      <w:pPr>
        <w:spacing w:after="0" w:line="240" w:lineRule="auto"/>
      </w:pPr>
      <w:r w:rsidRPr="009E0D2B">
        <w:t>Sídlo/trvalý pobyt:</w:t>
      </w:r>
      <w:r w:rsidRPr="009E0D2B">
        <w:tab/>
      </w:r>
      <w:r w:rsidRPr="009E0D2B">
        <w:tab/>
      </w:r>
      <w:r>
        <w:t>Palackého náměstí 293, 686 01 Uherské Hradiště</w:t>
      </w:r>
    </w:p>
    <w:p w:rsidR="00D32BC8" w:rsidRDefault="00D32BC8" w:rsidP="00D32BC8">
      <w:pPr>
        <w:spacing w:after="0" w:line="240" w:lineRule="auto"/>
      </w:pPr>
      <w:r>
        <w:t>IČ:</w:t>
      </w:r>
      <w:r>
        <w:tab/>
      </w:r>
      <w:r>
        <w:tab/>
      </w:r>
      <w:r>
        <w:tab/>
      </w:r>
      <w:r>
        <w:tab/>
        <w:t>049 77 408</w:t>
      </w:r>
    </w:p>
    <w:p w:rsidR="00D32BC8" w:rsidRPr="009E0D2B" w:rsidRDefault="00D32BC8" w:rsidP="00D32BC8">
      <w:pPr>
        <w:spacing w:after="0" w:line="240" w:lineRule="auto"/>
      </w:pPr>
      <w:r>
        <w:t>Bankovní spojení:</w:t>
      </w:r>
      <w:r>
        <w:tab/>
      </w:r>
      <w:r>
        <w:tab/>
        <w:t>4273444369</w:t>
      </w:r>
      <w:r w:rsidRPr="009E0D2B">
        <w:t>/0800</w:t>
      </w:r>
      <w:r>
        <w:t>, Česká spořitelna a. s.</w:t>
      </w:r>
    </w:p>
    <w:p w:rsidR="00D32BC8" w:rsidRDefault="00D32BC8" w:rsidP="00D32BC8">
      <w:pPr>
        <w:spacing w:after="0" w:line="240" w:lineRule="auto"/>
      </w:pPr>
      <w:r>
        <w:t>(dále jen „příjemce“)</w:t>
      </w:r>
    </w:p>
    <w:p w:rsidR="00D32BC8" w:rsidRDefault="00D32BC8" w:rsidP="00D32BC8">
      <w:pPr>
        <w:spacing w:after="0" w:line="240" w:lineRule="auto"/>
      </w:pPr>
    </w:p>
    <w:p w:rsidR="00D32BC8" w:rsidRDefault="00D32BC8" w:rsidP="00D32BC8">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D32BC8" w:rsidRDefault="00D32BC8" w:rsidP="00D32BC8">
      <w:pPr>
        <w:spacing w:after="0" w:line="240" w:lineRule="auto"/>
        <w:jc w:val="both"/>
      </w:pPr>
    </w:p>
    <w:p w:rsid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D32BC8" w:rsidRPr="000222BF" w:rsidRDefault="00D32BC8" w:rsidP="00D32BC8">
      <w:pPr>
        <w:pStyle w:val="Odstavecseseznamem"/>
        <w:numPr>
          <w:ilvl w:val="0"/>
          <w:numId w:val="5"/>
        </w:numPr>
        <w:spacing w:after="0" w:line="240" w:lineRule="auto"/>
        <w:jc w:val="both"/>
      </w:pPr>
      <w:r w:rsidRPr="000222BF">
        <w:t>Předmětem této smlouvy je poskytnutí dotace za podmínek stanovených touto smlouvou na základě vyhlášeného Programu pro poskytování finanční podpory z rozpočtu města Kroměříže k zajištění financování mobilní paliativní péče na rok 2022 a na základě žádosti o dotaci příjemce č. MeUKM/01</w:t>
      </w:r>
      <w:r>
        <w:t>9751</w:t>
      </w:r>
      <w:r w:rsidRPr="000222BF">
        <w:t xml:space="preserve">/2022 ze dne </w:t>
      </w:r>
      <w:r>
        <w:t>7</w:t>
      </w:r>
      <w:r w:rsidRPr="000222BF">
        <w:t>. 3. 2022 na</w:t>
      </w:r>
    </w:p>
    <w:p w:rsidR="00D32BC8" w:rsidRPr="000222BF" w:rsidRDefault="00D32BC8" w:rsidP="00D32BC8">
      <w:pPr>
        <w:pStyle w:val="Odstavecseseznamem"/>
        <w:spacing w:after="0" w:line="240" w:lineRule="auto"/>
        <w:jc w:val="both"/>
      </w:pPr>
      <w:r w:rsidRPr="000222BF">
        <w:t xml:space="preserve"> </w:t>
      </w:r>
    </w:p>
    <w:p w:rsidR="00D32BC8" w:rsidRDefault="00D32BC8" w:rsidP="00D32BC8">
      <w:pPr>
        <w:spacing w:after="0" w:line="240" w:lineRule="auto"/>
        <w:ind w:left="360"/>
        <w:jc w:val="center"/>
      </w:pPr>
      <w:r>
        <w:t>provoz a činnost organizace PAHOP, Zdravotní ústav paliativní a hospicové péče, z. ú.</w:t>
      </w:r>
    </w:p>
    <w:p w:rsidR="00D32BC8" w:rsidRDefault="00D32BC8" w:rsidP="00D32BC8">
      <w:pPr>
        <w:pStyle w:val="Odstavecseseznamem"/>
        <w:spacing w:after="0" w:line="240" w:lineRule="auto"/>
      </w:pPr>
    </w:p>
    <w:p w:rsidR="00D32BC8" w:rsidRDefault="00D32BC8" w:rsidP="00D32BC8">
      <w:pPr>
        <w:pStyle w:val="Odstavecseseznamem"/>
        <w:numPr>
          <w:ilvl w:val="0"/>
          <w:numId w:val="5"/>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D32BC8" w:rsidRDefault="00D32BC8" w:rsidP="00D32BC8">
      <w:pPr>
        <w:pStyle w:val="Odstavecseseznamem"/>
        <w:numPr>
          <w:ilvl w:val="0"/>
          <w:numId w:val="5"/>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D32BC8" w:rsidRDefault="00D32BC8" w:rsidP="00D32BC8">
      <w:pPr>
        <w:pStyle w:val="Odstavecseseznamem"/>
        <w:numPr>
          <w:ilvl w:val="0"/>
          <w:numId w:val="5"/>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D32BC8" w:rsidRDefault="00D32BC8" w:rsidP="00D32BC8">
      <w:pPr>
        <w:pStyle w:val="Odstavecseseznamem"/>
        <w:numPr>
          <w:ilvl w:val="0"/>
          <w:numId w:val="5"/>
        </w:numPr>
        <w:spacing w:after="0" w:line="240" w:lineRule="auto"/>
        <w:jc w:val="both"/>
      </w:pPr>
      <w:r>
        <w:t>Prokáže-li se po poskytnutí dotace, že tato naplňuje znaky veřejné podpory dle č. 107 až 109 Smlouvy o fungování Evropské unie, příjemce se zavazuje poskytnutou dotaci neprodleně vrátit zpět na účet poskytovatele.</w:t>
      </w:r>
    </w:p>
    <w:p w:rsidR="00D32BC8" w:rsidRDefault="00D32BC8" w:rsidP="00D32BC8">
      <w:pPr>
        <w:spacing w:after="0" w:line="240" w:lineRule="auto"/>
        <w:ind w:left="360"/>
        <w:jc w:val="both"/>
      </w:pPr>
    </w:p>
    <w:p w:rsid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D32BC8" w:rsidRDefault="00D32BC8" w:rsidP="00D32BC8">
      <w:pPr>
        <w:pStyle w:val="Odstavecseseznamem"/>
        <w:numPr>
          <w:ilvl w:val="0"/>
          <w:numId w:val="6"/>
        </w:numPr>
        <w:spacing w:after="0" w:line="240" w:lineRule="auto"/>
        <w:jc w:val="both"/>
      </w:pPr>
      <w:r>
        <w:t>Na základě podané žádosti a přiloženého položkového rozpočtu a této smlouvy poskytovatel poskytne příjemci účelovou neinvestiční dotaci ve výši</w:t>
      </w:r>
    </w:p>
    <w:p w:rsidR="00D32BC8" w:rsidRDefault="00D32BC8" w:rsidP="00D32BC8">
      <w:pPr>
        <w:pStyle w:val="Odstavecseseznamem"/>
        <w:spacing w:after="0" w:line="240" w:lineRule="auto"/>
        <w:jc w:val="both"/>
      </w:pPr>
    </w:p>
    <w:p w:rsidR="00D32BC8" w:rsidRPr="00D32BC8" w:rsidRDefault="00D32BC8" w:rsidP="00D32BC8">
      <w:pPr>
        <w:pStyle w:val="Odstavecseseznamem"/>
        <w:spacing w:after="0" w:line="240" w:lineRule="auto"/>
        <w:jc w:val="center"/>
        <w:rPr>
          <w:b/>
        </w:rPr>
      </w:pPr>
      <w:r w:rsidRPr="00D32BC8">
        <w:rPr>
          <w:b/>
        </w:rPr>
        <w:t>136 000 Kč, slovy: jedno sto třicet šest tisíc korun českých</w:t>
      </w:r>
    </w:p>
    <w:p w:rsidR="00D32BC8" w:rsidRDefault="00D32BC8" w:rsidP="00D32BC8">
      <w:pPr>
        <w:pStyle w:val="Odstavecseseznamem"/>
        <w:spacing w:after="0" w:line="240" w:lineRule="auto"/>
        <w:jc w:val="both"/>
      </w:pPr>
    </w:p>
    <w:p w:rsidR="00D32BC8" w:rsidRDefault="00D32BC8" w:rsidP="00D32BC8">
      <w:pPr>
        <w:pStyle w:val="Odstavecseseznamem"/>
        <w:spacing w:after="0" w:line="240" w:lineRule="auto"/>
        <w:jc w:val="both"/>
      </w:pPr>
      <w:r>
        <w:t xml:space="preserve">Což může činit nejvýše </w:t>
      </w:r>
      <w:r w:rsidRPr="00AE4E19">
        <w:t xml:space="preserve">70% </w:t>
      </w:r>
      <w:r>
        <w:t>z celkových uznatelných výdajů na podporovaný předmět dotace.</w:t>
      </w:r>
    </w:p>
    <w:p w:rsidR="00D32BC8" w:rsidRDefault="00D32BC8" w:rsidP="00D32BC8">
      <w:pPr>
        <w:pStyle w:val="Odstavecseseznamem"/>
        <w:numPr>
          <w:ilvl w:val="0"/>
          <w:numId w:val="6"/>
        </w:numPr>
        <w:spacing w:after="0" w:line="240" w:lineRule="auto"/>
        <w:jc w:val="both"/>
      </w:pPr>
      <w:r>
        <w:t>Dotace bude poukázána bankovním převodem na účet příjemce uvedený v záhlaví smlouvy do 30 dnů po nabytí účinnosti této smlouvy či ve více splátkách uvedených v této smlouvě.</w:t>
      </w:r>
    </w:p>
    <w:p w:rsidR="00D32BC8" w:rsidRDefault="00D32BC8" w:rsidP="00D32BC8">
      <w:pPr>
        <w:pStyle w:val="Odstavecseseznamem"/>
        <w:spacing w:after="0" w:line="240" w:lineRule="auto"/>
      </w:pPr>
    </w:p>
    <w:p w:rsid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D32BC8" w:rsidRDefault="00D32BC8" w:rsidP="00D32BC8">
      <w:pPr>
        <w:pStyle w:val="Odstavecseseznamem"/>
        <w:numPr>
          <w:ilvl w:val="0"/>
          <w:numId w:val="7"/>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2022 do 31. 12. 2022, včetně výdajů uskutečněných v následujícím roce a to do 31. 1. 2023, pokud účetně a věcně souvisejí s rokem 2022. Dotaci nelze převádět do následujícího kalendářního roku.</w:t>
      </w:r>
    </w:p>
    <w:p w:rsidR="00D32BC8" w:rsidRDefault="00D32BC8" w:rsidP="00D32BC8">
      <w:pPr>
        <w:pStyle w:val="Odstavecseseznamem"/>
        <w:numPr>
          <w:ilvl w:val="0"/>
          <w:numId w:val="7"/>
        </w:numPr>
        <w:spacing w:after="0" w:line="240" w:lineRule="auto"/>
        <w:jc w:val="both"/>
      </w:pPr>
      <w:r>
        <w:t>O změnu rozpočtu na podporovaný předmět dotace lze písemně požádat poskytovatele v termínu do 31. 10. 2022, a to pouze ze závažných důvodů.</w:t>
      </w:r>
    </w:p>
    <w:p w:rsidR="00D32BC8" w:rsidRDefault="00D32BC8" w:rsidP="00D32BC8">
      <w:pPr>
        <w:pStyle w:val="Odstavecseseznamem"/>
        <w:numPr>
          <w:ilvl w:val="0"/>
          <w:numId w:val="7"/>
        </w:numPr>
        <w:spacing w:after="0" w:line="240" w:lineRule="auto"/>
        <w:jc w:val="both"/>
      </w:pPr>
      <w:r>
        <w:t>Příjemce se zavazuje, že poskytnutá dotace nebude použita na:</w:t>
      </w:r>
    </w:p>
    <w:p w:rsidR="00D32BC8" w:rsidRPr="00383D13" w:rsidRDefault="00D32BC8" w:rsidP="00D32BC8">
      <w:pPr>
        <w:pStyle w:val="Odstavecseseznamem"/>
        <w:numPr>
          <w:ilvl w:val="0"/>
          <w:numId w:val="9"/>
        </w:numPr>
        <w:spacing w:after="0" w:line="240" w:lineRule="auto"/>
        <w:jc w:val="both"/>
      </w:pPr>
      <w:r w:rsidRPr="00383D13">
        <w:t>mzdy a platy,</w:t>
      </w:r>
    </w:p>
    <w:p w:rsidR="00D32BC8" w:rsidRDefault="00D32BC8" w:rsidP="00D32BC8">
      <w:pPr>
        <w:pStyle w:val="Odstavecseseznamem"/>
        <w:numPr>
          <w:ilvl w:val="0"/>
          <w:numId w:val="9"/>
        </w:numPr>
        <w:spacing w:after="0" w:line="240" w:lineRule="auto"/>
        <w:jc w:val="both"/>
      </w:pPr>
      <w:r>
        <w:t>odměny členů statutárních či kontrolních orgánů příjemce, který je právnickou osobou,</w:t>
      </w:r>
    </w:p>
    <w:p w:rsidR="00D32BC8" w:rsidRDefault="00D32BC8" w:rsidP="00D32BC8">
      <w:pPr>
        <w:pStyle w:val="Odstavecseseznamem"/>
        <w:numPr>
          <w:ilvl w:val="0"/>
          <w:numId w:val="9"/>
        </w:numPr>
        <w:spacing w:after="0" w:line="240" w:lineRule="auto"/>
        <w:jc w:val="both"/>
      </w:pPr>
      <w:r>
        <w:t>odstupné ve smyslu zákoníku práce,</w:t>
      </w:r>
    </w:p>
    <w:p w:rsidR="00D32BC8" w:rsidRDefault="00D32BC8" w:rsidP="00D32BC8">
      <w:pPr>
        <w:pStyle w:val="Odstavecseseznamem"/>
        <w:numPr>
          <w:ilvl w:val="0"/>
          <w:numId w:val="9"/>
        </w:numPr>
        <w:spacing w:after="0" w:line="240" w:lineRule="auto"/>
        <w:jc w:val="both"/>
      </w:pPr>
      <w: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D32BC8" w:rsidRDefault="00D32BC8" w:rsidP="00D32BC8">
      <w:pPr>
        <w:pStyle w:val="Odstavecseseznamem"/>
        <w:numPr>
          <w:ilvl w:val="0"/>
          <w:numId w:val="9"/>
        </w:numPr>
        <w:spacing w:after="0" w:line="240" w:lineRule="auto"/>
        <w:jc w:val="both"/>
      </w:pPr>
      <w:r>
        <w:t>účetně nedoložené výdaje,</w:t>
      </w:r>
    </w:p>
    <w:p w:rsidR="00D32BC8" w:rsidRDefault="00D32BC8" w:rsidP="00D32BC8">
      <w:pPr>
        <w:pStyle w:val="Odstavecseseznamem"/>
        <w:numPr>
          <w:ilvl w:val="0"/>
          <w:numId w:val="9"/>
        </w:numPr>
        <w:spacing w:after="0" w:line="240" w:lineRule="auto"/>
        <w:jc w:val="both"/>
      </w:pPr>
      <w:r>
        <w:t xml:space="preserve">zálohové platby, které nebudou zúčtovány do 31. 1. </w:t>
      </w:r>
      <w:r w:rsidRPr="000222BF">
        <w:t>2023,</w:t>
      </w:r>
    </w:p>
    <w:p w:rsidR="00D32BC8" w:rsidRDefault="00D32BC8" w:rsidP="00D32BC8">
      <w:pPr>
        <w:pStyle w:val="Odstavecseseznamem"/>
        <w:numPr>
          <w:ilvl w:val="0"/>
          <w:numId w:val="9"/>
        </w:numPr>
        <w:spacing w:after="0" w:line="240" w:lineRule="auto"/>
        <w:jc w:val="both"/>
      </w:pPr>
      <w:r>
        <w:t>daně a poplatky,</w:t>
      </w:r>
    </w:p>
    <w:p w:rsidR="00D32BC8" w:rsidRDefault="00D32BC8" w:rsidP="00D32BC8">
      <w:pPr>
        <w:pStyle w:val="Odstavecseseznamem"/>
        <w:numPr>
          <w:ilvl w:val="0"/>
          <w:numId w:val="9"/>
        </w:numPr>
        <w:spacing w:after="0" w:line="240" w:lineRule="auto"/>
        <w:jc w:val="both"/>
      </w:pPr>
      <w:r>
        <w:t>na pohoštění nad rámec pitného režimu a stravování účastníků akce konané v přímé souvislosti s účelem, na který je dotace poskytována,</w:t>
      </w:r>
    </w:p>
    <w:p w:rsidR="00D32BC8" w:rsidRDefault="00D32BC8" w:rsidP="00D32BC8">
      <w:pPr>
        <w:pStyle w:val="Odstavecseseznamem"/>
        <w:numPr>
          <w:ilvl w:val="0"/>
          <w:numId w:val="9"/>
        </w:numPr>
        <w:spacing w:after="0" w:line="240" w:lineRule="auto"/>
        <w:jc w:val="both"/>
      </w:pPr>
      <w:r>
        <w:t>finanční a věcné dary z výjimkou odměn typu medailí, pohárů, výher v soutěžích, apod.</w:t>
      </w:r>
    </w:p>
    <w:p w:rsidR="00D32BC8" w:rsidRPr="00B078B8" w:rsidRDefault="00D32BC8" w:rsidP="00D32BC8">
      <w:pPr>
        <w:pStyle w:val="Odstavecseseznamem"/>
        <w:numPr>
          <w:ilvl w:val="0"/>
          <w:numId w:val="9"/>
        </w:numPr>
        <w:spacing w:after="0" w:line="240" w:lineRule="auto"/>
        <w:jc w:val="both"/>
      </w:pPr>
      <w:r>
        <w:rPr>
          <w:rFonts w:cs="Calibri"/>
          <w:color w:val="000000"/>
          <w:shd w:val="clear" w:color="auto" w:fill="FFFFFF"/>
        </w:rPr>
        <w:t>cestovní výlohy a náhrady vyplacené nad rámec daňově uznatelných nákladů dle zákona č. 586/1992 Sb., o daních z příjmů, v platném znění,</w:t>
      </w:r>
    </w:p>
    <w:p w:rsidR="00D32BC8" w:rsidRDefault="00D32BC8" w:rsidP="00D32BC8">
      <w:pPr>
        <w:pStyle w:val="Odstavecseseznamem"/>
        <w:numPr>
          <w:ilvl w:val="0"/>
          <w:numId w:val="9"/>
        </w:numPr>
        <w:spacing w:after="0" w:line="240" w:lineRule="auto"/>
        <w:jc w:val="both"/>
      </w:pPr>
      <w:r>
        <w:t>dotace a finanční příspěvky jiným fyzickým a právnickým osobám,</w:t>
      </w:r>
    </w:p>
    <w:p w:rsidR="00D32BC8" w:rsidRDefault="00D32BC8" w:rsidP="00D32BC8">
      <w:pPr>
        <w:pStyle w:val="Odstavecseseznamem"/>
        <w:numPr>
          <w:ilvl w:val="0"/>
          <w:numId w:val="9"/>
        </w:numPr>
        <w:spacing w:after="0" w:line="240" w:lineRule="auto"/>
        <w:jc w:val="both"/>
      </w:pPr>
      <w:r>
        <w:t>poskytnuté úvěry či půjčky a leasing,</w:t>
      </w:r>
    </w:p>
    <w:p w:rsidR="00D32BC8" w:rsidRDefault="00D32BC8" w:rsidP="00D32BC8">
      <w:pPr>
        <w:pStyle w:val="Odstavecseseznamem"/>
        <w:numPr>
          <w:ilvl w:val="0"/>
          <w:numId w:val="9"/>
        </w:numPr>
        <w:spacing w:after="0" w:line="240" w:lineRule="auto"/>
        <w:jc w:val="both"/>
      </w:pPr>
      <w:r>
        <w:t>sankce, splátky úvěrů, úroků z prodlení, mank a náhrad škod,</w:t>
      </w:r>
    </w:p>
    <w:p w:rsidR="00D32BC8" w:rsidRDefault="00D32BC8" w:rsidP="00D32BC8">
      <w:pPr>
        <w:pStyle w:val="Odstavecseseznamem"/>
        <w:numPr>
          <w:ilvl w:val="0"/>
          <w:numId w:val="9"/>
        </w:numPr>
        <w:spacing w:after="0" w:line="240" w:lineRule="auto"/>
        <w:jc w:val="both"/>
      </w:pPr>
      <w:r>
        <w:t>na výdaje nesouvisející s předmětem dotace.</w:t>
      </w:r>
    </w:p>
    <w:p w:rsidR="00D32BC8" w:rsidRDefault="00D32BC8" w:rsidP="00D32BC8">
      <w:pPr>
        <w:pStyle w:val="Odstavecseseznamem"/>
        <w:numPr>
          <w:ilvl w:val="0"/>
          <w:numId w:val="7"/>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D32BC8" w:rsidRDefault="00D32BC8" w:rsidP="00D32BC8">
      <w:pPr>
        <w:pStyle w:val="Odstavecseseznamem"/>
        <w:numPr>
          <w:ilvl w:val="0"/>
          <w:numId w:val="7"/>
        </w:numPr>
        <w:spacing w:after="0" w:line="240" w:lineRule="auto"/>
        <w:jc w:val="both"/>
      </w:pPr>
      <w: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D32BC8" w:rsidRDefault="00D32BC8" w:rsidP="00D32BC8">
      <w:pPr>
        <w:pStyle w:val="Odstavecseseznamem"/>
        <w:numPr>
          <w:ilvl w:val="0"/>
          <w:numId w:val="7"/>
        </w:numPr>
        <w:spacing w:after="0" w:line="240" w:lineRule="auto"/>
        <w:jc w:val="both"/>
      </w:pPr>
      <w:r>
        <w:t xml:space="preserve">Příjemce odpovídá za řádné vedení a viditelné označení originálních prvotních dokladů prokazujících použití dotace uvedením na dokladech „hrazeno z dotace města Kroměříže“. </w:t>
      </w:r>
    </w:p>
    <w:p w:rsidR="00D32BC8" w:rsidRDefault="00D32BC8" w:rsidP="00D32BC8">
      <w:pPr>
        <w:pStyle w:val="Odstavecseseznamem"/>
        <w:numPr>
          <w:ilvl w:val="0"/>
          <w:numId w:val="7"/>
        </w:numPr>
        <w:spacing w:after="0" w:line="240" w:lineRule="auto"/>
        <w:jc w:val="both"/>
      </w:pPr>
      <w:r>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w:t>
      </w:r>
      <w:r w:rsidRPr="00383D13">
        <w:t>5 kalendářních let</w:t>
      </w:r>
      <w:r>
        <w: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D32BC8" w:rsidRDefault="00D32BC8" w:rsidP="00D32BC8">
      <w:pPr>
        <w:pStyle w:val="Odstavecseseznamem"/>
        <w:numPr>
          <w:ilvl w:val="0"/>
          <w:numId w:val="7"/>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D32BC8" w:rsidRDefault="00D32BC8" w:rsidP="00D32BC8">
      <w:pPr>
        <w:pStyle w:val="Odstavecseseznamem"/>
        <w:numPr>
          <w:ilvl w:val="0"/>
          <w:numId w:val="7"/>
        </w:numPr>
        <w:spacing w:after="0" w:line="240" w:lineRule="auto"/>
        <w:jc w:val="both"/>
      </w:pPr>
      <w:r>
        <w:t xml:space="preserve">Doložení použití dotace a její vyúčtování je příjemce povinen předložit ke kontrole poskytovateli, a to administrátorovi dotace </w:t>
      </w:r>
      <w:r w:rsidRPr="00383D13">
        <w:t>do 31. 3. 2023</w:t>
      </w:r>
      <w:r>
        <w:t>.</w:t>
      </w:r>
    </w:p>
    <w:p w:rsidR="00D32BC8" w:rsidRDefault="00D32BC8" w:rsidP="00D32BC8">
      <w:pPr>
        <w:pStyle w:val="Odstavecseseznamem"/>
        <w:numPr>
          <w:ilvl w:val="0"/>
          <w:numId w:val="7"/>
        </w:numPr>
        <w:spacing w:after="0" w:line="240" w:lineRule="auto"/>
        <w:jc w:val="both"/>
      </w:pPr>
      <w: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D32BC8" w:rsidRDefault="00D32BC8" w:rsidP="00D32BC8">
      <w:pPr>
        <w:pStyle w:val="Odstavecseseznamem"/>
        <w:spacing w:after="0" w:line="240" w:lineRule="auto"/>
        <w:jc w:val="both"/>
      </w:pPr>
      <w: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D32BC8" w:rsidRDefault="00D32BC8" w:rsidP="00D32BC8">
      <w:pPr>
        <w:pStyle w:val="Odstavecseseznamem"/>
        <w:numPr>
          <w:ilvl w:val="0"/>
          <w:numId w:val="7"/>
        </w:numPr>
        <w:spacing w:after="0" w:line="240" w:lineRule="auto"/>
        <w:jc w:val="both"/>
      </w:pPr>
      <w:r>
        <w:t>Každé použití finančních prostředků poskytovatele musí být doloženo takto:</w:t>
      </w:r>
    </w:p>
    <w:p w:rsidR="00D32BC8" w:rsidRDefault="00D32BC8" w:rsidP="00D32BC8">
      <w:pPr>
        <w:pStyle w:val="Odstavecseseznamem"/>
        <w:numPr>
          <w:ilvl w:val="0"/>
          <w:numId w:val="8"/>
        </w:numPr>
        <w:spacing w:after="0" w:line="240" w:lineRule="auto"/>
        <w:jc w:val="both"/>
      </w:pPr>
      <w:r>
        <w:t>Bezhotovostní výdaje kopií prvotního dokladu (faktury, smlouva, rozhodnutí, vyhláška apod.) a kopií dokladu o úhradě (výpis z bankovního účtu)</w:t>
      </w:r>
    </w:p>
    <w:p w:rsidR="00D32BC8" w:rsidRDefault="00D32BC8" w:rsidP="00D32BC8">
      <w:pPr>
        <w:pStyle w:val="Odstavecseseznamem"/>
        <w:numPr>
          <w:ilvl w:val="0"/>
          <w:numId w:val="8"/>
        </w:numPr>
        <w:spacing w:after="0" w:line="240" w:lineRule="auto"/>
        <w:jc w:val="both"/>
      </w:pPr>
      <w:r>
        <w:t>Hotovostní výdaje kopií prvotního dokladu (paragon, pokladní doklad, faktura, smlouva, rozhodnutí, vyhláška apod.)</w:t>
      </w:r>
      <w:r w:rsidRPr="001178E7">
        <w:t xml:space="preserve"> </w:t>
      </w:r>
    </w:p>
    <w:p w:rsidR="00D32BC8" w:rsidRDefault="00D32BC8" w:rsidP="00D32BC8">
      <w:pPr>
        <w:spacing w:after="0" w:line="240" w:lineRule="auto"/>
        <w:ind w:left="720"/>
        <w:jc w:val="both"/>
      </w:pPr>
      <w: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D32BC8" w:rsidRDefault="00D32BC8" w:rsidP="00D32BC8">
      <w:pPr>
        <w:pStyle w:val="Odstavecseseznamem"/>
        <w:numPr>
          <w:ilvl w:val="0"/>
          <w:numId w:val="7"/>
        </w:numPr>
        <w:spacing w:after="0" w:line="240" w:lineRule="auto"/>
        <w:jc w:val="both"/>
      </w:pPr>
      <w:r>
        <w:t xml:space="preserve">Součástí vyúčtování musí být příjemcem dotace doložena fotodokumentace, kterou příjemce prokáže uskutečnění podporovaného předmětu dotace a splnění minimálního rozsahu propagace poskytovatele. Toto ustanovení se netýká dotací do 10.000,- Kč. </w:t>
      </w:r>
    </w:p>
    <w:p w:rsidR="00D32BC8" w:rsidRDefault="00D32BC8" w:rsidP="00D32BC8">
      <w:pPr>
        <w:pStyle w:val="Odstavecseseznamem"/>
        <w:numPr>
          <w:ilvl w:val="0"/>
          <w:numId w:val="7"/>
        </w:numPr>
        <w:spacing w:after="0" w:line="240" w:lineRule="auto"/>
        <w:jc w:val="both"/>
      </w:pPr>
      <w:r>
        <w:t xml:space="preserve">Příjemce je </w:t>
      </w:r>
      <w:r w:rsidRPr="00383D13">
        <w:t xml:space="preserve">povinen po dobu 5 let </w:t>
      </w:r>
      <w:r>
        <w:t>od skončení podporovaného předmětu dotace archivovat následující podkladové materiály:</w:t>
      </w:r>
    </w:p>
    <w:p w:rsidR="00D32BC8" w:rsidRDefault="00D32BC8" w:rsidP="00D32BC8">
      <w:pPr>
        <w:pStyle w:val="Odstavecseseznamem"/>
        <w:numPr>
          <w:ilvl w:val="0"/>
          <w:numId w:val="8"/>
        </w:numPr>
        <w:spacing w:after="0" w:line="240" w:lineRule="auto"/>
        <w:jc w:val="both"/>
      </w:pPr>
      <w:r>
        <w:t>žádost včetně povinných příloh</w:t>
      </w:r>
    </w:p>
    <w:p w:rsidR="00D32BC8" w:rsidRDefault="00D32BC8" w:rsidP="00D32BC8">
      <w:pPr>
        <w:pStyle w:val="Odstavecseseznamem"/>
        <w:numPr>
          <w:ilvl w:val="0"/>
          <w:numId w:val="8"/>
        </w:numPr>
        <w:spacing w:after="0" w:line="240" w:lineRule="auto"/>
        <w:jc w:val="both"/>
      </w:pPr>
      <w:r>
        <w:t>tuto smlouvu</w:t>
      </w:r>
    </w:p>
    <w:p w:rsidR="00D32BC8" w:rsidRDefault="00D32BC8" w:rsidP="00D32BC8">
      <w:pPr>
        <w:pStyle w:val="Odstavecseseznamem"/>
        <w:numPr>
          <w:ilvl w:val="0"/>
          <w:numId w:val="8"/>
        </w:numPr>
        <w:spacing w:after="0" w:line="240" w:lineRule="auto"/>
        <w:jc w:val="both"/>
      </w:pPr>
      <w:r>
        <w:t>originály dokladů prokazujících čerpání dotace</w:t>
      </w:r>
    </w:p>
    <w:p w:rsidR="00D32BC8" w:rsidRDefault="00D32BC8" w:rsidP="00D32BC8">
      <w:pPr>
        <w:pStyle w:val="Odstavecseseznamem"/>
        <w:numPr>
          <w:ilvl w:val="0"/>
          <w:numId w:val="8"/>
        </w:numPr>
        <w:spacing w:after="0" w:line="240" w:lineRule="auto"/>
        <w:jc w:val="both"/>
      </w:pPr>
      <w:r>
        <w:t>závěrečné vyhodnocení a finanční vyúčtování dotace</w:t>
      </w:r>
    </w:p>
    <w:p w:rsidR="00D32BC8" w:rsidRDefault="00D32BC8" w:rsidP="00D32BC8">
      <w:pPr>
        <w:spacing w:after="0" w:line="240" w:lineRule="auto"/>
        <w:jc w:val="both"/>
      </w:pPr>
    </w:p>
    <w:p w:rsid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D32BC8" w:rsidRDefault="00D32BC8" w:rsidP="00D32BC8">
      <w:pPr>
        <w:pStyle w:val="Odstavecseseznamem"/>
        <w:numPr>
          <w:ilvl w:val="0"/>
          <w:numId w:val="10"/>
        </w:numPr>
        <w:spacing w:after="0" w:line="240" w:lineRule="auto"/>
        <w:jc w:val="both"/>
      </w:pPr>
      <w:r>
        <w:t xml:space="preserve">Nevyčerpanou část dotace je příjemce povinen vrátit na účet poskytovatele nejpozději do data pro předložení vyúčtování dotace. </w:t>
      </w:r>
    </w:p>
    <w:p w:rsidR="00D32BC8" w:rsidRDefault="00D32BC8" w:rsidP="00D32BC8">
      <w:pPr>
        <w:pStyle w:val="Odstavecseseznamem"/>
        <w:numPr>
          <w:ilvl w:val="0"/>
          <w:numId w:val="10"/>
        </w:numPr>
        <w:spacing w:after="0" w:line="240" w:lineRule="auto"/>
        <w:jc w:val="both"/>
      </w:pPr>
      <w:r>
        <w:t>Výplata dotace bude pozastavena příjemci, u kterého se v průběhu roku zjistí, že je dlužníkem města a to do doby uhrazení tohoto dluhu.</w:t>
      </w:r>
    </w:p>
    <w:p w:rsidR="00D32BC8" w:rsidRDefault="00D32BC8" w:rsidP="00D32BC8">
      <w:pPr>
        <w:pStyle w:val="Odstavecseseznamem"/>
        <w:numPr>
          <w:ilvl w:val="0"/>
          <w:numId w:val="10"/>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D32BC8" w:rsidRDefault="00D32BC8" w:rsidP="00D32BC8">
      <w:pPr>
        <w:pStyle w:val="Odstavecseseznamem"/>
        <w:numPr>
          <w:ilvl w:val="0"/>
          <w:numId w:val="10"/>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D32BC8" w:rsidRDefault="00D32BC8" w:rsidP="00D32BC8">
      <w:pPr>
        <w:pStyle w:val="Odstavecseseznamem"/>
        <w:numPr>
          <w:ilvl w:val="0"/>
          <w:numId w:val="10"/>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D32BC8" w:rsidRDefault="00D32BC8" w:rsidP="00D32BC8">
      <w:pPr>
        <w:pStyle w:val="Odstavecseseznamem"/>
        <w:numPr>
          <w:ilvl w:val="0"/>
          <w:numId w:val="10"/>
        </w:numPr>
        <w:spacing w:after="0" w:line="240" w:lineRule="auto"/>
        <w:jc w:val="both"/>
      </w:pPr>
      <w: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D32BC8" w:rsidRDefault="00D32BC8" w:rsidP="00D32BC8">
      <w:pPr>
        <w:pStyle w:val="Odstavecseseznamem"/>
        <w:numPr>
          <w:ilvl w:val="0"/>
          <w:numId w:val="10"/>
        </w:numPr>
        <w:spacing w:after="0" w:line="240" w:lineRule="auto"/>
        <w:jc w:val="both"/>
      </w:pPr>
      <w:r>
        <w:t>Příjemce je povinen zajistit, aby všechny údaje, které podává poskytovateli, byly vždy úplné a pravdivé.</w:t>
      </w:r>
    </w:p>
    <w:p w:rsidR="00D32BC8" w:rsidRDefault="00D32BC8" w:rsidP="00D32BC8">
      <w:pPr>
        <w:pStyle w:val="Odstavecseseznamem"/>
        <w:numPr>
          <w:ilvl w:val="0"/>
          <w:numId w:val="10"/>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D32BC8" w:rsidRDefault="00D32BC8" w:rsidP="00D32BC8">
      <w:pPr>
        <w:pStyle w:val="Odstavecseseznamem"/>
        <w:numPr>
          <w:ilvl w:val="0"/>
          <w:numId w:val="10"/>
        </w:numPr>
        <w:spacing w:after="0" w:line="240" w:lineRule="auto"/>
        <w:jc w:val="both"/>
      </w:pPr>
      <w:r>
        <w:t>Práva a povinnosti této smlouvy není příjemce oprávněn převést na třetí osobu bez předchozího písemného souhlasu poskytovatele.</w:t>
      </w:r>
    </w:p>
    <w:p w:rsidR="00D32BC8" w:rsidRDefault="00D32BC8" w:rsidP="00D32BC8">
      <w:pPr>
        <w:pStyle w:val="Odstavecseseznamem"/>
        <w:numPr>
          <w:ilvl w:val="0"/>
          <w:numId w:val="10"/>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D32BC8" w:rsidRDefault="00D32BC8" w:rsidP="00D32BC8">
      <w:pPr>
        <w:pStyle w:val="Odstavecseseznamem"/>
        <w:spacing w:after="0" w:line="240" w:lineRule="auto"/>
        <w:jc w:val="both"/>
      </w:pPr>
    </w:p>
    <w:p w:rsidR="00D32BC8" w:rsidRDefault="00D32BC8" w:rsidP="00D32BC8">
      <w:pPr>
        <w:pStyle w:val="Odstavecseseznamem"/>
        <w:spacing w:after="0" w:line="240" w:lineRule="auto"/>
        <w:jc w:val="both"/>
      </w:pPr>
    </w:p>
    <w:p w:rsid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D32BC8" w:rsidRDefault="00D32BC8" w:rsidP="00D32BC8">
      <w:pPr>
        <w:pStyle w:val="Odstavecseseznamem"/>
        <w:numPr>
          <w:ilvl w:val="0"/>
          <w:numId w:val="11"/>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D32BC8" w:rsidRDefault="00D32BC8" w:rsidP="00D32BC8">
      <w:pPr>
        <w:pStyle w:val="Odstavecseseznamem"/>
        <w:numPr>
          <w:ilvl w:val="0"/>
          <w:numId w:val="11"/>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D32BC8" w:rsidRDefault="00D32BC8" w:rsidP="00D32BC8">
      <w:pPr>
        <w:pStyle w:val="Odstavecseseznamem"/>
        <w:numPr>
          <w:ilvl w:val="0"/>
          <w:numId w:val="11"/>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D32BC8" w:rsidRDefault="00D32BC8" w:rsidP="00D32BC8">
      <w:pPr>
        <w:pStyle w:val="Odstavecseseznamem"/>
        <w:numPr>
          <w:ilvl w:val="0"/>
          <w:numId w:val="12"/>
        </w:numPr>
        <w:spacing w:after="0" w:line="240" w:lineRule="auto"/>
        <w:jc w:val="both"/>
      </w:pPr>
      <w:r>
        <w:t>Porušení účelu dotace</w:t>
      </w:r>
      <w:r>
        <w:tab/>
      </w:r>
      <w:r>
        <w:tab/>
      </w:r>
      <w:r>
        <w:tab/>
      </w:r>
      <w:r>
        <w:tab/>
      </w:r>
      <w:r>
        <w:tab/>
        <w:t xml:space="preserve">100% </w:t>
      </w:r>
      <w:r>
        <w:tab/>
        <w:t>poskytnuté dotace</w:t>
      </w:r>
    </w:p>
    <w:p w:rsidR="00D32BC8" w:rsidRDefault="00D32BC8" w:rsidP="00D32BC8">
      <w:pPr>
        <w:pStyle w:val="Odstavecseseznamem"/>
        <w:numPr>
          <w:ilvl w:val="0"/>
          <w:numId w:val="12"/>
        </w:numPr>
        <w:spacing w:after="0" w:line="240" w:lineRule="auto"/>
        <w:jc w:val="both"/>
      </w:pPr>
      <w:r>
        <w:t>Porušení podmínky publicity dle čl. III. odst. 9</w:t>
      </w:r>
      <w:r>
        <w:tab/>
      </w:r>
      <w:r>
        <w:tab/>
        <w:t xml:space="preserve">10 % </w:t>
      </w:r>
      <w:r>
        <w:tab/>
        <w:t>poskytnuté dotace</w:t>
      </w:r>
    </w:p>
    <w:p w:rsidR="00D32BC8" w:rsidRDefault="00D32BC8" w:rsidP="00D32BC8">
      <w:pPr>
        <w:pStyle w:val="Odstavecseseznamem"/>
        <w:numPr>
          <w:ilvl w:val="0"/>
          <w:numId w:val="12"/>
        </w:numPr>
        <w:spacing w:after="0" w:line="240" w:lineRule="auto"/>
        <w:jc w:val="both"/>
      </w:pPr>
      <w:r>
        <w:t>Předložení kompletního vyúčtování po stanovené lhůtě:</w:t>
      </w:r>
    </w:p>
    <w:p w:rsidR="00D32BC8" w:rsidRDefault="00D32BC8" w:rsidP="00D32BC8">
      <w:pPr>
        <w:pStyle w:val="Odstavecseseznamem"/>
        <w:spacing w:after="0" w:line="240" w:lineRule="auto"/>
        <w:ind w:left="1080"/>
        <w:jc w:val="both"/>
      </w:pPr>
      <w:r>
        <w:t>do 7 kalendářních dnů</w:t>
      </w:r>
      <w:r>
        <w:tab/>
      </w:r>
      <w:r>
        <w:tab/>
      </w:r>
      <w:r>
        <w:tab/>
      </w:r>
      <w:r>
        <w:tab/>
      </w:r>
      <w:r>
        <w:tab/>
        <w:t xml:space="preserve">5% </w:t>
      </w:r>
      <w:r>
        <w:tab/>
        <w:t>poskytnuté dotace</w:t>
      </w:r>
    </w:p>
    <w:p w:rsidR="00D32BC8" w:rsidRDefault="00D32BC8" w:rsidP="00D32BC8">
      <w:pPr>
        <w:pStyle w:val="Odstavecseseznamem"/>
        <w:spacing w:after="0" w:line="240" w:lineRule="auto"/>
        <w:ind w:left="1080"/>
        <w:jc w:val="both"/>
      </w:pPr>
      <w:r>
        <w:t>od 8 do 14 kalendářních dnů</w:t>
      </w:r>
      <w:r>
        <w:tab/>
      </w:r>
      <w:r>
        <w:tab/>
      </w:r>
      <w:r>
        <w:tab/>
      </w:r>
      <w:r>
        <w:tab/>
        <w:t xml:space="preserve">10% </w:t>
      </w:r>
      <w:r>
        <w:tab/>
        <w:t>poskytnuté dotace</w:t>
      </w:r>
    </w:p>
    <w:p w:rsidR="00D32BC8" w:rsidRDefault="00D32BC8" w:rsidP="00D32BC8">
      <w:pPr>
        <w:pStyle w:val="Odstavecseseznamem"/>
        <w:spacing w:after="0" w:line="240" w:lineRule="auto"/>
        <w:ind w:left="1080"/>
        <w:jc w:val="both"/>
      </w:pPr>
      <w:r>
        <w:t>od 15 do 30 kalendářních dnů</w:t>
      </w:r>
      <w:r>
        <w:tab/>
      </w:r>
      <w:r>
        <w:tab/>
      </w:r>
      <w:r>
        <w:tab/>
      </w:r>
      <w:r>
        <w:tab/>
        <w:t xml:space="preserve">20% </w:t>
      </w:r>
      <w:r>
        <w:tab/>
        <w:t>poskytnuté dotace</w:t>
      </w:r>
    </w:p>
    <w:p w:rsidR="00D32BC8" w:rsidRDefault="00D32BC8" w:rsidP="00D32BC8">
      <w:pPr>
        <w:pStyle w:val="Odstavecseseznamem"/>
        <w:numPr>
          <w:ilvl w:val="0"/>
          <w:numId w:val="12"/>
        </w:numPr>
        <w:spacing w:after="0" w:line="240" w:lineRule="auto"/>
        <w:jc w:val="both"/>
      </w:pPr>
      <w:r>
        <w:t>Nepředložení vyúčtování</w:t>
      </w:r>
      <w:r>
        <w:tab/>
      </w:r>
      <w:r>
        <w:tab/>
      </w:r>
      <w:r>
        <w:tab/>
      </w:r>
      <w:r>
        <w:tab/>
      </w:r>
      <w:r>
        <w:tab/>
        <w:t xml:space="preserve">100% </w:t>
      </w:r>
      <w:r>
        <w:tab/>
        <w:t>poskytnuté dotace</w:t>
      </w:r>
    </w:p>
    <w:p w:rsidR="00D32BC8" w:rsidRDefault="00D32BC8" w:rsidP="00D32BC8">
      <w:pPr>
        <w:pStyle w:val="Odstavecseseznamem"/>
        <w:numPr>
          <w:ilvl w:val="0"/>
          <w:numId w:val="12"/>
        </w:numPr>
        <w:spacing w:after="0" w:line="240" w:lineRule="auto"/>
        <w:jc w:val="both"/>
      </w:pPr>
      <w:r>
        <w:t>Nedodržení sjednané výše spolufinancování</w:t>
      </w:r>
      <w:r>
        <w:tab/>
      </w:r>
      <w:r>
        <w:tab/>
        <w:t>1 - 30% poskytnuté dotace</w:t>
      </w:r>
    </w:p>
    <w:p w:rsidR="00D32BC8" w:rsidRDefault="00D32BC8" w:rsidP="00D32BC8">
      <w:pPr>
        <w:pStyle w:val="Odstavecseseznamem"/>
        <w:numPr>
          <w:ilvl w:val="0"/>
          <w:numId w:val="12"/>
        </w:numPr>
        <w:spacing w:after="0" w:line="240" w:lineRule="auto"/>
      </w:pPr>
      <w:r>
        <w:t>Kvalita provedení realizovaného podporovaného předmětu dotace</w:t>
      </w:r>
      <w:r>
        <w:tab/>
        <w:t>neodpovídá účelu dotace</w:t>
      </w:r>
      <w:r>
        <w:tab/>
      </w:r>
      <w:r>
        <w:tab/>
      </w:r>
      <w:r>
        <w:tab/>
      </w:r>
      <w:r>
        <w:tab/>
      </w:r>
      <w:r>
        <w:tab/>
      </w:r>
      <w:r>
        <w:tab/>
      </w:r>
      <w:r>
        <w:tab/>
        <w:t xml:space="preserve">10% </w:t>
      </w:r>
      <w:r>
        <w:tab/>
        <w:t>poskytnuté dotace</w:t>
      </w:r>
    </w:p>
    <w:p w:rsidR="00D32BC8" w:rsidRDefault="00D32BC8" w:rsidP="00D32BC8">
      <w:pPr>
        <w:pStyle w:val="Odstavecseseznamem"/>
        <w:numPr>
          <w:ilvl w:val="0"/>
          <w:numId w:val="12"/>
        </w:numPr>
        <w:spacing w:after="0" w:line="240" w:lineRule="auto"/>
      </w:pPr>
      <w:r>
        <w:t>Chybějící archivace</w:t>
      </w:r>
      <w:r>
        <w:tab/>
        <w:t>dokladů</w:t>
      </w:r>
      <w:r>
        <w:tab/>
      </w:r>
      <w:r>
        <w:tab/>
      </w:r>
      <w:r>
        <w:tab/>
      </w:r>
      <w:r>
        <w:tab/>
        <w:t xml:space="preserve">20% </w:t>
      </w:r>
      <w:r>
        <w:tab/>
        <w:t>poskytnuté dotace</w:t>
      </w:r>
    </w:p>
    <w:p w:rsidR="00D32BC8" w:rsidRDefault="00D32BC8" w:rsidP="00D32BC8">
      <w:pPr>
        <w:pStyle w:val="Odstavecseseznamem"/>
        <w:numPr>
          <w:ilvl w:val="0"/>
          <w:numId w:val="12"/>
        </w:numPr>
        <w:spacing w:after="0" w:line="240" w:lineRule="auto"/>
        <w:jc w:val="both"/>
      </w:pPr>
      <w:r>
        <w:t>Neposkytnutí či nepředložení požadovaných dokladů</w:t>
      </w:r>
      <w:r>
        <w:tab/>
        <w:t xml:space="preserve">100% </w:t>
      </w:r>
      <w:r>
        <w:tab/>
        <w:t>poskytnuté dotace</w:t>
      </w:r>
    </w:p>
    <w:p w:rsidR="00D32BC8" w:rsidRDefault="00D32BC8" w:rsidP="00D32BC8">
      <w:pPr>
        <w:pStyle w:val="Odstavecseseznamem"/>
        <w:numPr>
          <w:ilvl w:val="0"/>
          <w:numId w:val="11"/>
        </w:numPr>
        <w:spacing w:after="0" w:line="240" w:lineRule="auto"/>
        <w:jc w:val="both"/>
      </w:pPr>
      <w:r>
        <w:t xml:space="preserve">Odvody za porušení rozpočtové kázně při použití téže dotace se sčítají. </w:t>
      </w:r>
    </w:p>
    <w:p w:rsidR="00D32BC8" w:rsidRDefault="00D32BC8" w:rsidP="00D32BC8">
      <w:pPr>
        <w:pStyle w:val="Odstavecseseznamem"/>
        <w:numPr>
          <w:ilvl w:val="0"/>
          <w:numId w:val="11"/>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D32BC8" w:rsidRDefault="00D32BC8" w:rsidP="00D32BC8">
      <w:pPr>
        <w:pStyle w:val="Odstavecseseznamem"/>
        <w:numPr>
          <w:ilvl w:val="0"/>
          <w:numId w:val="11"/>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D32BC8" w:rsidRDefault="00D32BC8" w:rsidP="00D32BC8">
      <w:pPr>
        <w:pStyle w:val="Odstavecseseznamem"/>
        <w:numPr>
          <w:ilvl w:val="0"/>
          <w:numId w:val="11"/>
        </w:numPr>
        <w:spacing w:after="0" w:line="240" w:lineRule="auto"/>
        <w:jc w:val="both"/>
      </w:pPr>
      <w:r>
        <w:t>Dotace či její části se považují za vrácené dnem, kdy byly připsány na účet poskytovatele.</w:t>
      </w:r>
    </w:p>
    <w:p w:rsidR="00D32BC8" w:rsidRDefault="00D32BC8" w:rsidP="00D32BC8">
      <w:pPr>
        <w:spacing w:after="0" w:line="240" w:lineRule="auto"/>
        <w:ind w:left="360"/>
        <w:jc w:val="both"/>
      </w:pPr>
    </w:p>
    <w:p w:rsid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Smlouvu lze ukončit na základě písemné dohody obou smluvních stran nebo písemnou výpovědí Smlouvy, a to za podmínek dále stanovených.</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Poskytovatel může Smlouvu vypovědět jak před proplacením, tak i po proplacení dotace.</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Výpovědními důvody dle předchozího odstavce je porušení povinností příjemcem dotace stanovených touto Smlouvou nebo obecně závaznými právními předpisy, kterého se příjemce dopustí zejména pokud:</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svým jednáním poruší rozpočtovou kázeň dle zákona č. 250/2000 Sb., o rozpočtových pravidlech územních rozpočtů, v platném znění,</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poruší pravidla veřejné podpory,</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bylo zahájeno insolvenční řízení podle zákona č. 182/2006 Sb., o úpadku a způsobech jeho řešení, ve znění pozdějších předpisů,</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příjemce uvedl nepravdivé, neúplné nebo zkreslené údaje, na které se váže uzavření této smlouvy,</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je v likvidaci,</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změní právní formu a stane se tak nezpůsobilým příjemcem dotace pro danou oblast podpory,</w:t>
      </w:r>
    </w:p>
    <w:p w:rsidR="00D32BC8" w:rsidRPr="00D32BC8" w:rsidRDefault="00D32BC8" w:rsidP="00D32BC8">
      <w:pPr>
        <w:pStyle w:val="Odstavecseseznamem"/>
        <w:numPr>
          <w:ilvl w:val="1"/>
          <w:numId w:val="14"/>
        </w:numPr>
        <w:spacing w:after="200" w:line="240" w:lineRule="auto"/>
        <w:ind w:left="1134" w:hanging="425"/>
        <w:jc w:val="both"/>
        <w:rPr>
          <w:rFonts w:cs="Calibri"/>
        </w:rPr>
      </w:pPr>
      <w:r w:rsidRPr="00D32BC8">
        <w:rPr>
          <w:rFonts w:cs="Calibri"/>
        </w:rPr>
        <w:t xml:space="preserve">opakovaně neplní povinnosti stanovené touto smlouvou, i když byl k jejich nápravě vyzván poskytovatelem. </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Výpověď smlouvy musí být učiněna písemně a musí v ní být uvedeny důvody jejího podání.</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Dohoda o ukončení smlouvy nabývá účinnosti dnem připsání vrácení peněžních prostředků na účet poskytovatele, nedohodnou-li se smluvní strany jinak.</w:t>
      </w:r>
    </w:p>
    <w:p w:rsidR="00D32BC8" w:rsidRPr="00D32BC8" w:rsidRDefault="00D32BC8" w:rsidP="00D32BC8">
      <w:pPr>
        <w:pStyle w:val="Odstavecseseznamem"/>
        <w:numPr>
          <w:ilvl w:val="0"/>
          <w:numId w:val="13"/>
        </w:numPr>
        <w:spacing w:after="200" w:line="240" w:lineRule="auto"/>
        <w:jc w:val="both"/>
        <w:rPr>
          <w:rFonts w:cs="Calibri"/>
        </w:rPr>
      </w:pPr>
      <w:r w:rsidRPr="00D32BC8">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D32BC8" w:rsidRDefault="00D32BC8" w:rsidP="00D32BC8">
      <w:pPr>
        <w:pStyle w:val="Odstavecseseznamem"/>
        <w:numPr>
          <w:ilvl w:val="0"/>
          <w:numId w:val="13"/>
        </w:numPr>
        <w:spacing w:after="200" w:line="240" w:lineRule="auto"/>
        <w:jc w:val="both"/>
        <w:rPr>
          <w:rFonts w:cs="Calibri"/>
        </w:rPr>
      </w:pPr>
      <w:r w:rsidRPr="00D32BC8">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D32BC8" w:rsidRDefault="00D32BC8" w:rsidP="00D32BC8">
      <w:pPr>
        <w:pStyle w:val="Odstavecseseznamem"/>
        <w:spacing w:after="200" w:line="240" w:lineRule="auto"/>
        <w:jc w:val="both"/>
        <w:rPr>
          <w:rFonts w:cs="Calibri"/>
        </w:rPr>
      </w:pPr>
    </w:p>
    <w:p w:rsidR="00D32BC8" w:rsidRDefault="00D32BC8" w:rsidP="00D32BC8">
      <w:pPr>
        <w:pStyle w:val="Odstavecseseznamem"/>
        <w:spacing w:after="200" w:line="240" w:lineRule="auto"/>
        <w:jc w:val="both"/>
        <w:rPr>
          <w:rFonts w:cs="Calibri"/>
        </w:rPr>
      </w:pPr>
    </w:p>
    <w:p w:rsidR="000042B5" w:rsidRPr="00D32BC8" w:rsidRDefault="000042B5" w:rsidP="00D32BC8">
      <w:pPr>
        <w:pStyle w:val="Odstavecseseznamem"/>
        <w:spacing w:after="200" w:line="240" w:lineRule="auto"/>
        <w:jc w:val="both"/>
        <w:rPr>
          <w:rFonts w:cs="Calibri"/>
        </w:rPr>
      </w:pPr>
    </w:p>
    <w:p w:rsidR="00D32BC8" w:rsidRPr="00D32BC8" w:rsidRDefault="00D32BC8" w:rsidP="00D32BC8">
      <w:pPr>
        <w:pStyle w:val="Odstavecseseznamem"/>
        <w:spacing w:after="200" w:line="240" w:lineRule="auto"/>
        <w:jc w:val="both"/>
        <w:rPr>
          <w:rFonts w:cs="Calibri"/>
        </w:rPr>
      </w:pPr>
    </w:p>
    <w:p w:rsidR="00D32BC8" w:rsidRPr="00D32BC8" w:rsidRDefault="00D32BC8" w:rsidP="00D32BC8">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D32BC8">
        <w:rPr>
          <w:rFonts w:cs="Calibri"/>
        </w:rPr>
        <w:t>Závěrečná ustanovení</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 xml:space="preserve">Administraci dotace dle této smlouvy zabezpečuje: Městský úřad Kroměříž, Odbor sociálních věcí a zdravotnictví, Velké náměstí 115, 767 01 Kroměříž. Uvedená adresa slouží pro doručování veškerých souvisejících písemností, které musí obsahovat číslo smlouvy a název příjemce. </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D32BC8">
          <w:rPr>
            <w:rStyle w:val="Hypertextovodkaz"/>
            <w:rFonts w:cs="Calibri"/>
          </w:rPr>
          <w:t>www.mesto-kromeriz.cz</w:t>
        </w:r>
      </w:hyperlink>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 xml:space="preserve">Příjemce bere na vědomí, že na dotaci není právní nárok. </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Tato smlouva nabývá účinnosti dnem jejího zveřejnění v registru smluv.</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Smlouva je vyhotovena ve třech stejnopisech, z nichž poskytovatel obdrží dvě vyhotovení a příjemce jedno vyhotovení.</w:t>
      </w:r>
    </w:p>
    <w:p w:rsidR="00D32BC8" w:rsidRPr="00D32BC8" w:rsidRDefault="00D32BC8" w:rsidP="00D32BC8">
      <w:pPr>
        <w:pStyle w:val="Odstavecseseznamem"/>
        <w:numPr>
          <w:ilvl w:val="2"/>
          <w:numId w:val="14"/>
        </w:numPr>
        <w:spacing w:after="200" w:line="240" w:lineRule="auto"/>
        <w:ind w:left="709"/>
        <w:jc w:val="both"/>
        <w:rPr>
          <w:rFonts w:cs="Calibri"/>
        </w:rPr>
      </w:pPr>
      <w:r w:rsidRPr="00D32BC8">
        <w:rPr>
          <w:rFonts w:cs="Calibri"/>
        </w:rPr>
        <w:t>Smluvní strany svými podpisy stvrzují, že smlouva byla sjednána na základě jejich pravé a svobodné vůle, nikoli v tísni za nápadně nevýhodných podmínek.</w:t>
      </w:r>
    </w:p>
    <w:p w:rsidR="00D32BC8" w:rsidRPr="00D32BC8" w:rsidRDefault="00D32BC8" w:rsidP="00D32BC8">
      <w:pPr>
        <w:pStyle w:val="Odstavecseseznamem"/>
        <w:numPr>
          <w:ilvl w:val="2"/>
          <w:numId w:val="14"/>
        </w:numPr>
        <w:spacing w:after="0" w:line="240" w:lineRule="auto"/>
        <w:ind w:left="709"/>
        <w:jc w:val="both"/>
        <w:rPr>
          <w:rFonts w:cs="Calibri"/>
        </w:rPr>
      </w:pPr>
      <w:r w:rsidRPr="00D32BC8">
        <w:rPr>
          <w:rFonts w:cs="Calibri"/>
        </w:rPr>
        <w:t>Nedílnou součástí této smlouvy jsou tyto přílohy:</w:t>
      </w:r>
    </w:p>
    <w:p w:rsidR="00D32BC8" w:rsidRDefault="00D32BC8" w:rsidP="00D32BC8">
      <w:pPr>
        <w:pStyle w:val="Odstavecseseznamem"/>
        <w:spacing w:after="0" w:line="240" w:lineRule="auto"/>
        <w:ind w:left="709"/>
        <w:jc w:val="both"/>
        <w:rPr>
          <w:rFonts w:cs="Calibri"/>
        </w:rPr>
      </w:pPr>
      <w:r w:rsidRPr="00D32BC8">
        <w:rPr>
          <w:rFonts w:cs="Calibri"/>
        </w:rPr>
        <w:t>příloha č. 1 – Formulář vyúčtování dotace</w:t>
      </w:r>
    </w:p>
    <w:p w:rsidR="00D32BC8" w:rsidRDefault="00D32BC8" w:rsidP="00D32BC8">
      <w:pPr>
        <w:pStyle w:val="Odstavecseseznamem"/>
        <w:spacing w:after="0" w:line="240" w:lineRule="auto"/>
        <w:ind w:left="709"/>
        <w:jc w:val="both"/>
        <w:rPr>
          <w:rFonts w:cs="Calibri"/>
        </w:rPr>
      </w:pPr>
    </w:p>
    <w:p w:rsidR="000042B5" w:rsidRDefault="000042B5" w:rsidP="00D32BC8">
      <w:pPr>
        <w:pStyle w:val="Odstavecseseznamem"/>
        <w:spacing w:after="0" w:line="240" w:lineRule="auto"/>
        <w:ind w:left="709"/>
        <w:jc w:val="both"/>
        <w:rPr>
          <w:rFonts w:cs="Calibri"/>
        </w:rPr>
      </w:pPr>
    </w:p>
    <w:p w:rsidR="000042B5" w:rsidRPr="00D32BC8" w:rsidRDefault="000042B5" w:rsidP="00D32BC8">
      <w:pPr>
        <w:pStyle w:val="Odstavecseseznamem"/>
        <w:spacing w:after="0" w:line="240" w:lineRule="auto"/>
        <w:ind w:left="709"/>
        <w:jc w:val="both"/>
        <w:rPr>
          <w:rFonts w:cs="Calibri"/>
        </w:rPr>
      </w:pPr>
    </w:p>
    <w:p w:rsidR="00D32BC8" w:rsidRDefault="00D32BC8" w:rsidP="00D32BC8">
      <w:pPr>
        <w:spacing w:after="0" w:line="240" w:lineRule="auto"/>
        <w:jc w:val="both"/>
        <w:rPr>
          <w:rFonts w:ascii="Arial Narrow" w:hAnsi="Arial Narrow"/>
          <w:highlight w:val="yellow"/>
        </w:rPr>
      </w:pPr>
    </w:p>
    <w:p w:rsidR="00D32BC8" w:rsidRPr="00D32BC8" w:rsidRDefault="00D32BC8" w:rsidP="00D32BC8">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D32BC8">
        <w:rPr>
          <w:rFonts w:cs="Calibri"/>
        </w:rPr>
        <w:t>Doložka podle § 41 obecního zřízení:</w:t>
      </w:r>
    </w:p>
    <w:p w:rsidR="00D32BC8" w:rsidRPr="00D32BC8" w:rsidRDefault="00D32BC8" w:rsidP="00D32BC8">
      <w:pPr>
        <w:pBdr>
          <w:top w:val="single" w:sz="4" w:space="1" w:color="auto"/>
          <w:left w:val="single" w:sz="4" w:space="4" w:color="auto"/>
          <w:bottom w:val="single" w:sz="4" w:space="1" w:color="auto"/>
          <w:right w:val="single" w:sz="4" w:space="4" w:color="auto"/>
        </w:pBdr>
        <w:spacing w:after="0" w:line="240" w:lineRule="auto"/>
        <w:jc w:val="both"/>
        <w:rPr>
          <w:rFonts w:cs="Calibri"/>
        </w:rPr>
      </w:pPr>
    </w:p>
    <w:p w:rsidR="00D32BC8" w:rsidRPr="00D32BC8" w:rsidRDefault="00D32BC8" w:rsidP="00D32BC8">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D32BC8">
        <w:rPr>
          <w:rFonts w:cs="Calibri"/>
        </w:rPr>
        <w:t>Schváleno k financování městem Kroměříže na XXVIII. zasedání ZMK dne 21. 4. 2022 č. usnesení XI.</w:t>
      </w:r>
    </w:p>
    <w:p w:rsidR="00D32BC8" w:rsidRPr="00D32BC8" w:rsidRDefault="00D32BC8" w:rsidP="00D32BC8">
      <w:pPr>
        <w:spacing w:after="0"/>
        <w:rPr>
          <w:rFonts w:cs="Calibri"/>
        </w:rPr>
      </w:pPr>
    </w:p>
    <w:p w:rsidR="00D32BC8" w:rsidRPr="00D32BC8" w:rsidRDefault="00D32BC8" w:rsidP="00D32BC8">
      <w:pPr>
        <w:spacing w:after="0"/>
        <w:rPr>
          <w:rFonts w:cs="Calibri"/>
        </w:rPr>
      </w:pPr>
    </w:p>
    <w:p w:rsidR="00D32BC8" w:rsidRPr="00D32BC8" w:rsidRDefault="00D32BC8" w:rsidP="00D32BC8">
      <w:pPr>
        <w:spacing w:after="0"/>
        <w:rPr>
          <w:rFonts w:cs="Calibri"/>
        </w:rPr>
      </w:pPr>
      <w:r w:rsidRPr="00D32BC8">
        <w:rPr>
          <w:rFonts w:cs="Calibri"/>
        </w:rPr>
        <w:t xml:space="preserve">V Kroměříži </w:t>
      </w:r>
      <w:r w:rsidR="005B4B58">
        <w:rPr>
          <w:rFonts w:cs="Calibri"/>
        </w:rPr>
        <w:t>5. 5. 2022</w:t>
      </w:r>
      <w:r w:rsidR="005B4B5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t xml:space="preserve">V Kroměříži  </w:t>
      </w:r>
      <w:r w:rsidR="005B4B58">
        <w:rPr>
          <w:rFonts w:cs="Calibri"/>
        </w:rPr>
        <w:t>2. 5. 2022</w:t>
      </w:r>
    </w:p>
    <w:p w:rsidR="00D32BC8" w:rsidRPr="00D32BC8" w:rsidRDefault="00D32BC8" w:rsidP="00D32BC8">
      <w:pPr>
        <w:spacing w:after="0"/>
        <w:rPr>
          <w:rFonts w:cs="Calibri"/>
        </w:rPr>
      </w:pPr>
    </w:p>
    <w:p w:rsidR="00D32BC8" w:rsidRPr="00D32BC8" w:rsidRDefault="00D32BC8" w:rsidP="00D32BC8">
      <w:pPr>
        <w:rPr>
          <w:rFonts w:cs="Calibri"/>
        </w:rPr>
      </w:pPr>
      <w:r w:rsidRPr="00D32BC8">
        <w:rPr>
          <w:rFonts w:cs="Calibri"/>
        </w:rPr>
        <w:t>za poskytovatele</w:t>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t xml:space="preserve">za příjemce </w:t>
      </w:r>
    </w:p>
    <w:p w:rsidR="00D32BC8" w:rsidRPr="00D32BC8" w:rsidRDefault="00D32BC8" w:rsidP="00D32BC8">
      <w:pPr>
        <w:rPr>
          <w:rFonts w:cs="Calibri"/>
        </w:rPr>
      </w:pPr>
    </w:p>
    <w:p w:rsidR="00D32BC8" w:rsidRPr="00D32BC8" w:rsidRDefault="00D32BC8" w:rsidP="00D32BC8">
      <w:pPr>
        <w:spacing w:after="0"/>
        <w:rPr>
          <w:rFonts w:cs="Calibri"/>
        </w:rPr>
      </w:pPr>
      <w:r w:rsidRPr="00D32BC8">
        <w:rPr>
          <w:rFonts w:cs="Calibri"/>
        </w:rPr>
        <w:t>………………………………</w:t>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t>………………………………</w:t>
      </w:r>
    </w:p>
    <w:p w:rsidR="00D32BC8" w:rsidRPr="00D32BC8" w:rsidRDefault="00D32BC8" w:rsidP="00D32BC8">
      <w:pPr>
        <w:spacing w:after="0"/>
        <w:rPr>
          <w:rFonts w:cs="Calibri"/>
        </w:rPr>
      </w:pPr>
      <w:r w:rsidRPr="00D32BC8">
        <w:rPr>
          <w:rFonts w:cs="Calibri"/>
        </w:rPr>
        <w:t>Mgr. Jaroslav Němec</w:t>
      </w:r>
      <w:r w:rsidR="005B4B58">
        <w:rPr>
          <w:rFonts w:cs="Calibri"/>
        </w:rPr>
        <w:t>, v. r.</w:t>
      </w:r>
      <w:r w:rsidRPr="00D32BC8">
        <w:rPr>
          <w:rFonts w:cs="Calibri"/>
        </w:rPr>
        <w:t xml:space="preserve"> </w:t>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t>Mgr. Helena Schwarczová</w:t>
      </w:r>
      <w:r w:rsidR="005B4B58">
        <w:rPr>
          <w:rFonts w:cs="Calibri"/>
        </w:rPr>
        <w:t>, v. r.</w:t>
      </w:r>
      <w:r w:rsidRPr="00D32BC8">
        <w:rPr>
          <w:rFonts w:cs="Calibri"/>
        </w:rPr>
        <w:t xml:space="preserve"> </w:t>
      </w:r>
    </w:p>
    <w:p w:rsidR="00D32BC8" w:rsidRPr="00D32BC8" w:rsidRDefault="00D32BC8" w:rsidP="00D32BC8">
      <w:pPr>
        <w:spacing w:after="0"/>
        <w:rPr>
          <w:rFonts w:cs="Calibri"/>
        </w:rPr>
      </w:pPr>
      <w:r w:rsidRPr="00D32BC8">
        <w:rPr>
          <w:rFonts w:cs="Calibri"/>
        </w:rPr>
        <w:t xml:space="preserve">starosta </w:t>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r>
      <w:r w:rsidRPr="00D32BC8">
        <w:rPr>
          <w:rFonts w:cs="Calibri"/>
        </w:rPr>
        <w:tab/>
        <w:t>ředitelka</w:t>
      </w:r>
      <w:r w:rsidRPr="00D32BC8">
        <w:rPr>
          <w:rFonts w:cs="Calibri"/>
        </w:rPr>
        <w:tab/>
      </w:r>
      <w:r w:rsidRPr="00D32BC8">
        <w:rPr>
          <w:rFonts w:cs="Calibri"/>
        </w:rPr>
        <w:tab/>
      </w:r>
      <w:r w:rsidRPr="00D32BC8">
        <w:rPr>
          <w:rFonts w:cs="Calibri"/>
        </w:rPr>
        <w:tab/>
        <w:t xml:space="preserve"> </w:t>
      </w:r>
      <w:r w:rsidRPr="00D32BC8">
        <w:rPr>
          <w:rFonts w:cs="Calibri"/>
        </w:rPr>
        <w:tab/>
      </w:r>
      <w:r w:rsidRPr="00D32BC8">
        <w:rPr>
          <w:rFonts w:cs="Calibri"/>
        </w:rPr>
        <w:tab/>
      </w:r>
      <w:r w:rsidRPr="00D32BC8">
        <w:rPr>
          <w:rFonts w:cs="Calibri"/>
        </w:rPr>
        <w:tab/>
      </w:r>
    </w:p>
    <w:p w:rsidR="00D32BC8" w:rsidRPr="00D32BC8" w:rsidRDefault="00D32BC8" w:rsidP="00D32BC8">
      <w:pPr>
        <w:spacing w:after="0" w:line="240" w:lineRule="auto"/>
        <w:jc w:val="both"/>
        <w:rPr>
          <w:rFonts w:cs="Calibri"/>
        </w:rPr>
      </w:pPr>
    </w:p>
    <w:p w:rsidR="00F663DC" w:rsidRDefault="00F663DC"/>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p w:rsidR="00D32BC8" w:rsidRDefault="00D32BC8"/>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D32BC8" w:rsidRPr="003C6D8C" w:rsidTr="00E35A8F">
        <w:trPr>
          <w:trHeight w:val="750"/>
        </w:trPr>
        <w:tc>
          <w:tcPr>
            <w:tcW w:w="9040" w:type="dxa"/>
            <w:gridSpan w:val="4"/>
            <w:tcBorders>
              <w:top w:val="single" w:sz="12" w:space="0" w:color="000000"/>
              <w:left w:val="single" w:sz="12" w:space="0" w:color="000000"/>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Arial" w:eastAsia="Times New Roman" w:hAnsi="Arial" w:cs="Arial"/>
                <w:b/>
                <w:bCs/>
                <w:i/>
                <w:iCs/>
                <w:sz w:val="24"/>
                <w:szCs w:val="24"/>
                <w:lang w:eastAsia="cs-CZ"/>
              </w:rPr>
            </w:pPr>
            <w:r w:rsidRPr="003C6D8C">
              <w:rPr>
                <w:rFonts w:ascii="Arial" w:eastAsia="Times New Roman" w:hAnsi="Arial" w:cs="Arial"/>
                <w:b/>
                <w:bCs/>
                <w:i/>
                <w:iCs/>
                <w:sz w:val="24"/>
                <w:szCs w:val="24"/>
                <w:lang w:eastAsia="cs-CZ"/>
              </w:rPr>
              <w:t>A3 - Program pro poskytování finanční podpory z rozpočtu města Kroměříže k zajištění financování mobilní paliativní péče na území města Kroměříže</w:t>
            </w:r>
          </w:p>
        </w:tc>
      </w:tr>
      <w:tr w:rsidR="00D32BC8" w:rsidRPr="003C6D8C" w:rsidTr="00E35A8F">
        <w:trPr>
          <w:trHeight w:val="375"/>
        </w:trPr>
        <w:tc>
          <w:tcPr>
            <w:tcW w:w="9040" w:type="dxa"/>
            <w:gridSpan w:val="4"/>
            <w:tcBorders>
              <w:top w:val="single" w:sz="4" w:space="0" w:color="auto"/>
              <w:left w:val="single" w:sz="12" w:space="0" w:color="000000"/>
              <w:bottom w:val="single" w:sz="4" w:space="0" w:color="auto"/>
              <w:right w:val="single" w:sz="12" w:space="0" w:color="000000"/>
            </w:tcBorders>
            <w:vAlign w:val="center"/>
            <w:hideMark/>
          </w:tcPr>
          <w:p w:rsidR="00D32BC8" w:rsidRPr="003C6D8C" w:rsidRDefault="00D32BC8" w:rsidP="00E35A8F">
            <w:pPr>
              <w:spacing w:after="0" w:line="240" w:lineRule="auto"/>
              <w:jc w:val="center"/>
              <w:rPr>
                <w:rFonts w:ascii="Arial" w:eastAsia="Times New Roman" w:hAnsi="Arial" w:cs="Arial"/>
                <w:b/>
                <w:bCs/>
                <w:i/>
                <w:iCs/>
                <w:sz w:val="24"/>
                <w:szCs w:val="24"/>
                <w:lang w:eastAsia="cs-CZ"/>
              </w:rPr>
            </w:pPr>
            <w:r w:rsidRPr="003C6D8C">
              <w:rPr>
                <w:rFonts w:ascii="Arial" w:eastAsia="Times New Roman" w:hAnsi="Arial" w:cs="Arial"/>
                <w:b/>
                <w:bCs/>
                <w:i/>
                <w:iCs/>
                <w:sz w:val="24"/>
                <w:szCs w:val="24"/>
                <w:lang w:eastAsia="cs-CZ"/>
              </w:rPr>
              <w:t>VYÚČTOVÁNÍ DOTACE PALIATIVNÍ SLUŽBY</w:t>
            </w:r>
          </w:p>
        </w:tc>
      </w:tr>
      <w:tr w:rsidR="00D32BC8" w:rsidRPr="003C6D8C" w:rsidTr="00E35A8F">
        <w:trPr>
          <w:trHeight w:val="330"/>
        </w:trPr>
        <w:tc>
          <w:tcPr>
            <w:tcW w:w="9040" w:type="dxa"/>
            <w:gridSpan w:val="4"/>
            <w:tcBorders>
              <w:top w:val="single" w:sz="4" w:space="0" w:color="auto"/>
              <w:left w:val="single" w:sz="12" w:space="0" w:color="000000"/>
              <w:bottom w:val="single" w:sz="4" w:space="0" w:color="auto"/>
              <w:right w:val="single" w:sz="12" w:space="0" w:color="000000"/>
            </w:tcBorders>
            <w:vAlign w:val="center"/>
            <w:hideMark/>
          </w:tcPr>
          <w:p w:rsidR="00D32BC8" w:rsidRPr="003C6D8C" w:rsidRDefault="00D32BC8" w:rsidP="00E35A8F">
            <w:pPr>
              <w:spacing w:after="0" w:line="240" w:lineRule="auto"/>
              <w:rPr>
                <w:rFonts w:ascii="Arial" w:eastAsia="Times New Roman" w:hAnsi="Arial" w:cs="Arial"/>
                <w:b/>
                <w:bCs/>
                <w:i/>
                <w:iCs/>
                <w:lang w:eastAsia="cs-CZ"/>
              </w:rPr>
            </w:pPr>
            <w:r w:rsidRPr="003C6D8C">
              <w:rPr>
                <w:rFonts w:ascii="Arial" w:eastAsia="Times New Roman" w:hAnsi="Arial" w:cs="Arial"/>
                <w:b/>
                <w:bCs/>
                <w:i/>
                <w:iCs/>
                <w:lang w:eastAsia="cs-CZ"/>
              </w:rPr>
              <w:t>Název organizace:</w:t>
            </w:r>
          </w:p>
        </w:tc>
      </w:tr>
      <w:tr w:rsidR="00D32BC8" w:rsidRPr="003C6D8C" w:rsidTr="00E35A8F">
        <w:trPr>
          <w:trHeight w:val="315"/>
        </w:trPr>
        <w:tc>
          <w:tcPr>
            <w:tcW w:w="9040" w:type="dxa"/>
            <w:gridSpan w:val="4"/>
            <w:tcBorders>
              <w:top w:val="single" w:sz="4" w:space="0" w:color="auto"/>
              <w:left w:val="single" w:sz="12" w:space="0" w:color="000000"/>
              <w:bottom w:val="single" w:sz="12" w:space="0" w:color="000000"/>
              <w:right w:val="single" w:sz="12" w:space="0" w:color="000000"/>
            </w:tcBorders>
            <w:vAlign w:val="center"/>
            <w:hideMark/>
          </w:tcPr>
          <w:p w:rsidR="00D32BC8" w:rsidRPr="003C6D8C" w:rsidRDefault="00D32BC8" w:rsidP="00E35A8F">
            <w:pPr>
              <w:spacing w:after="0" w:line="240" w:lineRule="auto"/>
              <w:rPr>
                <w:rFonts w:ascii="Arial" w:eastAsia="Times New Roman" w:hAnsi="Arial" w:cs="Arial"/>
                <w:b/>
                <w:bCs/>
                <w:i/>
                <w:iCs/>
                <w:lang w:eastAsia="cs-CZ"/>
              </w:rPr>
            </w:pPr>
            <w:r w:rsidRPr="003C6D8C">
              <w:rPr>
                <w:rFonts w:ascii="Arial" w:eastAsia="Times New Roman" w:hAnsi="Arial" w:cs="Arial"/>
                <w:b/>
                <w:bCs/>
                <w:i/>
                <w:iCs/>
                <w:lang w:eastAsia="cs-CZ"/>
              </w:rPr>
              <w:t>Název paliativní služby:</w:t>
            </w:r>
          </w:p>
        </w:tc>
      </w:tr>
      <w:tr w:rsidR="00D32BC8" w:rsidRPr="003C6D8C" w:rsidTr="00E35A8F">
        <w:trPr>
          <w:trHeight w:val="315"/>
        </w:trPr>
        <w:tc>
          <w:tcPr>
            <w:tcW w:w="9040" w:type="dxa"/>
            <w:gridSpan w:val="4"/>
            <w:tcBorders>
              <w:top w:val="single" w:sz="12" w:space="0" w:color="000000"/>
              <w:left w:val="single" w:sz="12" w:space="0" w:color="000000"/>
              <w:bottom w:val="single" w:sz="12" w:space="0" w:color="000000"/>
              <w:right w:val="single" w:sz="12" w:space="0" w:color="000000"/>
            </w:tcBorders>
            <w:vAlign w:val="center"/>
            <w:hideMark/>
          </w:tcPr>
          <w:p w:rsidR="00D32BC8" w:rsidRPr="003C6D8C" w:rsidRDefault="00D32BC8" w:rsidP="00E35A8F">
            <w:pPr>
              <w:spacing w:after="0" w:line="240" w:lineRule="auto"/>
              <w:rPr>
                <w:rFonts w:ascii="Arial" w:eastAsia="Times New Roman" w:hAnsi="Arial" w:cs="Arial"/>
                <w:b/>
                <w:bCs/>
                <w:i/>
                <w:iCs/>
                <w:lang w:eastAsia="cs-CZ"/>
              </w:rPr>
            </w:pPr>
          </w:p>
        </w:tc>
      </w:tr>
      <w:tr w:rsidR="00D32BC8" w:rsidRPr="003C6D8C" w:rsidTr="00E35A8F">
        <w:trPr>
          <w:trHeight w:val="330"/>
        </w:trPr>
        <w:tc>
          <w:tcPr>
            <w:tcW w:w="9040" w:type="dxa"/>
            <w:gridSpan w:val="4"/>
            <w:tcBorders>
              <w:top w:val="single" w:sz="12" w:space="0" w:color="000000"/>
              <w:left w:val="single" w:sz="12" w:space="0" w:color="000000"/>
              <w:bottom w:val="single" w:sz="4" w:space="0" w:color="auto"/>
              <w:right w:val="single" w:sz="12" w:space="0" w:color="000000"/>
            </w:tcBorders>
            <w:vAlign w:val="center"/>
            <w:hideMark/>
          </w:tcPr>
          <w:p w:rsidR="00D32BC8" w:rsidRPr="003C6D8C" w:rsidRDefault="00D32BC8" w:rsidP="00E35A8F">
            <w:pPr>
              <w:spacing w:after="0" w:line="240" w:lineRule="auto"/>
              <w:rPr>
                <w:rFonts w:ascii="Arial" w:eastAsia="Times New Roman" w:hAnsi="Arial" w:cs="Arial"/>
                <w:b/>
                <w:bCs/>
                <w:i/>
                <w:iCs/>
                <w:lang w:eastAsia="cs-CZ"/>
              </w:rPr>
            </w:pPr>
            <w:r w:rsidRPr="003C6D8C">
              <w:rPr>
                <w:rFonts w:ascii="Arial" w:eastAsia="Times New Roman" w:hAnsi="Arial" w:cs="Arial"/>
                <w:b/>
                <w:bCs/>
                <w:i/>
                <w:iCs/>
                <w:lang w:eastAsia="cs-CZ"/>
              </w:rPr>
              <w:t>Číslo smlouvy:</w:t>
            </w:r>
          </w:p>
        </w:tc>
      </w:tr>
      <w:tr w:rsidR="00D32BC8" w:rsidRPr="003C6D8C" w:rsidTr="00E35A8F">
        <w:trPr>
          <w:trHeight w:val="585"/>
        </w:trPr>
        <w:tc>
          <w:tcPr>
            <w:tcW w:w="2889" w:type="dxa"/>
            <w:tcBorders>
              <w:top w:val="single" w:sz="4" w:space="0" w:color="auto"/>
              <w:left w:val="single" w:sz="12" w:space="0" w:color="000000"/>
              <w:bottom w:val="single" w:sz="4" w:space="0" w:color="auto"/>
              <w:right w:val="single" w:sz="4" w:space="0" w:color="auto"/>
            </w:tcBorders>
            <w:noWrap/>
            <w:vAlign w:val="center"/>
            <w:hideMark/>
          </w:tcPr>
          <w:p w:rsidR="00D32BC8" w:rsidRPr="003C6D8C" w:rsidRDefault="00D32BC8" w:rsidP="00E35A8F">
            <w:pPr>
              <w:spacing w:after="0" w:line="240" w:lineRule="auto"/>
              <w:jc w:val="center"/>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Nákladová položka</w:t>
            </w:r>
          </w:p>
        </w:tc>
        <w:tc>
          <w:tcPr>
            <w:tcW w:w="3643" w:type="dxa"/>
            <w:tcBorders>
              <w:top w:val="single" w:sz="4" w:space="0" w:color="auto"/>
              <w:left w:val="single" w:sz="4" w:space="0" w:color="auto"/>
              <w:bottom w:val="single" w:sz="4" w:space="0" w:color="auto"/>
              <w:right w:val="single" w:sz="4" w:space="0" w:color="auto"/>
            </w:tcBorders>
            <w:vAlign w:val="center"/>
            <w:hideMark/>
          </w:tcPr>
          <w:p w:rsidR="00D32BC8" w:rsidRPr="003C6D8C" w:rsidRDefault="00D32BC8" w:rsidP="00E35A8F">
            <w:pPr>
              <w:spacing w:after="0" w:line="240" w:lineRule="auto"/>
              <w:jc w:val="center"/>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Skutečné náklady na službu</w:t>
            </w:r>
          </w:p>
        </w:tc>
        <w:tc>
          <w:tcPr>
            <w:tcW w:w="2508" w:type="dxa"/>
            <w:gridSpan w:val="2"/>
            <w:tcBorders>
              <w:top w:val="single" w:sz="4" w:space="0" w:color="auto"/>
              <w:left w:val="single" w:sz="4" w:space="0" w:color="auto"/>
              <w:bottom w:val="single" w:sz="4" w:space="0" w:color="auto"/>
              <w:right w:val="single" w:sz="12" w:space="0" w:color="000000"/>
            </w:tcBorders>
            <w:vAlign w:val="center"/>
            <w:hideMark/>
          </w:tcPr>
          <w:p w:rsidR="00D32BC8" w:rsidRPr="003C6D8C" w:rsidRDefault="00D32BC8" w:rsidP="00E35A8F">
            <w:pPr>
              <w:spacing w:after="0" w:line="240" w:lineRule="auto"/>
              <w:jc w:val="center"/>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Finanční podpora na službu od města Kroměříže</w:t>
            </w: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lang w:eastAsia="cs-CZ"/>
              </w:rPr>
            </w:pPr>
            <w:r w:rsidRPr="003C6D8C">
              <w:rPr>
                <w:rFonts w:ascii="Arial" w:eastAsia="Times New Roman" w:hAnsi="Arial" w:cs="Arial"/>
                <w:b/>
                <w:bCs/>
                <w:i/>
                <w:iCs/>
                <w:lang w:eastAsia="cs-CZ"/>
              </w:rPr>
              <w:t>1. Provozní náklady</w:t>
            </w:r>
          </w:p>
        </w:tc>
        <w:tc>
          <w:tcPr>
            <w:tcW w:w="3643" w:type="dxa"/>
            <w:tcBorders>
              <w:top w:val="single" w:sz="4" w:space="0" w:color="auto"/>
              <w:left w:val="single" w:sz="4" w:space="0" w:color="auto"/>
              <w:bottom w:val="single" w:sz="4" w:space="0" w:color="auto"/>
              <w:right w:val="single" w:sz="4" w:space="0" w:color="auto"/>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18"/>
                <w:szCs w:val="18"/>
                <w:lang w:eastAsia="cs-CZ"/>
              </w:rPr>
            </w:pPr>
            <w:r w:rsidRPr="003C6D8C">
              <w:rPr>
                <w:rFonts w:ascii="Arial" w:eastAsia="Times New Roman" w:hAnsi="Arial" w:cs="Arial"/>
                <w:b/>
                <w:bCs/>
                <w:i/>
                <w:iCs/>
                <w:sz w:val="20"/>
                <w:szCs w:val="20"/>
                <w:lang w:eastAsia="cs-CZ"/>
              </w:rPr>
              <w:t>1.1. Materiálové náklady</w:t>
            </w:r>
            <w:r w:rsidRPr="003C6D8C">
              <w:rPr>
                <w:rFonts w:ascii="Arial" w:eastAsia="Times New Roman" w:hAnsi="Arial" w:cs="Arial"/>
                <w:b/>
                <w:bCs/>
                <w:i/>
                <w:iCs/>
                <w:sz w:val="18"/>
                <w:szCs w:val="18"/>
                <w:lang w:eastAsia="cs-CZ"/>
              </w:rPr>
              <w:t xml:space="preserve">  </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kancelářské potřeby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pohonné hmoty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r w:rsidRPr="003C6D8C">
              <w:rPr>
                <w:rFonts w:ascii="Arial" w:eastAsia="Times New Roman" w:hAnsi="Arial" w:cs="Arial"/>
                <w:sz w:val="16"/>
                <w:szCs w:val="16"/>
                <w:lang w:eastAsia="cs-CZ"/>
              </w:rPr>
              <w:t>zdravotnický materiál</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r w:rsidRPr="003C6D8C">
              <w:rPr>
                <w:rFonts w:ascii="Arial" w:eastAsia="Times New Roman" w:hAnsi="Arial" w:cs="Arial"/>
                <w:sz w:val="16"/>
                <w:szCs w:val="16"/>
                <w:lang w:eastAsia="cs-CZ"/>
              </w:rPr>
              <w:t>potraviny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color w:val="000000"/>
                <w:sz w:val="16"/>
                <w:szCs w:val="16"/>
                <w:lang w:eastAsia="cs-CZ"/>
              </w:rPr>
            </w:pPr>
            <w:r w:rsidRPr="003C6D8C">
              <w:rPr>
                <w:rFonts w:ascii="Arial" w:eastAsia="Times New Roman" w:hAnsi="Arial" w:cs="Arial"/>
                <w:color w:val="000000"/>
                <w:sz w:val="16"/>
                <w:szCs w:val="16"/>
                <w:lang w:eastAsia="cs-CZ"/>
              </w:rPr>
              <w:t>drobný dlouhodobý hmotný majetek (do 40 tis. Kč)</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color w:val="000000"/>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drobný dlouhodobý nehmotný majetek (do 60 tis. Kč)</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sz w:val="16"/>
                <w:szCs w:val="16"/>
                <w:lang w:eastAsia="cs-CZ"/>
              </w:rPr>
            </w:pPr>
            <w:r w:rsidRPr="003C6D8C">
              <w:rPr>
                <w:rFonts w:ascii="Arial" w:eastAsia="Times New Roman" w:hAnsi="Arial" w:cs="Arial"/>
                <w:sz w:val="16"/>
                <w:szCs w:val="16"/>
                <w:lang w:eastAsia="cs-CZ"/>
              </w:rPr>
              <w:t>ochranné a pracovní pomůcky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r w:rsidRPr="003C6D8C">
              <w:rPr>
                <w:rFonts w:ascii="Arial" w:eastAsia="Times New Roman" w:hAnsi="Arial" w:cs="Arial"/>
                <w:sz w:val="16"/>
                <w:szCs w:val="16"/>
                <w:lang w:eastAsia="cs-CZ"/>
              </w:rPr>
              <w:t>ostatní materiál</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 xml:space="preserve">1.2.Energie  </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 xml:space="preserve">spotřeba elektrické energie </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 xml:space="preserve">spotřeba vody </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spotřeba plynu</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spotřeba tepla</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ostatní energie</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1.3.Opravy a udržování</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 xml:space="preserve">opravy a udržování movitého majetku </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opravy a udržování nemovitého majetku</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sz w:val="16"/>
                <w:szCs w:val="16"/>
                <w:lang w:eastAsia="cs-CZ"/>
              </w:rPr>
            </w:pPr>
            <w:r w:rsidRPr="003C6D8C">
              <w:rPr>
                <w:rFonts w:ascii="Arial" w:eastAsia="Times New Roman" w:hAnsi="Arial" w:cs="Arial"/>
                <w:sz w:val="16"/>
                <w:szCs w:val="16"/>
                <w:lang w:eastAsia="cs-CZ"/>
              </w:rPr>
              <w:t>opravy ostatní</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1.4. Cestovné včetně stravného</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1.5. Služby</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color w:val="000000"/>
                <w:sz w:val="16"/>
                <w:szCs w:val="16"/>
                <w:lang w:eastAsia="cs-CZ"/>
              </w:rPr>
            </w:pPr>
            <w:r w:rsidRPr="003C6D8C">
              <w:rPr>
                <w:rFonts w:ascii="Arial" w:eastAsia="Times New Roman" w:hAnsi="Arial" w:cs="Arial"/>
                <w:color w:val="000000"/>
                <w:sz w:val="16"/>
                <w:szCs w:val="16"/>
                <w:lang w:eastAsia="cs-CZ"/>
              </w:rPr>
              <w:t xml:space="preserve">právní a ekonomické služby </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color w:val="000000"/>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 xml:space="preserve">nájemné nemovitého majetku </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nájemné movitého majetku (vč. operativního leasingu)</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46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 xml:space="preserve">telefony, internet, poštovné, ostatní spoje </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58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finanční leasing</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vzdělávání zaměstnanců</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57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pojištění majetku, odpovědnosti za škodu</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58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r w:rsidRPr="003C6D8C">
              <w:rPr>
                <w:rFonts w:ascii="Arial" w:eastAsia="Times New Roman" w:hAnsi="Arial" w:cs="Arial"/>
                <w:i/>
                <w:iCs/>
                <w:sz w:val="16"/>
                <w:szCs w:val="16"/>
                <w:lang w:eastAsia="cs-CZ"/>
              </w:rPr>
              <w:t>ostatní služby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i/>
                <w:iCs/>
                <w:sz w:val="16"/>
                <w:szCs w:val="16"/>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D32BC8">
        <w:trPr>
          <w:trHeight w:val="300"/>
        </w:trPr>
        <w:tc>
          <w:tcPr>
            <w:tcW w:w="2889" w:type="dxa"/>
            <w:tcBorders>
              <w:top w:val="single" w:sz="4" w:space="0" w:color="auto"/>
              <w:left w:val="single" w:sz="12" w:space="0" w:color="auto"/>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1.6. Odpisy</w:t>
            </w:r>
          </w:p>
        </w:tc>
        <w:tc>
          <w:tcPr>
            <w:tcW w:w="3643" w:type="dxa"/>
            <w:tcBorders>
              <w:top w:val="single" w:sz="4" w:space="0" w:color="auto"/>
              <w:left w:val="single" w:sz="4" w:space="0" w:color="auto"/>
              <w:bottom w:val="single" w:sz="4" w:space="0" w:color="auto"/>
              <w:right w:val="single" w:sz="4" w:space="0" w:color="auto"/>
            </w:tcBorders>
            <w:noWrap/>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D32BC8">
        <w:trPr>
          <w:trHeight w:val="300"/>
        </w:trPr>
        <w:tc>
          <w:tcPr>
            <w:tcW w:w="2889" w:type="dxa"/>
            <w:tcBorders>
              <w:top w:val="single" w:sz="4" w:space="0" w:color="auto"/>
              <w:left w:val="single" w:sz="12" w:space="0" w:color="auto"/>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lang w:eastAsia="cs-CZ"/>
              </w:rPr>
            </w:pPr>
            <w:r w:rsidRPr="003C6D8C">
              <w:rPr>
                <w:rFonts w:ascii="Arial" w:eastAsia="Times New Roman" w:hAnsi="Arial" w:cs="Arial"/>
                <w:b/>
                <w:bCs/>
                <w:i/>
                <w:iCs/>
                <w:lang w:eastAsia="cs-CZ"/>
              </w:rPr>
              <w:t>2. Osobní náklady</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D32BC8">
        <w:trPr>
          <w:trHeight w:val="300"/>
        </w:trPr>
        <w:tc>
          <w:tcPr>
            <w:tcW w:w="2889" w:type="dxa"/>
            <w:tcBorders>
              <w:top w:val="single" w:sz="4" w:space="0" w:color="auto"/>
              <w:left w:val="single" w:sz="12" w:space="0" w:color="auto"/>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2.1. Mzdové náklady</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E35A8F">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20"/>
                <w:szCs w:val="20"/>
                <w:lang w:eastAsia="cs-CZ"/>
              </w:rPr>
            </w:pPr>
            <w:r w:rsidRPr="003C6D8C">
              <w:rPr>
                <w:rFonts w:ascii="Arial" w:eastAsia="Times New Roman" w:hAnsi="Arial" w:cs="Arial"/>
                <w:i/>
                <w:iCs/>
                <w:sz w:val="20"/>
                <w:szCs w:val="20"/>
                <w:lang w:eastAsia="cs-CZ"/>
              </w:rPr>
              <w:t>2.1.2. hrubé mzdy / platy</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20"/>
                <w:szCs w:val="20"/>
                <w:lang w:eastAsia="cs-CZ"/>
              </w:rPr>
            </w:pPr>
            <w:r w:rsidRPr="003C6D8C">
              <w:rPr>
                <w:rFonts w:ascii="Arial" w:eastAsia="Times New Roman" w:hAnsi="Arial" w:cs="Arial"/>
                <w:i/>
                <w:iCs/>
                <w:sz w:val="20"/>
                <w:szCs w:val="20"/>
                <w:lang w:eastAsia="cs-CZ"/>
              </w:rPr>
              <w:t>2.1.3. DPP / DPČ</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D32BC8">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20"/>
                <w:szCs w:val="20"/>
                <w:lang w:eastAsia="cs-CZ"/>
              </w:rPr>
            </w:pPr>
            <w:r w:rsidRPr="003C6D8C">
              <w:rPr>
                <w:rFonts w:ascii="Arial" w:eastAsia="Times New Roman" w:hAnsi="Arial" w:cs="Arial"/>
                <w:i/>
                <w:iCs/>
                <w:sz w:val="20"/>
                <w:szCs w:val="20"/>
                <w:lang w:eastAsia="cs-CZ"/>
              </w:rPr>
              <w:t>2.1.4. ostatní mzdové náklady</w:t>
            </w:r>
          </w:p>
        </w:tc>
        <w:tc>
          <w:tcPr>
            <w:tcW w:w="3643" w:type="dxa"/>
            <w:tcBorders>
              <w:top w:val="single" w:sz="4" w:space="0" w:color="auto"/>
              <w:left w:val="single" w:sz="4" w:space="0" w:color="auto"/>
              <w:bottom w:val="single" w:sz="12" w:space="0" w:color="000000"/>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D32BC8">
        <w:trPr>
          <w:trHeight w:val="525"/>
        </w:trPr>
        <w:tc>
          <w:tcPr>
            <w:tcW w:w="2889" w:type="dxa"/>
            <w:tcBorders>
              <w:top w:val="single" w:sz="4" w:space="0" w:color="auto"/>
              <w:left w:val="single" w:sz="12" w:space="0" w:color="000000"/>
              <w:bottom w:val="single" w:sz="4" w:space="0" w:color="auto"/>
              <w:right w:val="single" w:sz="12" w:space="0" w:color="000000"/>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2.2. Odvody zaměstnavatele na sociální a zdravotní pojištění</w:t>
            </w:r>
          </w:p>
        </w:tc>
        <w:tc>
          <w:tcPr>
            <w:tcW w:w="3643" w:type="dxa"/>
            <w:tcBorders>
              <w:top w:val="single" w:sz="12" w:space="0" w:color="000000"/>
              <w:left w:val="single" w:sz="12" w:space="0" w:color="000000"/>
              <w:bottom w:val="single" w:sz="12" w:space="0" w:color="000000"/>
              <w:right w:val="single" w:sz="12" w:space="0" w:color="000000"/>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12" w:space="0" w:color="000000"/>
              <w:bottom w:val="single" w:sz="4" w:space="0" w:color="auto"/>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r>
      <w:tr w:rsidR="00D32BC8" w:rsidRPr="003C6D8C" w:rsidTr="00D32BC8">
        <w:trPr>
          <w:trHeight w:val="51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20"/>
                <w:szCs w:val="20"/>
                <w:lang w:eastAsia="cs-CZ"/>
              </w:rPr>
            </w:pPr>
            <w:r w:rsidRPr="003C6D8C">
              <w:rPr>
                <w:rFonts w:ascii="Arial" w:eastAsia="Times New Roman" w:hAnsi="Arial" w:cs="Arial"/>
                <w:i/>
                <w:iCs/>
                <w:sz w:val="20"/>
                <w:szCs w:val="20"/>
                <w:lang w:eastAsia="cs-CZ"/>
              </w:rPr>
              <w:t>2.2.1. pojistné ke mzdám / platům</w:t>
            </w:r>
          </w:p>
        </w:tc>
        <w:tc>
          <w:tcPr>
            <w:tcW w:w="3643" w:type="dxa"/>
            <w:tcBorders>
              <w:top w:val="single" w:sz="12" w:space="0" w:color="000000"/>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20"/>
                <w:szCs w:val="20"/>
                <w:lang w:eastAsia="cs-CZ"/>
              </w:rPr>
            </w:pPr>
            <w:r w:rsidRPr="003C6D8C">
              <w:rPr>
                <w:rFonts w:ascii="Arial" w:eastAsia="Times New Roman" w:hAnsi="Arial" w:cs="Arial"/>
                <w:i/>
                <w:iCs/>
                <w:sz w:val="20"/>
                <w:szCs w:val="20"/>
                <w:lang w:eastAsia="cs-CZ"/>
              </w:rPr>
              <w:t>2.2.2. pojistné k DPČ</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300"/>
        </w:trPr>
        <w:tc>
          <w:tcPr>
            <w:tcW w:w="2889" w:type="dxa"/>
            <w:tcBorders>
              <w:top w:val="single" w:sz="4" w:space="0" w:color="auto"/>
              <w:left w:val="single" w:sz="12" w:space="0" w:color="000000"/>
              <w:bottom w:val="single" w:sz="4" w:space="0" w:color="auto"/>
              <w:right w:val="single" w:sz="4" w:space="0" w:color="auto"/>
            </w:tcBorders>
            <w:vAlign w:val="bottom"/>
            <w:hideMark/>
          </w:tcPr>
          <w:p w:rsidR="00D32BC8" w:rsidRPr="003C6D8C" w:rsidRDefault="00D32BC8" w:rsidP="00E35A8F">
            <w:pPr>
              <w:spacing w:after="0" w:line="240" w:lineRule="auto"/>
              <w:rPr>
                <w:rFonts w:ascii="Arial" w:eastAsia="Times New Roman" w:hAnsi="Arial" w:cs="Arial"/>
                <w:i/>
                <w:iCs/>
                <w:sz w:val="20"/>
                <w:szCs w:val="20"/>
                <w:lang w:eastAsia="cs-CZ"/>
              </w:rPr>
            </w:pPr>
            <w:r w:rsidRPr="003C6D8C">
              <w:rPr>
                <w:rFonts w:ascii="Arial" w:eastAsia="Times New Roman" w:hAnsi="Arial" w:cs="Arial"/>
                <w:i/>
                <w:iCs/>
                <w:sz w:val="20"/>
                <w:szCs w:val="20"/>
                <w:lang w:eastAsia="cs-CZ"/>
              </w:rPr>
              <w:t>2.2.3. ostatní pojistné</w:t>
            </w:r>
          </w:p>
        </w:tc>
        <w:tc>
          <w:tcPr>
            <w:tcW w:w="3643" w:type="dxa"/>
            <w:tcBorders>
              <w:top w:val="single" w:sz="4" w:space="0" w:color="auto"/>
              <w:left w:val="single" w:sz="4" w:space="0" w:color="auto"/>
              <w:bottom w:val="single" w:sz="4" w:space="0" w:color="auto"/>
              <w:right w:val="single" w:sz="4" w:space="0" w:color="auto"/>
            </w:tcBorders>
            <w:noWrap/>
            <w:vAlign w:val="bottom"/>
          </w:tcPr>
          <w:p w:rsidR="00D32BC8" w:rsidRPr="003C6D8C" w:rsidRDefault="00D32BC8" w:rsidP="00E35A8F">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525"/>
        </w:trPr>
        <w:tc>
          <w:tcPr>
            <w:tcW w:w="2889" w:type="dxa"/>
            <w:tcBorders>
              <w:top w:val="single" w:sz="4" w:space="0" w:color="auto"/>
              <w:left w:val="single" w:sz="12" w:space="0" w:color="000000"/>
              <w:bottom w:val="single" w:sz="12" w:space="0" w:color="000000"/>
              <w:right w:val="single" w:sz="4" w:space="0" w:color="auto"/>
            </w:tcBorders>
            <w:vAlign w:val="bottom"/>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2.3. Zákonné pojistné odpovědnosti zaměstnavatele</w:t>
            </w:r>
          </w:p>
        </w:tc>
        <w:tc>
          <w:tcPr>
            <w:tcW w:w="3643" w:type="dxa"/>
            <w:tcBorders>
              <w:top w:val="single" w:sz="4" w:space="0" w:color="auto"/>
              <w:left w:val="single" w:sz="4" w:space="0" w:color="auto"/>
              <w:bottom w:val="single" w:sz="12" w:space="0" w:color="000000"/>
              <w:right w:val="single" w:sz="4" w:space="0" w:color="auto"/>
            </w:tcBorders>
            <w:noWrap/>
            <w:vAlign w:val="bottom"/>
          </w:tcPr>
          <w:p w:rsidR="00D32BC8" w:rsidRPr="003C6D8C" w:rsidRDefault="00D32BC8" w:rsidP="00E35A8F">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12" w:space="0" w:color="000000"/>
              <w:right w:val="single" w:sz="12" w:space="0" w:color="000000"/>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525"/>
        </w:trPr>
        <w:tc>
          <w:tcPr>
            <w:tcW w:w="2889" w:type="dxa"/>
            <w:tcBorders>
              <w:top w:val="single" w:sz="12" w:space="0" w:color="000000"/>
              <w:left w:val="single" w:sz="12" w:space="0" w:color="000000"/>
              <w:bottom w:val="single" w:sz="12" w:space="0" w:color="000000"/>
              <w:right w:val="single" w:sz="4" w:space="0" w:color="auto"/>
            </w:tcBorders>
            <w:vAlign w:val="center"/>
            <w:hideMark/>
          </w:tcPr>
          <w:p w:rsidR="00D32BC8" w:rsidRPr="003C6D8C" w:rsidRDefault="00D32BC8" w:rsidP="00E35A8F">
            <w:pPr>
              <w:spacing w:after="0" w:line="240" w:lineRule="auto"/>
              <w:rPr>
                <w:rFonts w:ascii="Arial" w:eastAsia="Times New Roman" w:hAnsi="Arial" w:cs="Arial"/>
                <w:b/>
                <w:bCs/>
                <w:i/>
                <w:iCs/>
                <w:sz w:val="20"/>
                <w:szCs w:val="20"/>
                <w:lang w:eastAsia="cs-CZ"/>
              </w:rPr>
            </w:pPr>
            <w:r w:rsidRPr="003C6D8C">
              <w:rPr>
                <w:rFonts w:ascii="Arial" w:eastAsia="Times New Roman" w:hAnsi="Arial" w:cs="Arial"/>
                <w:b/>
                <w:bCs/>
                <w:i/>
                <w:iCs/>
                <w:sz w:val="20"/>
                <w:szCs w:val="20"/>
                <w:lang w:eastAsia="cs-CZ"/>
              </w:rPr>
              <w:t>Celkové náklady na realizaci služby</w:t>
            </w:r>
          </w:p>
        </w:tc>
        <w:tc>
          <w:tcPr>
            <w:tcW w:w="3643" w:type="dxa"/>
            <w:tcBorders>
              <w:top w:val="single" w:sz="12" w:space="0" w:color="000000"/>
              <w:left w:val="single" w:sz="4" w:space="0" w:color="auto"/>
              <w:bottom w:val="single" w:sz="12" w:space="0" w:color="000000"/>
              <w:right w:val="single" w:sz="4" w:space="0" w:color="auto"/>
            </w:tcBorders>
            <w:noWrap/>
            <w:vAlign w:val="bottom"/>
          </w:tcPr>
          <w:p w:rsidR="00D32BC8" w:rsidRPr="003C6D8C" w:rsidRDefault="00D32BC8" w:rsidP="00E35A8F">
            <w:pPr>
              <w:spacing w:after="0" w:line="240" w:lineRule="auto"/>
              <w:jc w:val="center"/>
              <w:rPr>
                <w:rFonts w:ascii="Arial" w:eastAsia="Times New Roman" w:hAnsi="Arial" w:cs="Arial"/>
                <w:b/>
                <w:bCs/>
                <w:i/>
                <w:iCs/>
                <w:lang w:eastAsia="cs-CZ"/>
              </w:rPr>
            </w:pPr>
          </w:p>
        </w:tc>
        <w:tc>
          <w:tcPr>
            <w:tcW w:w="2508" w:type="dxa"/>
            <w:gridSpan w:val="2"/>
            <w:tcBorders>
              <w:top w:val="single" w:sz="12" w:space="0" w:color="000000"/>
              <w:left w:val="single" w:sz="4" w:space="0" w:color="auto"/>
              <w:bottom w:val="single" w:sz="12" w:space="0" w:color="000000"/>
              <w:right w:val="single" w:sz="12" w:space="0" w:color="000000"/>
            </w:tcBorders>
            <w:vAlign w:val="bottom"/>
          </w:tcPr>
          <w:p w:rsidR="00D32BC8" w:rsidRPr="003C6D8C" w:rsidRDefault="00D32BC8" w:rsidP="00E35A8F">
            <w:pPr>
              <w:spacing w:after="0" w:line="240" w:lineRule="auto"/>
              <w:jc w:val="center"/>
              <w:rPr>
                <w:rFonts w:ascii="Arial" w:eastAsia="Times New Roman" w:hAnsi="Arial" w:cs="Arial"/>
                <w:b/>
                <w:bCs/>
                <w:i/>
                <w:iCs/>
                <w:sz w:val="20"/>
                <w:szCs w:val="20"/>
                <w:lang w:eastAsia="cs-CZ"/>
              </w:rPr>
            </w:pPr>
          </w:p>
        </w:tc>
      </w:tr>
      <w:tr w:rsidR="00D32BC8" w:rsidRPr="003C6D8C" w:rsidTr="00E35A8F">
        <w:trPr>
          <w:trHeight w:val="285"/>
        </w:trPr>
        <w:tc>
          <w:tcPr>
            <w:tcW w:w="2889" w:type="dxa"/>
            <w:tcBorders>
              <w:top w:val="single" w:sz="12" w:space="0" w:color="000000"/>
              <w:left w:val="nil"/>
              <w:bottom w:val="nil"/>
              <w:right w:val="nil"/>
            </w:tcBorders>
            <w:vAlign w:val="bottom"/>
            <w:hideMark/>
          </w:tcPr>
          <w:p w:rsidR="00D32BC8" w:rsidRPr="003C6D8C" w:rsidRDefault="00D32BC8" w:rsidP="00E35A8F">
            <w:pPr>
              <w:spacing w:after="0" w:line="240" w:lineRule="auto"/>
              <w:jc w:val="center"/>
              <w:rPr>
                <w:rFonts w:ascii="Arial" w:eastAsia="Times New Roman" w:hAnsi="Arial" w:cs="Arial"/>
                <w:b/>
                <w:bCs/>
                <w:i/>
                <w:iCs/>
                <w:sz w:val="20"/>
                <w:szCs w:val="20"/>
                <w:lang w:eastAsia="cs-CZ"/>
              </w:rPr>
            </w:pPr>
          </w:p>
        </w:tc>
        <w:tc>
          <w:tcPr>
            <w:tcW w:w="3643" w:type="dxa"/>
            <w:tcBorders>
              <w:top w:val="single" w:sz="12" w:space="0" w:color="000000"/>
              <w:left w:val="nil"/>
              <w:bottom w:val="nil"/>
              <w:right w:val="nil"/>
            </w:tcBorders>
            <w:noWrap/>
            <w:vAlign w:val="bottom"/>
          </w:tcPr>
          <w:p w:rsidR="00D32BC8" w:rsidRPr="003C6D8C" w:rsidRDefault="00D32BC8" w:rsidP="00E35A8F">
            <w:pPr>
              <w:spacing w:after="0" w:line="240" w:lineRule="auto"/>
              <w:rPr>
                <w:rFonts w:ascii="Times New Roman" w:eastAsia="Times New Roman" w:hAnsi="Times New Roman"/>
                <w:sz w:val="20"/>
                <w:szCs w:val="20"/>
                <w:lang w:eastAsia="cs-CZ"/>
              </w:rPr>
            </w:pPr>
          </w:p>
        </w:tc>
        <w:tc>
          <w:tcPr>
            <w:tcW w:w="1713" w:type="dxa"/>
            <w:tcBorders>
              <w:top w:val="single" w:sz="12" w:space="0" w:color="000000"/>
              <w:left w:val="nil"/>
              <w:bottom w:val="nil"/>
              <w:right w:val="nil"/>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c>
          <w:tcPr>
            <w:tcW w:w="795" w:type="dxa"/>
            <w:tcBorders>
              <w:top w:val="single" w:sz="12" w:space="0" w:color="000000"/>
              <w:left w:val="nil"/>
              <w:bottom w:val="nil"/>
              <w:right w:val="nil"/>
            </w:tcBorders>
            <w:vAlign w:val="bottom"/>
          </w:tcPr>
          <w:p w:rsidR="00D32BC8" w:rsidRPr="003C6D8C" w:rsidRDefault="00D32BC8" w:rsidP="00E35A8F">
            <w:pPr>
              <w:spacing w:after="0" w:line="240" w:lineRule="auto"/>
              <w:rPr>
                <w:rFonts w:ascii="Times New Roman" w:eastAsia="Times New Roman" w:hAnsi="Times New Roman"/>
                <w:sz w:val="20"/>
                <w:szCs w:val="20"/>
                <w:lang w:eastAsia="cs-CZ"/>
              </w:rPr>
            </w:pPr>
          </w:p>
        </w:tc>
      </w:tr>
      <w:tr w:rsidR="00D32BC8" w:rsidRPr="003C6D8C" w:rsidTr="00E35A8F">
        <w:trPr>
          <w:trHeight w:val="570"/>
        </w:trPr>
        <w:tc>
          <w:tcPr>
            <w:tcW w:w="9040" w:type="dxa"/>
            <w:gridSpan w:val="4"/>
            <w:tcBorders>
              <w:top w:val="nil"/>
              <w:left w:val="nil"/>
              <w:bottom w:val="nil"/>
              <w:right w:val="nil"/>
            </w:tcBorders>
            <w:vAlign w:val="bottom"/>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nil"/>
              <w:left w:val="nil"/>
              <w:bottom w:val="nil"/>
              <w:right w:val="nil"/>
            </w:tcBorders>
            <w:noWrap/>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rsidR="00D32BC8" w:rsidRPr="003C6D8C" w:rsidRDefault="00D32BC8" w:rsidP="00E35A8F">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rsidR="00D32BC8" w:rsidRPr="003C6D8C" w:rsidRDefault="00D32BC8" w:rsidP="00E35A8F">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rsidR="00D32BC8" w:rsidRPr="003C6D8C" w:rsidRDefault="00D32BC8" w:rsidP="00E35A8F">
            <w:pPr>
              <w:spacing w:after="0" w:line="240" w:lineRule="auto"/>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nil"/>
              <w:left w:val="nil"/>
              <w:bottom w:val="nil"/>
              <w:right w:val="nil"/>
            </w:tcBorders>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r w:rsidRPr="003C6D8C">
              <w:rPr>
                <w:rFonts w:ascii="Arial" w:eastAsia="Times New Roman" w:hAnsi="Arial" w:cs="Arial"/>
                <w:i/>
                <w:iCs/>
                <w:sz w:val="18"/>
                <w:szCs w:val="18"/>
                <w:lang w:eastAsia="cs-CZ"/>
              </w:rPr>
              <w:t>Datum:</w:t>
            </w:r>
          </w:p>
        </w:tc>
        <w:tc>
          <w:tcPr>
            <w:tcW w:w="3643" w:type="dxa"/>
            <w:tcBorders>
              <w:top w:val="nil"/>
              <w:left w:val="nil"/>
              <w:bottom w:val="nil"/>
              <w:right w:val="nil"/>
            </w:tcBorders>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r w:rsidRPr="003C6D8C">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D32BC8" w:rsidRPr="003C6D8C" w:rsidRDefault="00D32BC8" w:rsidP="00E35A8F">
            <w:pPr>
              <w:spacing w:after="0" w:line="240" w:lineRule="auto"/>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nil"/>
              <w:left w:val="nil"/>
              <w:bottom w:val="nil"/>
              <w:right w:val="nil"/>
            </w:tcBorders>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r w:rsidRPr="003C6D8C">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r w:rsidRPr="003C6D8C">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D32BC8" w:rsidRPr="003C6D8C" w:rsidRDefault="00D32BC8" w:rsidP="00E35A8F">
            <w:pPr>
              <w:spacing w:after="0" w:line="240" w:lineRule="auto"/>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nil"/>
              <w:left w:val="nil"/>
              <w:bottom w:val="nil"/>
              <w:right w:val="nil"/>
            </w:tcBorders>
            <w:noWrap/>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r w:rsidRPr="003C6D8C">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rsidR="00D32BC8" w:rsidRPr="003C6D8C" w:rsidRDefault="00D32BC8" w:rsidP="00E35A8F">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rsidR="00D32BC8" w:rsidRPr="003C6D8C" w:rsidRDefault="00D32BC8" w:rsidP="00E35A8F">
            <w:pPr>
              <w:spacing w:after="0" w:line="240" w:lineRule="auto"/>
              <w:rPr>
                <w:rFonts w:ascii="Times New Roman" w:eastAsia="Times New Roman" w:hAnsi="Times New Roman"/>
                <w:sz w:val="20"/>
                <w:szCs w:val="20"/>
                <w:lang w:eastAsia="cs-CZ"/>
              </w:rPr>
            </w:pPr>
          </w:p>
        </w:tc>
      </w:tr>
      <w:tr w:rsidR="00D32BC8" w:rsidRPr="003C6D8C" w:rsidTr="00E35A8F">
        <w:trPr>
          <w:trHeight w:val="285"/>
        </w:trPr>
        <w:tc>
          <w:tcPr>
            <w:tcW w:w="2889" w:type="dxa"/>
            <w:tcBorders>
              <w:top w:val="nil"/>
              <w:left w:val="nil"/>
              <w:bottom w:val="nil"/>
              <w:right w:val="nil"/>
            </w:tcBorders>
            <w:vAlign w:val="bottom"/>
            <w:hideMark/>
          </w:tcPr>
          <w:p w:rsidR="00D32BC8" w:rsidRPr="003C6D8C" w:rsidRDefault="00D32BC8" w:rsidP="00E35A8F">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rsidR="00D32BC8" w:rsidRPr="003C6D8C" w:rsidRDefault="00D32BC8" w:rsidP="00E35A8F">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vAlign w:val="bottom"/>
            <w:hideMark/>
          </w:tcPr>
          <w:p w:rsidR="00D32BC8" w:rsidRPr="003C6D8C" w:rsidRDefault="00D32BC8" w:rsidP="00E35A8F">
            <w:pPr>
              <w:spacing w:after="0" w:line="240" w:lineRule="auto"/>
              <w:jc w:val="center"/>
              <w:rPr>
                <w:rFonts w:ascii="Times New Roman" w:eastAsia="Times New Roman" w:hAnsi="Times New Roman"/>
                <w:sz w:val="20"/>
                <w:szCs w:val="20"/>
                <w:lang w:eastAsia="cs-CZ"/>
              </w:rPr>
            </w:pPr>
          </w:p>
        </w:tc>
        <w:tc>
          <w:tcPr>
            <w:tcW w:w="795" w:type="dxa"/>
            <w:tcBorders>
              <w:top w:val="nil"/>
              <w:left w:val="nil"/>
              <w:bottom w:val="nil"/>
              <w:right w:val="nil"/>
            </w:tcBorders>
            <w:vAlign w:val="bottom"/>
            <w:hideMark/>
          </w:tcPr>
          <w:p w:rsidR="00D32BC8" w:rsidRPr="003C6D8C" w:rsidRDefault="00D32BC8" w:rsidP="00E35A8F">
            <w:pPr>
              <w:spacing w:after="0" w:line="240" w:lineRule="auto"/>
              <w:rPr>
                <w:rFonts w:ascii="Times New Roman" w:eastAsia="Times New Roman" w:hAnsi="Times New Roman"/>
                <w:sz w:val="20"/>
                <w:szCs w:val="20"/>
                <w:lang w:eastAsia="cs-CZ"/>
              </w:rPr>
            </w:pPr>
          </w:p>
        </w:tc>
      </w:tr>
    </w:tbl>
    <w:p w:rsidR="00D32BC8" w:rsidRDefault="00D32BC8"/>
    <w:p w:rsidR="00D32BC8" w:rsidRDefault="00D32BC8"/>
    <w:p w:rsidR="00D32BC8" w:rsidRDefault="00D32BC8" w:rsidP="00D32BC8">
      <w:pPr>
        <w:spacing w:after="0" w:line="240" w:lineRule="auto"/>
        <w:jc w:val="center"/>
        <w:rPr>
          <w:rFonts w:eastAsia="Times New Roman" w:cs="Calibri"/>
          <w:b/>
          <w:bCs/>
          <w:i/>
          <w:iCs/>
          <w:color w:val="000000"/>
          <w:sz w:val="28"/>
          <w:szCs w:val="28"/>
          <w:lang w:eastAsia="cs-CZ"/>
        </w:rPr>
        <w:sectPr w:rsidR="00D32BC8" w:rsidSect="00432006">
          <w:headerReference w:type="default" r:id="rId8"/>
          <w:footnotePr>
            <w:pos w:val="beneathText"/>
          </w:footnotePr>
          <w:pgSz w:w="11905" w:h="16837"/>
          <w:pgMar w:top="2665" w:right="1134" w:bottom="1985" w:left="1559" w:header="851" w:footer="709" w:gutter="0"/>
          <w:cols w:space="708"/>
          <w:docGrid w:linePitch="360"/>
        </w:sectPr>
      </w:pPr>
    </w:p>
    <w:tbl>
      <w:tblPr>
        <w:tblW w:w="12780" w:type="dxa"/>
        <w:tblCellMar>
          <w:top w:w="15" w:type="dxa"/>
          <w:left w:w="70" w:type="dxa"/>
          <w:bottom w:w="15" w:type="dxa"/>
          <w:right w:w="70" w:type="dxa"/>
        </w:tblCellMar>
        <w:tblLook w:val="04A0" w:firstRow="1" w:lastRow="0" w:firstColumn="1" w:lastColumn="0" w:noHBand="0" w:noVBand="1"/>
      </w:tblPr>
      <w:tblGrid>
        <w:gridCol w:w="421"/>
        <w:gridCol w:w="6999"/>
        <w:gridCol w:w="5256"/>
        <w:gridCol w:w="146"/>
        <w:gridCol w:w="146"/>
      </w:tblGrid>
      <w:tr w:rsidR="00D32BC8" w:rsidRPr="00D32BC8" w:rsidTr="00E35A8F">
        <w:trPr>
          <w:trHeight w:val="20"/>
        </w:trPr>
        <w:tc>
          <w:tcPr>
            <w:tcW w:w="12780" w:type="dxa"/>
            <w:gridSpan w:val="5"/>
            <w:tcBorders>
              <w:top w:val="nil"/>
              <w:left w:val="nil"/>
              <w:bottom w:val="nil"/>
              <w:right w:val="nil"/>
            </w:tcBorders>
            <w:noWrap/>
            <w:vAlign w:val="bottom"/>
            <w:hideMark/>
          </w:tcPr>
          <w:p w:rsidR="00D32BC8" w:rsidRPr="00D32BC8" w:rsidRDefault="00D32BC8" w:rsidP="00D32BC8">
            <w:pPr>
              <w:spacing w:after="0" w:line="240" w:lineRule="auto"/>
              <w:jc w:val="center"/>
              <w:rPr>
                <w:rFonts w:eastAsia="Times New Roman" w:cs="Calibri"/>
                <w:b/>
                <w:bCs/>
                <w:i/>
                <w:iCs/>
                <w:color w:val="000000"/>
                <w:sz w:val="18"/>
                <w:szCs w:val="18"/>
                <w:lang w:eastAsia="cs-CZ"/>
              </w:rPr>
            </w:pPr>
            <w:r w:rsidRPr="00D32BC8">
              <w:rPr>
                <w:rFonts w:eastAsia="Times New Roman" w:cs="Calibri"/>
                <w:b/>
                <w:bCs/>
                <w:i/>
                <w:iCs/>
                <w:color w:val="000000"/>
                <w:sz w:val="18"/>
                <w:szCs w:val="18"/>
                <w:lang w:eastAsia="cs-CZ"/>
              </w:rPr>
              <w:t>A4 - Přehled získaných finančních prostředků na paliativní službu - vyúčtování dotace</w:t>
            </w:r>
          </w:p>
        </w:tc>
      </w:tr>
      <w:tr w:rsidR="00D32BC8" w:rsidRPr="00D32BC8" w:rsidTr="00E35A8F">
        <w:trPr>
          <w:trHeight w:val="20"/>
        </w:trPr>
        <w:tc>
          <w:tcPr>
            <w:tcW w:w="7420" w:type="dxa"/>
            <w:gridSpan w:val="2"/>
            <w:tcBorders>
              <w:top w:val="nil"/>
              <w:left w:val="nil"/>
              <w:bottom w:val="single" w:sz="12" w:space="0" w:color="000000"/>
              <w:right w:val="nil"/>
            </w:tcBorders>
            <w:noWrap/>
            <w:vAlign w:val="bottom"/>
            <w:hideMark/>
          </w:tcPr>
          <w:p w:rsidR="00D32BC8" w:rsidRPr="00D32BC8" w:rsidRDefault="00D32BC8" w:rsidP="00D32BC8">
            <w:pPr>
              <w:spacing w:after="0" w:line="240" w:lineRule="auto"/>
              <w:jc w:val="center"/>
              <w:rPr>
                <w:rFonts w:eastAsia="Times New Roman" w:cs="Calibri"/>
                <w:b/>
                <w:bCs/>
                <w:i/>
                <w:iCs/>
                <w:color w:val="000000"/>
                <w:sz w:val="18"/>
                <w:szCs w:val="18"/>
                <w:lang w:eastAsia="cs-CZ"/>
              </w:rPr>
            </w:pPr>
          </w:p>
        </w:tc>
        <w:tc>
          <w:tcPr>
            <w:tcW w:w="5256" w:type="dxa"/>
            <w:tcBorders>
              <w:top w:val="nil"/>
              <w:left w:val="nil"/>
              <w:bottom w:val="single" w:sz="12" w:space="0" w:color="000000"/>
              <w:right w:val="nil"/>
            </w:tcBorders>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c>
          <w:tcPr>
            <w:tcW w:w="52" w:type="dxa"/>
            <w:tcBorders>
              <w:top w:val="nil"/>
              <w:left w:val="nil"/>
              <w:bottom w:val="single" w:sz="12" w:space="0" w:color="000000"/>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c>
          <w:tcPr>
            <w:tcW w:w="52" w:type="dxa"/>
            <w:tcBorders>
              <w:top w:val="nil"/>
              <w:left w:val="nil"/>
              <w:bottom w:val="single" w:sz="12" w:space="0" w:color="000000"/>
              <w:right w:val="single" w:sz="12" w:space="0" w:color="000000"/>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r>
      <w:tr w:rsidR="00D32BC8" w:rsidRPr="00D32BC8" w:rsidTr="00E35A8F">
        <w:trPr>
          <w:trHeight w:val="20"/>
        </w:trPr>
        <w:tc>
          <w:tcPr>
            <w:tcW w:w="12780" w:type="dxa"/>
            <w:gridSpan w:val="5"/>
            <w:tcBorders>
              <w:top w:val="single" w:sz="12" w:space="0" w:color="000000"/>
              <w:left w:val="single" w:sz="12" w:space="0" w:color="000000"/>
              <w:bottom w:val="single" w:sz="8" w:space="0" w:color="auto"/>
              <w:right w:val="single" w:sz="12" w:space="0" w:color="000000"/>
            </w:tcBorders>
            <w:shd w:val="clear" w:color="000000" w:fill="F2F2F2"/>
            <w:noWrap/>
            <w:vAlign w:val="center"/>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Název organizace:</w:t>
            </w:r>
          </w:p>
        </w:tc>
      </w:tr>
      <w:tr w:rsidR="00D32BC8" w:rsidRPr="00D32BC8" w:rsidTr="00E35A8F">
        <w:trPr>
          <w:trHeight w:val="20"/>
        </w:trPr>
        <w:tc>
          <w:tcPr>
            <w:tcW w:w="12780" w:type="dxa"/>
            <w:gridSpan w:val="5"/>
            <w:tcBorders>
              <w:top w:val="single" w:sz="8" w:space="0" w:color="auto"/>
              <w:left w:val="single" w:sz="12" w:space="0" w:color="000000"/>
              <w:bottom w:val="single" w:sz="8" w:space="0" w:color="auto"/>
              <w:right w:val="single" w:sz="12" w:space="0" w:color="000000"/>
            </w:tcBorders>
            <w:shd w:val="clear" w:color="000000" w:fill="F2F2F2"/>
            <w:noWrap/>
            <w:vAlign w:val="center"/>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Název paliativní služby:</w:t>
            </w:r>
          </w:p>
        </w:tc>
      </w:tr>
      <w:tr w:rsidR="00D32BC8" w:rsidRPr="00D32BC8" w:rsidTr="00E35A8F">
        <w:trPr>
          <w:trHeight w:val="20"/>
        </w:trPr>
        <w:tc>
          <w:tcPr>
            <w:tcW w:w="12780" w:type="dxa"/>
            <w:gridSpan w:val="5"/>
            <w:tcBorders>
              <w:top w:val="single" w:sz="8" w:space="0" w:color="auto"/>
              <w:left w:val="single" w:sz="12" w:space="0" w:color="000000"/>
              <w:bottom w:val="single" w:sz="8" w:space="0" w:color="auto"/>
              <w:right w:val="single" w:sz="12" w:space="0" w:color="000000"/>
            </w:tcBorders>
            <w:shd w:val="clear" w:color="000000" w:fill="F2F2F2"/>
            <w:noWrap/>
            <w:vAlign w:val="center"/>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12780" w:type="dxa"/>
            <w:gridSpan w:val="5"/>
            <w:tcBorders>
              <w:top w:val="single" w:sz="8" w:space="0" w:color="auto"/>
              <w:left w:val="single" w:sz="12" w:space="0" w:color="000000"/>
              <w:bottom w:val="single" w:sz="8" w:space="0" w:color="auto"/>
              <w:right w:val="single" w:sz="12" w:space="0" w:color="000000"/>
            </w:tcBorders>
            <w:shd w:val="clear" w:color="000000" w:fill="F2F2F2"/>
            <w:noWrap/>
            <w:vAlign w:val="center"/>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Číslo smlouvy:</w:t>
            </w:r>
          </w:p>
        </w:tc>
      </w:tr>
      <w:tr w:rsidR="00D32BC8" w:rsidRPr="00D32BC8" w:rsidTr="00E35A8F">
        <w:trPr>
          <w:trHeight w:val="20"/>
        </w:trPr>
        <w:tc>
          <w:tcPr>
            <w:tcW w:w="7420" w:type="dxa"/>
            <w:gridSpan w:val="2"/>
            <w:tcBorders>
              <w:top w:val="single" w:sz="8" w:space="0" w:color="auto"/>
              <w:left w:val="single" w:sz="12" w:space="0" w:color="000000"/>
              <w:bottom w:val="single" w:sz="8" w:space="0" w:color="auto"/>
              <w:right w:val="nil"/>
            </w:tcBorders>
            <w:shd w:val="clear" w:color="000000" w:fill="F2F2F2"/>
            <w:vAlign w:val="center"/>
            <w:hideMark/>
          </w:tcPr>
          <w:p w:rsidR="00D32BC8" w:rsidRPr="00D32BC8" w:rsidRDefault="00D32BC8" w:rsidP="00D32BC8">
            <w:pPr>
              <w:spacing w:after="0" w:line="240" w:lineRule="auto"/>
              <w:jc w:val="center"/>
              <w:rPr>
                <w:rFonts w:eastAsia="Times New Roman" w:cs="Calibri"/>
                <w:b/>
                <w:bCs/>
                <w:i/>
                <w:iCs/>
                <w:sz w:val="18"/>
                <w:szCs w:val="18"/>
                <w:lang w:eastAsia="cs-CZ"/>
              </w:rPr>
            </w:pPr>
            <w:r w:rsidRPr="00D32BC8">
              <w:rPr>
                <w:rFonts w:eastAsia="Times New Roman" w:cs="Calibri"/>
                <w:b/>
                <w:bCs/>
                <w:i/>
                <w:iCs/>
                <w:sz w:val="18"/>
                <w:szCs w:val="18"/>
                <w:lang w:eastAsia="cs-CZ"/>
              </w:rPr>
              <w:t>Zdroje finančních prostředků na paliativní službu</w:t>
            </w:r>
          </w:p>
        </w:tc>
        <w:tc>
          <w:tcPr>
            <w:tcW w:w="5360" w:type="dxa"/>
            <w:gridSpan w:val="3"/>
            <w:tcBorders>
              <w:top w:val="single" w:sz="8" w:space="0" w:color="auto"/>
              <w:left w:val="single" w:sz="8" w:space="0" w:color="auto"/>
              <w:bottom w:val="single" w:sz="8" w:space="0" w:color="auto"/>
              <w:right w:val="single" w:sz="12" w:space="0" w:color="000000"/>
            </w:tcBorders>
            <w:shd w:val="clear" w:color="000000" w:fill="F2F2F2"/>
            <w:vAlign w:val="center"/>
            <w:hideMark/>
          </w:tcPr>
          <w:p w:rsidR="00D32BC8" w:rsidRPr="00D32BC8" w:rsidRDefault="00D32BC8" w:rsidP="00D32BC8">
            <w:pPr>
              <w:spacing w:after="0" w:line="240" w:lineRule="auto"/>
              <w:jc w:val="center"/>
              <w:rPr>
                <w:rFonts w:eastAsia="Times New Roman" w:cs="Calibri"/>
                <w:b/>
                <w:bCs/>
                <w:i/>
                <w:iCs/>
                <w:sz w:val="18"/>
                <w:szCs w:val="18"/>
                <w:lang w:eastAsia="cs-CZ"/>
              </w:rPr>
            </w:pPr>
            <w:r w:rsidRPr="00D32BC8">
              <w:rPr>
                <w:rFonts w:eastAsia="Times New Roman" w:cs="Calibri"/>
                <w:b/>
                <w:bCs/>
                <w:i/>
                <w:iCs/>
                <w:sz w:val="18"/>
                <w:szCs w:val="18"/>
                <w:lang w:eastAsia="cs-CZ"/>
              </w:rPr>
              <w:t>Skutečnost</w:t>
            </w:r>
          </w:p>
        </w:tc>
      </w:tr>
      <w:tr w:rsidR="00D32BC8" w:rsidRPr="00D32BC8" w:rsidTr="00E35A8F">
        <w:trPr>
          <w:trHeight w:val="20"/>
        </w:trPr>
        <w:tc>
          <w:tcPr>
            <w:tcW w:w="421" w:type="dxa"/>
            <w:tcBorders>
              <w:top w:val="single" w:sz="8" w:space="0" w:color="auto"/>
              <w:left w:val="single" w:sz="12" w:space="0" w:color="000000"/>
              <w:bottom w:val="single" w:sz="4" w:space="0" w:color="3F3F3F"/>
              <w:right w:val="single" w:sz="8" w:space="0" w:color="auto"/>
            </w:tcBorders>
            <w:shd w:val="clear" w:color="000000" w:fill="F2F2F2"/>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w:t>
            </w:r>
          </w:p>
        </w:tc>
        <w:tc>
          <w:tcPr>
            <w:tcW w:w="6999" w:type="dxa"/>
            <w:tcBorders>
              <w:top w:val="single" w:sz="8" w:space="0" w:color="auto"/>
              <w:left w:val="single" w:sz="8" w:space="0" w:color="auto"/>
              <w:bottom w:val="single" w:sz="4" w:space="0" w:color="3F3F3F"/>
              <w:right w:val="single" w:sz="8" w:space="0" w:color="auto"/>
            </w:tcBorders>
            <w:shd w:val="clear" w:color="000000" w:fill="F2F2F2"/>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Město Kroměříž</w:t>
            </w:r>
          </w:p>
        </w:tc>
        <w:tc>
          <w:tcPr>
            <w:tcW w:w="5360" w:type="dxa"/>
            <w:gridSpan w:val="3"/>
            <w:tcBorders>
              <w:top w:val="single" w:sz="8" w:space="0" w:color="auto"/>
              <w:left w:val="single" w:sz="8" w:space="0" w:color="auto"/>
              <w:bottom w:val="single" w:sz="4" w:space="0" w:color="3F3F3F"/>
              <w:right w:val="single" w:sz="12" w:space="0" w:color="000000"/>
            </w:tcBorders>
            <w:shd w:val="clear" w:color="000000" w:fill="F2F2F2"/>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2</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Zlínský kraj - státní finanční prostředky  (MPSV)</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3</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Zlínský kraj - individuální projekt Zlínského kraje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4</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Zlínský kraj - finanční prostředky kraje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5</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Ostatní kraje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6</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MŠMT</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7</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Ministerstvo vnitra</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8</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Ministerstvo zdravotnictví</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9</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Úřad vlády ČR</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10</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Ostatní rezorty státní správy</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11</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Úřady práce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12</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Zdravotní pojišťovny</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13</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Nadace</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14</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Sponzorské dary</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15</w:t>
            </w:r>
          </w:p>
        </w:tc>
        <w:tc>
          <w:tcPr>
            <w:tcW w:w="6999" w:type="dxa"/>
            <w:tcBorders>
              <w:top w:val="single" w:sz="4" w:space="0" w:color="3F3F3F"/>
              <w:left w:val="single" w:sz="8" w:space="0" w:color="auto"/>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Příjmy od klientů</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4" w:space="0" w:color="3F3F3F"/>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16</w:t>
            </w:r>
          </w:p>
        </w:tc>
        <w:tc>
          <w:tcPr>
            <w:tcW w:w="6999" w:type="dxa"/>
            <w:tcBorders>
              <w:top w:val="single" w:sz="4" w:space="0" w:color="3F3F3F"/>
              <w:left w:val="single" w:sz="8" w:space="0" w:color="auto"/>
              <w:bottom w:val="single" w:sz="2" w:space="0" w:color="000000"/>
              <w:right w:val="single" w:sz="8" w:space="0" w:color="auto"/>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Ostatní</w:t>
            </w: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nil"/>
              <w:right w:val="single" w:sz="2" w:space="0" w:color="000000"/>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17</w:t>
            </w:r>
          </w:p>
        </w:tc>
        <w:tc>
          <w:tcPr>
            <w:tcW w:w="6999" w:type="dxa"/>
            <w:tcBorders>
              <w:top w:val="single" w:sz="2" w:space="0" w:color="000000"/>
              <w:left w:val="single" w:sz="2" w:space="0" w:color="000000"/>
              <w:bottom w:val="single" w:sz="2" w:space="0" w:color="000000"/>
              <w:right w:val="single" w:sz="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r w:rsidRPr="00D32BC8">
              <w:rPr>
                <w:rFonts w:eastAsia="Times New Roman" w:cs="Calibri"/>
                <w:b/>
                <w:bCs/>
                <w:i/>
                <w:iCs/>
                <w:sz w:val="18"/>
                <w:szCs w:val="18"/>
                <w:lang w:eastAsia="cs-CZ"/>
              </w:rPr>
              <w:t>Jiné obce, uveďte součet za všechny obce a názvy obcí</w:t>
            </w:r>
          </w:p>
        </w:tc>
        <w:tc>
          <w:tcPr>
            <w:tcW w:w="5360" w:type="dxa"/>
            <w:gridSpan w:val="3"/>
            <w:tcBorders>
              <w:top w:val="single" w:sz="4" w:space="0" w:color="3F3F3F"/>
              <w:left w:val="single" w:sz="2" w:space="0" w:color="000000"/>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eastAsia="Times New Roman" w:cs="Calibri"/>
                <w:b/>
                <w:bCs/>
                <w:i/>
                <w:iCs/>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nil"/>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18</w:t>
            </w:r>
          </w:p>
        </w:tc>
        <w:tc>
          <w:tcPr>
            <w:tcW w:w="6999" w:type="dxa"/>
            <w:tcBorders>
              <w:top w:val="single" w:sz="2" w:space="0" w:color="000000"/>
              <w:left w:val="single" w:sz="8" w:space="0" w:color="auto"/>
              <w:bottom w:val="nil"/>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nil"/>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19</w:t>
            </w:r>
          </w:p>
        </w:tc>
        <w:tc>
          <w:tcPr>
            <w:tcW w:w="6999" w:type="dxa"/>
            <w:tcBorders>
              <w:top w:val="single" w:sz="4" w:space="0" w:color="3F3F3F"/>
              <w:left w:val="single" w:sz="8" w:space="0" w:color="auto"/>
              <w:bottom w:val="nil"/>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nil"/>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20</w:t>
            </w:r>
          </w:p>
        </w:tc>
        <w:tc>
          <w:tcPr>
            <w:tcW w:w="6999" w:type="dxa"/>
            <w:tcBorders>
              <w:top w:val="single" w:sz="4" w:space="0" w:color="3F3F3F"/>
              <w:left w:val="single" w:sz="8" w:space="0" w:color="auto"/>
              <w:bottom w:val="nil"/>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p>
        </w:tc>
        <w:tc>
          <w:tcPr>
            <w:tcW w:w="5360" w:type="dxa"/>
            <w:gridSpan w:val="3"/>
            <w:tcBorders>
              <w:top w:val="single" w:sz="4" w:space="0" w:color="3F3F3F"/>
              <w:left w:val="single" w:sz="8" w:space="0" w:color="auto"/>
              <w:bottom w:val="single" w:sz="4" w:space="0" w:color="3F3F3F"/>
              <w:right w:val="single" w:sz="12" w:space="0" w:color="000000"/>
            </w:tcBorders>
            <w:shd w:val="clear" w:color="000000" w:fill="F2F2F2"/>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r>
      <w:tr w:rsidR="00D32BC8" w:rsidRPr="00D32BC8" w:rsidTr="00E35A8F">
        <w:trPr>
          <w:trHeight w:val="20"/>
        </w:trPr>
        <w:tc>
          <w:tcPr>
            <w:tcW w:w="421" w:type="dxa"/>
            <w:tcBorders>
              <w:top w:val="single" w:sz="4" w:space="0" w:color="3F3F3F"/>
              <w:left w:val="single" w:sz="12" w:space="0" w:color="000000"/>
              <w:bottom w:val="single" w:sz="12" w:space="0" w:color="000000"/>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r w:rsidRPr="00D32BC8">
              <w:rPr>
                <w:rFonts w:eastAsia="Times New Roman" w:cs="Calibri"/>
                <w:b/>
                <w:bCs/>
                <w:i/>
                <w:iCs/>
                <w:sz w:val="18"/>
                <w:szCs w:val="18"/>
                <w:lang w:eastAsia="cs-CZ"/>
              </w:rPr>
              <w:t>21</w:t>
            </w:r>
          </w:p>
        </w:tc>
        <w:tc>
          <w:tcPr>
            <w:tcW w:w="6999" w:type="dxa"/>
            <w:tcBorders>
              <w:top w:val="single" w:sz="4" w:space="0" w:color="3F3F3F"/>
              <w:left w:val="single" w:sz="8" w:space="0" w:color="auto"/>
              <w:bottom w:val="single" w:sz="12" w:space="0" w:color="000000"/>
              <w:right w:val="single" w:sz="8" w:space="0" w:color="auto"/>
            </w:tcBorders>
            <w:shd w:val="clear" w:color="000000" w:fill="F2F2F2"/>
            <w:noWrap/>
            <w:vAlign w:val="bottom"/>
            <w:hideMark/>
          </w:tcPr>
          <w:p w:rsidR="00D32BC8" w:rsidRPr="00D32BC8" w:rsidRDefault="00D32BC8" w:rsidP="00D32BC8">
            <w:pPr>
              <w:spacing w:after="0" w:line="240" w:lineRule="auto"/>
              <w:jc w:val="right"/>
              <w:rPr>
                <w:rFonts w:eastAsia="Times New Roman" w:cs="Calibri"/>
                <w:b/>
                <w:bCs/>
                <w:i/>
                <w:iCs/>
                <w:sz w:val="18"/>
                <w:szCs w:val="18"/>
                <w:lang w:eastAsia="cs-CZ"/>
              </w:rPr>
            </w:pPr>
          </w:p>
        </w:tc>
        <w:tc>
          <w:tcPr>
            <w:tcW w:w="5360" w:type="dxa"/>
            <w:gridSpan w:val="3"/>
            <w:tcBorders>
              <w:top w:val="single" w:sz="4" w:space="0" w:color="3F3F3F"/>
              <w:left w:val="single" w:sz="8" w:space="0" w:color="auto"/>
              <w:bottom w:val="single" w:sz="8" w:space="0" w:color="auto"/>
              <w:right w:val="single" w:sz="12" w:space="0" w:color="000000"/>
            </w:tcBorders>
            <w:shd w:val="clear" w:color="000000" w:fill="F2F2F2"/>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r>
      <w:tr w:rsidR="00D32BC8" w:rsidRPr="00D32BC8" w:rsidTr="00E35A8F">
        <w:trPr>
          <w:trHeight w:val="20"/>
        </w:trPr>
        <w:tc>
          <w:tcPr>
            <w:tcW w:w="7420" w:type="dxa"/>
            <w:gridSpan w:val="2"/>
            <w:tcBorders>
              <w:top w:val="single" w:sz="8" w:space="0" w:color="auto"/>
              <w:left w:val="single" w:sz="12" w:space="0" w:color="000000"/>
              <w:bottom w:val="single" w:sz="12" w:space="0" w:color="000000"/>
              <w:right w:val="nil"/>
            </w:tcBorders>
            <w:shd w:val="clear" w:color="000000" w:fill="F2F2F2"/>
            <w:noWrap/>
            <w:vAlign w:val="center"/>
            <w:hideMark/>
          </w:tcPr>
          <w:p w:rsidR="00D32BC8" w:rsidRPr="00D32BC8" w:rsidRDefault="00D32BC8" w:rsidP="00D32BC8">
            <w:pPr>
              <w:spacing w:after="0" w:line="240" w:lineRule="auto"/>
              <w:jc w:val="center"/>
              <w:rPr>
                <w:rFonts w:eastAsia="Times New Roman" w:cs="Calibri"/>
                <w:b/>
                <w:bCs/>
                <w:i/>
                <w:iCs/>
                <w:sz w:val="18"/>
                <w:szCs w:val="18"/>
                <w:lang w:eastAsia="cs-CZ"/>
              </w:rPr>
            </w:pPr>
            <w:r w:rsidRPr="00D32BC8">
              <w:rPr>
                <w:rFonts w:eastAsia="Times New Roman" w:cs="Calibri"/>
                <w:b/>
                <w:bCs/>
                <w:i/>
                <w:iCs/>
                <w:sz w:val="18"/>
                <w:szCs w:val="18"/>
                <w:lang w:eastAsia="cs-CZ"/>
              </w:rPr>
              <w:t>Celkové příjmy</w:t>
            </w:r>
          </w:p>
        </w:tc>
        <w:tc>
          <w:tcPr>
            <w:tcW w:w="5360" w:type="dxa"/>
            <w:gridSpan w:val="3"/>
            <w:tcBorders>
              <w:top w:val="single" w:sz="12" w:space="0" w:color="000000"/>
              <w:left w:val="single" w:sz="8" w:space="0" w:color="auto"/>
              <w:bottom w:val="single" w:sz="12" w:space="0" w:color="000000"/>
              <w:right w:val="single" w:sz="12" w:space="0" w:color="000000"/>
            </w:tcBorders>
            <w:shd w:val="clear" w:color="000000" w:fill="F2F2F2"/>
            <w:noWrap/>
            <w:vAlign w:val="center"/>
            <w:hideMark/>
          </w:tcPr>
          <w:p w:rsidR="00D32BC8" w:rsidRPr="00D32BC8" w:rsidRDefault="00D32BC8" w:rsidP="00D32BC8">
            <w:pPr>
              <w:spacing w:after="0" w:line="240" w:lineRule="auto"/>
              <w:jc w:val="center"/>
              <w:rPr>
                <w:rFonts w:eastAsia="Times New Roman" w:cs="Calibri"/>
                <w:b/>
                <w:bCs/>
                <w:i/>
                <w:iCs/>
                <w:sz w:val="18"/>
                <w:szCs w:val="18"/>
                <w:lang w:eastAsia="cs-CZ"/>
              </w:rPr>
            </w:pPr>
          </w:p>
        </w:tc>
      </w:tr>
      <w:tr w:rsidR="00D32BC8" w:rsidRPr="00D32BC8" w:rsidTr="00D32BC8">
        <w:trPr>
          <w:trHeight w:val="35"/>
        </w:trPr>
        <w:tc>
          <w:tcPr>
            <w:tcW w:w="7420" w:type="dxa"/>
            <w:gridSpan w:val="2"/>
            <w:tcBorders>
              <w:top w:val="single" w:sz="12" w:space="0" w:color="000000"/>
              <w:left w:val="nil"/>
              <w:bottom w:val="nil"/>
              <w:right w:val="nil"/>
            </w:tcBorders>
            <w:noWrap/>
            <w:vAlign w:val="bottom"/>
            <w:hideMark/>
          </w:tcPr>
          <w:p w:rsidR="00D32BC8" w:rsidRPr="00D32BC8" w:rsidRDefault="00D32BC8" w:rsidP="00D32BC8">
            <w:pPr>
              <w:spacing w:after="0" w:line="240" w:lineRule="auto"/>
              <w:jc w:val="center"/>
              <w:rPr>
                <w:rFonts w:eastAsia="Times New Roman" w:cs="Calibri"/>
                <w:b/>
                <w:bCs/>
                <w:i/>
                <w:iCs/>
                <w:sz w:val="18"/>
                <w:szCs w:val="18"/>
                <w:lang w:eastAsia="cs-CZ"/>
              </w:rPr>
            </w:pPr>
          </w:p>
        </w:tc>
        <w:tc>
          <w:tcPr>
            <w:tcW w:w="5256" w:type="dxa"/>
            <w:tcBorders>
              <w:top w:val="single" w:sz="12" w:space="0" w:color="000000"/>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c>
          <w:tcPr>
            <w:tcW w:w="52" w:type="dxa"/>
            <w:tcBorders>
              <w:top w:val="single" w:sz="12" w:space="0" w:color="000000"/>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c>
          <w:tcPr>
            <w:tcW w:w="52" w:type="dxa"/>
            <w:tcBorders>
              <w:top w:val="single" w:sz="12" w:space="0" w:color="000000"/>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r>
      <w:tr w:rsidR="00D32BC8" w:rsidRPr="00D32BC8" w:rsidTr="00E35A8F">
        <w:trPr>
          <w:trHeight w:val="20"/>
        </w:trPr>
        <w:tc>
          <w:tcPr>
            <w:tcW w:w="7420" w:type="dxa"/>
            <w:gridSpan w:val="2"/>
            <w:tcBorders>
              <w:top w:val="nil"/>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c>
          <w:tcPr>
            <w:tcW w:w="5256" w:type="dxa"/>
            <w:tcBorders>
              <w:top w:val="nil"/>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18"/>
                <w:szCs w:val="18"/>
                <w:lang w:eastAsia="cs-CZ"/>
              </w:rPr>
            </w:pPr>
          </w:p>
        </w:tc>
        <w:tc>
          <w:tcPr>
            <w:tcW w:w="52" w:type="dxa"/>
            <w:tcBorders>
              <w:top w:val="nil"/>
              <w:left w:val="nil"/>
              <w:bottom w:val="nil"/>
              <w:right w:val="nil"/>
            </w:tcBorders>
            <w:noWrap/>
            <w:vAlign w:val="bottom"/>
            <w:hideMark/>
          </w:tcPr>
          <w:p w:rsidR="00D32BC8" w:rsidRPr="00D32BC8" w:rsidRDefault="00D32BC8" w:rsidP="00D32BC8">
            <w:pPr>
              <w:spacing w:after="0" w:line="240" w:lineRule="auto"/>
              <w:jc w:val="center"/>
              <w:rPr>
                <w:rFonts w:ascii="Times New Roman" w:eastAsia="Times New Roman" w:hAnsi="Times New Roman"/>
                <w:sz w:val="20"/>
                <w:szCs w:val="20"/>
                <w:lang w:eastAsia="cs-CZ"/>
              </w:rPr>
            </w:pP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r>
      <w:tr w:rsidR="00D32BC8" w:rsidRPr="00D32BC8" w:rsidTr="00E35A8F">
        <w:trPr>
          <w:trHeight w:val="20"/>
        </w:trPr>
        <w:tc>
          <w:tcPr>
            <w:tcW w:w="421" w:type="dxa"/>
            <w:tcBorders>
              <w:top w:val="nil"/>
              <w:left w:val="nil"/>
              <w:bottom w:val="nil"/>
              <w:right w:val="nil"/>
            </w:tcBorders>
            <w:noWrap/>
            <w:vAlign w:val="bottom"/>
            <w:hideMark/>
          </w:tcPr>
          <w:p w:rsidR="00D32BC8" w:rsidRPr="00D32BC8" w:rsidRDefault="00D32BC8" w:rsidP="00D32BC8">
            <w:pPr>
              <w:spacing w:after="0" w:line="240" w:lineRule="auto"/>
              <w:jc w:val="center"/>
              <w:rPr>
                <w:rFonts w:ascii="Times New Roman" w:eastAsia="Times New Roman" w:hAnsi="Times New Roman"/>
                <w:sz w:val="18"/>
                <w:szCs w:val="18"/>
                <w:lang w:eastAsia="cs-CZ"/>
              </w:rPr>
            </w:pPr>
          </w:p>
        </w:tc>
        <w:tc>
          <w:tcPr>
            <w:tcW w:w="6999" w:type="dxa"/>
            <w:tcBorders>
              <w:top w:val="nil"/>
              <w:left w:val="nil"/>
              <w:bottom w:val="nil"/>
              <w:right w:val="nil"/>
            </w:tcBorders>
            <w:noWrap/>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r w:rsidRPr="00D32BC8">
              <w:rPr>
                <w:rFonts w:ascii="Arial" w:eastAsia="Times New Roman" w:hAnsi="Arial" w:cs="Arial"/>
                <w:i/>
                <w:iCs/>
                <w:sz w:val="18"/>
                <w:szCs w:val="18"/>
                <w:lang w:eastAsia="cs-CZ"/>
              </w:rPr>
              <w:t xml:space="preserve"> </w:t>
            </w:r>
          </w:p>
        </w:tc>
        <w:tc>
          <w:tcPr>
            <w:tcW w:w="5256" w:type="dxa"/>
            <w:tcBorders>
              <w:top w:val="nil"/>
              <w:left w:val="nil"/>
              <w:bottom w:val="nil"/>
              <w:right w:val="nil"/>
            </w:tcBorders>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r w:rsidRPr="00D32BC8">
              <w:rPr>
                <w:rFonts w:ascii="Arial" w:eastAsia="Times New Roman" w:hAnsi="Arial" w:cs="Arial"/>
                <w:i/>
                <w:iCs/>
                <w:sz w:val="18"/>
                <w:szCs w:val="18"/>
                <w:lang w:eastAsia="cs-CZ"/>
              </w:rPr>
              <w:t xml:space="preserve">Jméno, příjmení </w:t>
            </w: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r>
      <w:tr w:rsidR="00D32BC8" w:rsidRPr="00D32BC8" w:rsidTr="00E35A8F">
        <w:trPr>
          <w:trHeight w:val="20"/>
        </w:trPr>
        <w:tc>
          <w:tcPr>
            <w:tcW w:w="421" w:type="dxa"/>
            <w:tcBorders>
              <w:top w:val="nil"/>
              <w:left w:val="nil"/>
              <w:bottom w:val="nil"/>
              <w:right w:val="nil"/>
            </w:tcBorders>
            <w:noWrap/>
            <w:vAlign w:val="bottom"/>
            <w:hideMark/>
          </w:tcPr>
          <w:p w:rsidR="00D32BC8" w:rsidRPr="00D32BC8" w:rsidRDefault="00D32BC8" w:rsidP="00D32BC8">
            <w:pPr>
              <w:spacing w:after="0" w:line="240" w:lineRule="auto"/>
              <w:jc w:val="center"/>
              <w:rPr>
                <w:rFonts w:ascii="Times New Roman" w:eastAsia="Times New Roman" w:hAnsi="Times New Roman"/>
                <w:sz w:val="18"/>
                <w:szCs w:val="18"/>
                <w:lang w:eastAsia="cs-CZ"/>
              </w:rPr>
            </w:pPr>
          </w:p>
        </w:tc>
        <w:tc>
          <w:tcPr>
            <w:tcW w:w="6999" w:type="dxa"/>
            <w:tcBorders>
              <w:top w:val="nil"/>
              <w:left w:val="nil"/>
              <w:bottom w:val="nil"/>
              <w:right w:val="nil"/>
            </w:tcBorders>
            <w:vAlign w:val="bottom"/>
            <w:hideMark/>
          </w:tcPr>
          <w:p w:rsidR="00D32BC8" w:rsidRPr="00D32BC8" w:rsidRDefault="00D32BC8" w:rsidP="00D32BC8">
            <w:pPr>
              <w:spacing w:after="0" w:line="240" w:lineRule="auto"/>
              <w:rPr>
                <w:rFonts w:ascii="Arial" w:eastAsia="Times New Roman" w:hAnsi="Arial" w:cs="Arial"/>
                <w:i/>
                <w:iCs/>
                <w:color w:val="000000"/>
                <w:sz w:val="18"/>
                <w:szCs w:val="18"/>
                <w:lang w:eastAsia="cs-CZ"/>
              </w:rPr>
            </w:pPr>
            <w:r w:rsidRPr="00D32BC8">
              <w:rPr>
                <w:rFonts w:ascii="Arial" w:eastAsia="Times New Roman" w:hAnsi="Arial" w:cs="Arial"/>
                <w:i/>
                <w:iCs/>
                <w:color w:val="000000"/>
                <w:sz w:val="18"/>
                <w:szCs w:val="18"/>
                <w:lang w:eastAsia="cs-CZ"/>
              </w:rPr>
              <w:t>Datum:</w:t>
            </w:r>
          </w:p>
        </w:tc>
        <w:tc>
          <w:tcPr>
            <w:tcW w:w="5256" w:type="dxa"/>
            <w:tcBorders>
              <w:top w:val="nil"/>
              <w:left w:val="nil"/>
              <w:bottom w:val="nil"/>
              <w:right w:val="nil"/>
            </w:tcBorders>
            <w:noWrap/>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r w:rsidRPr="00D32BC8">
              <w:rPr>
                <w:rFonts w:ascii="Arial" w:eastAsia="Times New Roman" w:hAnsi="Arial" w:cs="Arial"/>
                <w:i/>
                <w:iCs/>
                <w:sz w:val="18"/>
                <w:szCs w:val="18"/>
                <w:lang w:eastAsia="cs-CZ"/>
              </w:rPr>
              <w:t>podpis osoby oprávněné zastupovat žadatele</w:t>
            </w: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r>
      <w:tr w:rsidR="00D32BC8" w:rsidRPr="00D32BC8" w:rsidTr="00D32BC8">
        <w:trPr>
          <w:trHeight w:val="65"/>
        </w:trPr>
        <w:tc>
          <w:tcPr>
            <w:tcW w:w="7420" w:type="dxa"/>
            <w:gridSpan w:val="2"/>
            <w:tcBorders>
              <w:top w:val="nil"/>
              <w:left w:val="nil"/>
              <w:bottom w:val="nil"/>
              <w:right w:val="nil"/>
            </w:tcBorders>
            <w:noWrap/>
            <w:vAlign w:val="bottom"/>
            <w:hideMark/>
          </w:tcPr>
          <w:p w:rsidR="00D32BC8" w:rsidRPr="00D32BC8" w:rsidRDefault="00D32BC8" w:rsidP="00D32BC8">
            <w:pPr>
              <w:spacing w:after="0" w:line="240" w:lineRule="auto"/>
              <w:jc w:val="center"/>
              <w:rPr>
                <w:rFonts w:ascii="Times New Roman" w:eastAsia="Times New Roman" w:hAnsi="Times New Roman"/>
                <w:sz w:val="18"/>
                <w:szCs w:val="18"/>
                <w:lang w:eastAsia="cs-CZ"/>
              </w:rPr>
            </w:pPr>
          </w:p>
        </w:tc>
        <w:tc>
          <w:tcPr>
            <w:tcW w:w="5256" w:type="dxa"/>
            <w:tcBorders>
              <w:top w:val="nil"/>
              <w:left w:val="nil"/>
              <w:bottom w:val="nil"/>
              <w:right w:val="nil"/>
            </w:tcBorders>
            <w:noWrap/>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r w:rsidRPr="00D32BC8">
              <w:rPr>
                <w:rFonts w:ascii="Arial" w:eastAsia="Times New Roman" w:hAnsi="Arial" w:cs="Arial"/>
                <w:i/>
                <w:iCs/>
                <w:sz w:val="18"/>
                <w:szCs w:val="18"/>
                <w:lang w:eastAsia="cs-CZ"/>
              </w:rPr>
              <w:t xml:space="preserve">razítko </w:t>
            </w: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Arial" w:eastAsia="Times New Roman" w:hAnsi="Arial" w:cs="Arial"/>
                <w:i/>
                <w:iCs/>
                <w:sz w:val="18"/>
                <w:szCs w:val="18"/>
                <w:lang w:eastAsia="cs-CZ"/>
              </w:rPr>
            </w:pPr>
          </w:p>
        </w:tc>
        <w:tc>
          <w:tcPr>
            <w:tcW w:w="52" w:type="dxa"/>
            <w:tcBorders>
              <w:top w:val="nil"/>
              <w:left w:val="nil"/>
              <w:bottom w:val="nil"/>
              <w:right w:val="nil"/>
            </w:tcBorders>
            <w:noWrap/>
            <w:vAlign w:val="bottom"/>
            <w:hideMark/>
          </w:tcPr>
          <w:p w:rsidR="00D32BC8" w:rsidRPr="00D32BC8" w:rsidRDefault="00D32BC8" w:rsidP="00D32BC8">
            <w:pPr>
              <w:spacing w:after="0" w:line="240" w:lineRule="auto"/>
              <w:rPr>
                <w:rFonts w:ascii="Times New Roman" w:eastAsia="Times New Roman" w:hAnsi="Times New Roman"/>
                <w:sz w:val="20"/>
                <w:szCs w:val="20"/>
                <w:lang w:eastAsia="cs-CZ"/>
              </w:rPr>
            </w:pPr>
          </w:p>
        </w:tc>
      </w:tr>
    </w:tbl>
    <w:p w:rsidR="00D32BC8" w:rsidRDefault="00D32BC8">
      <w:pPr>
        <w:sectPr w:rsidR="00D32BC8" w:rsidSect="00D32BC8">
          <w:footnotePr>
            <w:pos w:val="beneathText"/>
          </w:footnotePr>
          <w:pgSz w:w="16837" w:h="11905" w:orient="landscape" w:code="9"/>
          <w:pgMar w:top="1559" w:right="2665" w:bottom="1560" w:left="1985" w:header="851" w:footer="709" w:gutter="0"/>
          <w:cols w:space="708"/>
          <w:docGrid w:linePitch="360"/>
        </w:sectPr>
      </w:pPr>
    </w:p>
    <w:p w:rsidR="00D32BC8" w:rsidRDefault="00D32BC8" w:rsidP="00D32BC8"/>
    <w:sectPr w:rsidR="00D32BC8" w:rsidSect="00432006">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FD" w:rsidRDefault="00F55DFD">
      <w:pPr>
        <w:spacing w:after="0" w:line="240" w:lineRule="auto"/>
      </w:pPr>
      <w:r>
        <w:separator/>
      </w:r>
    </w:p>
  </w:endnote>
  <w:endnote w:type="continuationSeparator" w:id="0">
    <w:p w:rsidR="00F55DFD" w:rsidRDefault="00F5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FD" w:rsidRDefault="00F55DFD">
      <w:pPr>
        <w:spacing w:after="0" w:line="240" w:lineRule="auto"/>
      </w:pPr>
      <w:r>
        <w:separator/>
      </w:r>
    </w:p>
  </w:footnote>
  <w:footnote w:type="continuationSeparator" w:id="0">
    <w:p w:rsidR="00F55DFD" w:rsidRDefault="00F55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D32BC8">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
  </w:num>
  <w:num w:numId="7">
    <w:abstractNumId w:val="11"/>
  </w:num>
  <w:num w:numId="8">
    <w:abstractNumId w:val="9"/>
  </w:num>
  <w:num w:numId="9">
    <w:abstractNumId w:val="4"/>
  </w:num>
  <w:num w:numId="10">
    <w:abstractNumId w:val="2"/>
  </w:num>
  <w:num w:numId="11">
    <w:abstractNumId w:val="10"/>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C8"/>
    <w:rsid w:val="000042B5"/>
    <w:rsid w:val="000577FF"/>
    <w:rsid w:val="001B2311"/>
    <w:rsid w:val="002B17EE"/>
    <w:rsid w:val="0035552A"/>
    <w:rsid w:val="00432006"/>
    <w:rsid w:val="004A6CEF"/>
    <w:rsid w:val="00580F7C"/>
    <w:rsid w:val="005B4B58"/>
    <w:rsid w:val="00672820"/>
    <w:rsid w:val="007233C7"/>
    <w:rsid w:val="00727E16"/>
    <w:rsid w:val="007C6BE4"/>
    <w:rsid w:val="00CF1CF3"/>
    <w:rsid w:val="00D32BC8"/>
    <w:rsid w:val="00F032F7"/>
    <w:rsid w:val="00F55DFD"/>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E5A1F-562F-4E20-AF10-1BB5CBC1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2BC8"/>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D32BC8"/>
    <w:pPr>
      <w:ind w:left="720"/>
      <w:contextualSpacing/>
    </w:pPr>
  </w:style>
  <w:style w:type="character" w:styleId="Hypertextovodkaz">
    <w:name w:val="Hyperlink"/>
    <w:uiPriority w:val="99"/>
    <w:unhideWhenUsed/>
    <w:rsid w:val="00D32BC8"/>
    <w:rPr>
      <w:color w:val="0563C1"/>
      <w:u w:val="single"/>
    </w:rPr>
  </w:style>
  <w:style w:type="paragraph" w:styleId="Textbubliny">
    <w:name w:val="Balloon Text"/>
    <w:basedOn w:val="Normln"/>
    <w:link w:val="TextbublinyChar"/>
    <w:uiPriority w:val="99"/>
    <w:semiHidden/>
    <w:unhideWhenUsed/>
    <w:rsid w:val="00D32B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2BC8"/>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0</TotalTime>
  <Pages>12</Pages>
  <Words>3387</Words>
  <Characters>19986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Krejčiříková Jaroslava</cp:lastModifiedBy>
  <cp:revision>2</cp:revision>
  <cp:lastPrinted>2022-04-26T12:37:00Z</cp:lastPrinted>
  <dcterms:created xsi:type="dcterms:W3CDTF">2022-05-09T06:23:00Z</dcterms:created>
  <dcterms:modified xsi:type="dcterms:W3CDTF">2022-05-09T06:23:00Z</dcterms:modified>
</cp:coreProperties>
</file>