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2" w:rsidRDefault="008B274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15.85pt;height:14.6pt;z-index:251657728;mso-wrap-distance-left:5pt;mso-wrap-distance-right:5pt;mso-position-horizontal-relative:margin" filled="f" stroked="f">
            <v:textbox style="mso-fit-shape-to-text:t" inset="0,0,0,0">
              <w:txbxContent>
                <w:p w:rsidR="00B37E82" w:rsidRDefault="00EC0C3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&lt;h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.6pt;margin-top:41.05pt;width:12.8pt;height:63.7pt;z-index:251657729;mso-wrap-distance-left:5pt;mso-wrap-distance-right:5pt;mso-position-horizontal-relative:margin" filled="f" stroked="f">
            <v:textbox style="layout-flow:vertical" inset="0,0,0,0">
              <w:txbxContent>
                <w:p w:rsidR="00B37E82" w:rsidRDefault="00EC0C3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SOLUTIONS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.7pt;margin-top:.1pt;width:21.6pt;height:138.75pt;z-index:251657730;mso-wrap-distance-left:5pt;mso-wrap-distance-right:5pt;mso-position-horizontal-relative:margin" filled="f" stroked="f">
            <v:textbox style="mso-fit-shape-to-text:t" inset="0,0,0,0">
              <w:txbxContent>
                <w:p w:rsidR="00B37E82" w:rsidRDefault="00EC0C3C">
                  <w:pPr>
                    <w:pStyle w:val="Nadpis1"/>
                    <w:keepNext/>
                    <w:keepLines/>
                    <w:shd w:val="clear" w:color="auto" w:fill="auto"/>
                    <w:spacing w:after="94" w:line="700" w:lineRule="exact"/>
                    <w:ind w:left="280"/>
                  </w:pPr>
                  <w:bookmarkStart w:id="0" w:name="bookmark0"/>
                  <w:r>
                    <w:t>j</w:t>
                  </w:r>
                  <w:bookmarkEnd w:id="0"/>
                </w:p>
                <w:p w:rsidR="00B37E82" w:rsidRDefault="00EC0C3C">
                  <w:pPr>
                    <w:pStyle w:val="Zkladntext3"/>
                    <w:shd w:val="clear" w:color="auto" w:fill="auto"/>
                    <w:spacing w:before="0" w:after="63" w:line="200" w:lineRule="exact"/>
                  </w:pPr>
                  <w:r>
                    <w:t>i</w:t>
                  </w:r>
                </w:p>
                <w:p w:rsidR="00B37E82" w:rsidRDefault="00EC0C3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i</w:t>
                  </w:r>
                </w:p>
                <w:p w:rsidR="00B37E82" w:rsidRDefault="00EC0C3C">
                  <w:pPr>
                    <w:pStyle w:val="Nadpis1"/>
                    <w:keepNext/>
                    <w:keepLines/>
                    <w:shd w:val="clear" w:color="auto" w:fill="auto"/>
                    <w:spacing w:after="0" w:line="436" w:lineRule="exact"/>
                  </w:pPr>
                  <w:bookmarkStart w:id="1" w:name="bookmark1"/>
                  <w:r>
                    <w:t>Si]</w:t>
                  </w:r>
                  <w:bookmarkEnd w:id="1"/>
                </w:p>
                <w:p w:rsidR="00B37E82" w:rsidRDefault="00EC0C3C">
                  <w:pPr>
                    <w:pStyle w:val="Zkladntext4"/>
                    <w:shd w:val="clear" w:color="auto" w:fill="auto"/>
                  </w:pPr>
                  <w:r>
                    <w:t>n</w:t>
                  </w:r>
                </w:p>
                <w:p w:rsidR="00B37E82" w:rsidRDefault="00EC0C3C">
                  <w:pPr>
                    <w:pStyle w:val="Zkladntext5"/>
                    <w:shd w:val="clear" w:color="auto" w:fill="auto"/>
                  </w:pPr>
                  <w:r>
                    <w:t>□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81.45pt;margin-top:61.95pt;width:330.85pt;height:15.75pt;z-index:251657731;mso-wrap-distance-left:5pt;mso-wrap-distance-right:5pt;mso-position-horizontal-relative:margin" filled="f" stroked="f">
            <v:textbox style="mso-fit-shape-to-text:t" inset="0,0,0,0">
              <w:txbxContent>
                <w:p w:rsidR="00B37E82" w:rsidRPr="00880EC8" w:rsidRDefault="00B37E82" w:rsidP="00880EC8"/>
              </w:txbxContent>
            </v:textbox>
            <w10:wrap anchorx="margin"/>
          </v:shape>
        </w:pict>
      </w:r>
    </w:p>
    <w:p w:rsidR="00B37E82" w:rsidRDefault="008B2746">
      <w:pPr>
        <w:spacing w:line="360" w:lineRule="exact"/>
      </w:pPr>
      <w:r>
        <w:pict>
          <v:shape id="_x0000_s1030" type="#_x0000_t202" style="position:absolute;margin-left:44.65pt;margin-top:10.4pt;width:477.7pt;height:50.8pt;z-index:251657732;mso-wrap-distance-left:5pt;mso-wrap-distance-right:5pt;mso-position-horizontal-relative:margin" filled="f" stroked="f">
            <v:textbox style="mso-fit-shape-to-text:t" inset="0,0,0,0">
              <w:txbxContent>
                <w:p w:rsidR="00B37E82" w:rsidRDefault="00EC0C3C" w:rsidP="00880EC8">
                  <w:pPr>
                    <w:pStyle w:val="Zkladntext8"/>
                    <w:shd w:val="clear" w:color="auto" w:fill="auto"/>
                    <w:spacing w:before="0"/>
                    <w:jc w:val="left"/>
                  </w:pPr>
                  <w:r>
                    <w:t>Dodatek č. 1 ke Smlouvě o užití, implementaci a provozní podpoře</w:t>
                  </w:r>
                  <w:r>
                    <w:br/>
                    <w:t>informačního systému HELIOS Fénix č. F-10-01808</w:t>
                  </w:r>
                </w:p>
              </w:txbxContent>
            </v:textbox>
            <w10:wrap anchorx="margin"/>
          </v:shape>
        </w:pict>
      </w:r>
    </w:p>
    <w:p w:rsidR="00B37E82" w:rsidRDefault="00B37E82">
      <w:pPr>
        <w:spacing w:line="360" w:lineRule="exact"/>
      </w:pPr>
    </w:p>
    <w:p w:rsidR="00B37E82" w:rsidRDefault="00B37E82">
      <w:pPr>
        <w:spacing w:line="590" w:lineRule="exact"/>
      </w:pPr>
    </w:p>
    <w:p w:rsidR="00B37E82" w:rsidRDefault="00B37E82">
      <w:pPr>
        <w:rPr>
          <w:sz w:val="2"/>
          <w:szCs w:val="2"/>
        </w:rPr>
        <w:sectPr w:rsidR="00B37E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type w:val="continuous"/>
          <w:pgSz w:w="11900" w:h="16840"/>
          <w:pgMar w:top="1626" w:right="771" w:bottom="748" w:left="682" w:header="0" w:footer="3" w:gutter="0"/>
          <w:cols w:space="720"/>
          <w:noEndnote/>
          <w:titlePg/>
          <w:docGrid w:linePitch="360"/>
        </w:sectPr>
      </w:pPr>
    </w:p>
    <w:p w:rsidR="00B37E82" w:rsidRDefault="008B2746">
      <w:pPr>
        <w:rPr>
          <w:sz w:val="2"/>
          <w:szCs w:val="2"/>
        </w:rPr>
      </w:pPr>
      <w:r w:rsidRPr="008B2746">
        <w:pict>
          <v:shape id="_x0000_s1043" type="#_x0000_t202" style="width:595pt;height:37.05pt;mso-position-horizontal-relative:char;mso-position-vertical-relative:line" filled="f" stroked="f">
            <v:textbox inset="0,0,0,0">
              <w:txbxContent>
                <w:p w:rsidR="00B37E82" w:rsidRDefault="00B37E82"/>
              </w:txbxContent>
            </v:textbox>
            <w10:wrap type="none"/>
            <w10:anchorlock/>
          </v:shape>
        </w:pict>
      </w:r>
      <w:r w:rsidR="00EC0C3C">
        <w:t xml:space="preserve"> </w:t>
      </w:r>
    </w:p>
    <w:p w:rsidR="00B37E82" w:rsidRDefault="00B37E82">
      <w:pPr>
        <w:rPr>
          <w:sz w:val="2"/>
          <w:szCs w:val="2"/>
        </w:rPr>
        <w:sectPr w:rsidR="00B37E82">
          <w:type w:val="continuous"/>
          <w:pgSz w:w="11900" w:h="16840"/>
          <w:pgMar w:top="4065" w:right="0" w:bottom="1433" w:left="0" w:header="0" w:footer="3" w:gutter="0"/>
          <w:cols w:space="720"/>
          <w:noEndnote/>
          <w:docGrid w:linePitch="360"/>
        </w:sectPr>
      </w:pPr>
    </w:p>
    <w:p w:rsidR="00B37E82" w:rsidRDefault="00EC0C3C">
      <w:pPr>
        <w:pStyle w:val="Zkladntext90"/>
        <w:shd w:val="clear" w:color="auto" w:fill="auto"/>
        <w:spacing w:after="185"/>
        <w:ind w:left="40"/>
      </w:pPr>
      <w:r>
        <w:lastRenderedPageBreak/>
        <w:t>Článek 1</w:t>
      </w:r>
      <w:r>
        <w:br/>
        <w:t>Smluvní strany</w:t>
      </w:r>
    </w:p>
    <w:p w:rsidR="00B37E82" w:rsidRDefault="00EC0C3C">
      <w:pPr>
        <w:pStyle w:val="Zkladntext100"/>
        <w:shd w:val="clear" w:color="auto" w:fill="auto"/>
        <w:spacing w:before="0" w:after="27" w:line="210" w:lineRule="exact"/>
      </w:pPr>
      <w:r>
        <w:t>Asseco Solutions, a.s.</w:t>
      </w:r>
    </w:p>
    <w:p w:rsidR="00B37E82" w:rsidRDefault="008B2746">
      <w:pPr>
        <w:pStyle w:val="Zkladntext20"/>
        <w:shd w:val="clear" w:color="auto" w:fill="auto"/>
        <w:spacing w:line="266" w:lineRule="exact"/>
        <w:ind w:firstLine="0"/>
      </w:pPr>
      <w:r>
        <w:pict>
          <v:shape id="_x0000_s1040" type="#_x0000_t202" style="position:absolute;margin-left:-.7pt;margin-top:-3.1pt;width:84.6pt;height:69.8pt;z-index:-125829376;mso-wrap-distance-left:5pt;mso-wrap-distance-top:7.35pt;mso-wrap-distance-right:31.85pt;mso-position-horizontal-relative:margin" filled="f" stroked="f">
            <v:textbox style="mso-fit-shape-to-text:t" inset="0,0,0,0">
              <w:txbxContent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se sídlem: jednající:</w:t>
                  </w:r>
                </w:p>
                <w:p w:rsidR="00B37E82" w:rsidRDefault="00EC0C3C">
                  <w:pPr>
                    <w:pStyle w:val="Zkladntext11"/>
                    <w:shd w:val="clear" w:color="auto" w:fill="auto"/>
                  </w:pPr>
                  <w:r>
                    <w:t>IČ:</w:t>
                  </w:r>
                </w:p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DIČ:</w:t>
                  </w:r>
                </w:p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 w:rsidR="00EC0C3C">
        <w:t>140 02 Praha 4, Zelený pruh 1560/99</w:t>
      </w:r>
    </w:p>
    <w:p w:rsidR="00B37E82" w:rsidRDefault="00EC0C3C">
      <w:pPr>
        <w:pStyle w:val="Zkladntext20"/>
        <w:shd w:val="clear" w:color="auto" w:fill="auto"/>
        <w:spacing w:line="266" w:lineRule="exact"/>
        <w:ind w:firstLine="0"/>
      </w:pPr>
      <w:r>
        <w:t>Ing. Jiří Hub, místopředseda představenstva</w:t>
      </w:r>
    </w:p>
    <w:p w:rsidR="00B37E82" w:rsidRDefault="00EC0C3C">
      <w:pPr>
        <w:pStyle w:val="Zkladntext20"/>
        <w:shd w:val="clear" w:color="auto" w:fill="auto"/>
        <w:spacing w:line="266" w:lineRule="exact"/>
        <w:ind w:firstLine="0"/>
      </w:pPr>
      <w:r>
        <w:t>64949541</w:t>
      </w:r>
    </w:p>
    <w:p w:rsidR="00B37E82" w:rsidRDefault="00EC0C3C">
      <w:pPr>
        <w:pStyle w:val="Zkladntext20"/>
        <w:shd w:val="clear" w:color="auto" w:fill="auto"/>
        <w:spacing w:line="266" w:lineRule="exact"/>
        <w:ind w:firstLine="0"/>
      </w:pPr>
      <w:r>
        <w:t>CZ64949541</w:t>
      </w:r>
    </w:p>
    <w:p w:rsidR="00B37E82" w:rsidRDefault="00EC0C3C">
      <w:pPr>
        <w:pStyle w:val="Zkladntext20"/>
        <w:shd w:val="clear" w:color="auto" w:fill="auto"/>
        <w:spacing w:after="240" w:line="266" w:lineRule="exact"/>
        <w:ind w:firstLine="0"/>
      </w:pPr>
      <w:r>
        <w:t>111263671/0300 - Československá obchodní banka, a.s.</w:t>
      </w:r>
    </w:p>
    <w:p w:rsidR="00B37E82" w:rsidRDefault="00EC0C3C">
      <w:pPr>
        <w:pStyle w:val="Zkladntext20"/>
        <w:shd w:val="clear" w:color="auto" w:fill="auto"/>
        <w:spacing w:line="266" w:lineRule="exact"/>
        <w:ind w:right="600" w:firstLine="0"/>
      </w:pPr>
      <w:r>
        <w:t xml:space="preserve">Obchodní firma Asseco Solutions, a.s. Společnost je zapsána v obchodním rejstříku u Městského soudu v Praze, Spisová značka: B. 3771 dále jen </w:t>
      </w:r>
      <w:r>
        <w:rPr>
          <w:rStyle w:val="Zkladntext2105pt"/>
          <w:b w:val="0"/>
          <w:bCs w:val="0"/>
        </w:rPr>
        <w:t>„zhotovitel"</w:t>
      </w:r>
    </w:p>
    <w:p w:rsidR="00B37E82" w:rsidRDefault="00EC0C3C">
      <w:pPr>
        <w:pStyle w:val="Zkladntext20"/>
        <w:shd w:val="clear" w:color="auto" w:fill="auto"/>
        <w:spacing w:after="285" w:line="266" w:lineRule="exact"/>
        <w:ind w:left="2400" w:firstLine="0"/>
      </w:pPr>
      <w:r>
        <w:t>a</w:t>
      </w:r>
    </w:p>
    <w:p w:rsidR="00B37E82" w:rsidRDefault="00EC0C3C">
      <w:pPr>
        <w:pStyle w:val="Zkladntext100"/>
        <w:shd w:val="clear" w:color="auto" w:fill="auto"/>
        <w:spacing w:before="0" w:after="20" w:line="210" w:lineRule="exact"/>
      </w:pPr>
      <w:r>
        <w:t>Základní škola Emila Zátopka Kopřivnice, Pionýrská 791, okres Nový Jičín</w:t>
      </w:r>
    </w:p>
    <w:p w:rsidR="00B37E82" w:rsidRDefault="008B2746">
      <w:pPr>
        <w:pStyle w:val="Zkladntext20"/>
        <w:shd w:val="clear" w:color="auto" w:fill="auto"/>
        <w:spacing w:after="293" w:line="266" w:lineRule="exact"/>
        <w:ind w:right="600" w:firstLine="0"/>
      </w:pPr>
      <w:r>
        <w:pict>
          <v:shape id="_x0000_s1041" type="#_x0000_t202" style="position:absolute;margin-left:-.55pt;margin-top:-3.1pt;width:84.25pt;height:68.9pt;z-index:-125829375;mso-wrap-distance-left:5pt;mso-wrap-distance-top:35.05pt;mso-wrap-distance-right:32.2pt;mso-position-horizontal-relative:margin" filled="f" stroked="f">
            <v:textbox style="mso-next-textbox:#_x0000_s1041;mso-fit-shape-to-text:t" inset="0,0,0,0">
              <w:txbxContent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se sídlem: jednající:</w:t>
                  </w:r>
                </w:p>
                <w:p w:rsidR="00B37E82" w:rsidRPr="00880EC8" w:rsidRDefault="00EC0C3C">
                  <w:pPr>
                    <w:pStyle w:val="Zkladntext120"/>
                    <w:shd w:val="clear" w:color="auto" w:fill="auto"/>
                    <w:rPr>
                      <w:sz w:val="20"/>
                      <w:szCs w:val="20"/>
                    </w:rPr>
                  </w:pPr>
                  <w:r w:rsidRPr="00880EC8">
                    <w:rPr>
                      <w:rStyle w:val="Zkladntext12Exact"/>
                      <w:b/>
                      <w:bCs/>
                      <w:sz w:val="20"/>
                      <w:szCs w:val="20"/>
                    </w:rPr>
                    <w:t>IČ:</w:t>
                  </w:r>
                </w:p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DIČ:</w:t>
                  </w:r>
                </w:p>
                <w:p w:rsidR="00B37E82" w:rsidRDefault="00EC0C3C">
                  <w:pPr>
                    <w:pStyle w:val="Zkladntext100"/>
                    <w:shd w:val="clear" w:color="auto" w:fill="auto"/>
                    <w:spacing w:before="0" w:after="0" w:line="266" w:lineRule="exact"/>
                  </w:pPr>
                  <w:r>
                    <w:rPr>
                      <w:rStyle w:val="Zkladntext10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 w:rsidR="00EC0C3C">
        <w:t>742 21 Kopřivnice, Pionýrská 791 Mgr. Jan Mužík, ředitel školy 64125866</w:t>
      </w:r>
    </w:p>
    <w:p w:rsidR="00B37E82" w:rsidRDefault="00EC0C3C">
      <w:pPr>
        <w:pStyle w:val="Zkladntext20"/>
        <w:shd w:val="clear" w:color="auto" w:fill="auto"/>
        <w:spacing w:after="247" w:line="200" w:lineRule="exact"/>
        <w:ind w:firstLine="0"/>
      </w:pPr>
      <w:r>
        <w:t>1767248399/0800 - Česká spořitelna, a.s.</w:t>
      </w:r>
    </w:p>
    <w:p w:rsidR="00B37E82" w:rsidRDefault="00EC0C3C">
      <w:pPr>
        <w:pStyle w:val="Zkladntext100"/>
        <w:shd w:val="clear" w:color="auto" w:fill="auto"/>
        <w:spacing w:before="0" w:after="0" w:line="210" w:lineRule="exact"/>
        <w:sectPr w:rsidR="00B37E82">
          <w:type w:val="continuous"/>
          <w:pgSz w:w="11900" w:h="16840"/>
          <w:pgMar w:top="4065" w:right="1117" w:bottom="1433" w:left="1251" w:header="0" w:footer="3" w:gutter="0"/>
          <w:cols w:space="720"/>
          <w:noEndnote/>
          <w:docGrid w:linePitch="360"/>
        </w:sectPr>
      </w:pPr>
      <w:r>
        <w:rPr>
          <w:rStyle w:val="Zkladntext1010pt"/>
        </w:rPr>
        <w:t xml:space="preserve">dále jen </w:t>
      </w:r>
      <w:r>
        <w:t xml:space="preserve">„objednatel" </w:t>
      </w:r>
    </w:p>
    <w:p w:rsidR="00B37E82" w:rsidRDefault="00EC0C3C">
      <w:pPr>
        <w:pStyle w:val="Zkladntext20"/>
        <w:shd w:val="clear" w:color="auto" w:fill="auto"/>
        <w:spacing w:after="1642" w:line="200" w:lineRule="exact"/>
        <w:ind w:left="720" w:firstLine="0"/>
      </w:pPr>
      <w:r>
        <w:lastRenderedPageBreak/>
        <w:t>SOLUTIONS</w:t>
      </w:r>
    </w:p>
    <w:p w:rsidR="00B37E82" w:rsidRDefault="00EC0C3C">
      <w:pPr>
        <w:pStyle w:val="Zkladntext20"/>
        <w:shd w:val="clear" w:color="auto" w:fill="auto"/>
        <w:spacing w:line="266" w:lineRule="exact"/>
        <w:ind w:left="1460" w:hanging="1460"/>
      </w:pPr>
      <w:r>
        <w:t>Přílohy: č. 1 - Specifikace poskytnutých softwarových modulů a funkcí HELIOS Fénix a harmonogram implementace</w:t>
      </w:r>
    </w:p>
    <w:p w:rsidR="00B37E82" w:rsidRDefault="00EC0C3C">
      <w:pPr>
        <w:pStyle w:val="Zkladntext20"/>
        <w:shd w:val="clear" w:color="auto" w:fill="auto"/>
        <w:spacing w:after="833" w:line="266" w:lineRule="exact"/>
        <w:ind w:left="900" w:right="3840" w:firstLine="0"/>
      </w:pPr>
      <w:r>
        <w:t>č. 2 - Rozsah poskytování provozní podpory HELIOS Fénix č. 3 - Obecný ceník prací</w:t>
      </w:r>
    </w:p>
    <w:p w:rsidR="00B37E82" w:rsidRDefault="00EC0C3C">
      <w:pPr>
        <w:pStyle w:val="Zkladntext20"/>
        <w:shd w:val="clear" w:color="auto" w:fill="auto"/>
        <w:spacing w:after="445" w:line="200" w:lineRule="exact"/>
        <w:ind w:firstLine="0"/>
      </w:pPr>
      <w:r>
        <w:t>V Praze dne</w:t>
      </w:r>
    </w:p>
    <w:p w:rsidR="00B37E82" w:rsidRDefault="008B2746">
      <w:pPr>
        <w:pStyle w:val="Zkladntext20"/>
        <w:shd w:val="clear" w:color="auto" w:fill="auto"/>
        <w:spacing w:after="103" w:line="266" w:lineRule="exact"/>
        <w:ind w:left="1740"/>
      </w:pPr>
      <w:r>
        <w:pict>
          <v:shape id="_x0000_s1042" type="#_x0000_t202" style="position:absolute;left:0;text-align:left;margin-left:.2pt;margin-top:.35pt;width:143.65pt;height:64.8pt;z-index:-125829374;mso-wrap-distance-left:5pt;mso-wrap-distance-right:99.35pt;mso-position-horizontal-relative:margin" wrapcoords="0 0 16363 0 16363 2849 21600 3479 21600 18611 20880 18704 20880 21600 74 21600 74 18704 289 18611 289 3479 0 2849 0 0" filled="f" stroked="f">
            <v:textbox style="mso-fit-shape-to-text:t" inset="0,0,0,0">
              <w:txbxContent>
                <w:p w:rsidR="00B37E82" w:rsidRDefault="00EC0C3C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>Za Asseco Solutions, a.s.</w:t>
                  </w:r>
                </w:p>
                <w:p w:rsidR="00B37E82" w:rsidRDefault="00B37E82">
                  <w:pPr>
                    <w:jc w:val="center"/>
                  </w:pPr>
                </w:p>
                <w:p w:rsidR="00880EC8" w:rsidRDefault="00880EC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EC0C3C">
        <w:t>Za Základní školu Emila Zátopka, ul. Pionýrská 791, Kopřivnice</w:t>
      </w: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880EC8" w:rsidRDefault="00880EC8">
      <w:pPr>
        <w:pStyle w:val="Zkladntext20"/>
        <w:shd w:val="clear" w:color="auto" w:fill="auto"/>
        <w:spacing w:line="200" w:lineRule="exact"/>
        <w:ind w:firstLine="0"/>
      </w:pPr>
    </w:p>
    <w:p w:rsidR="00B37E82" w:rsidRDefault="00EC0C3C">
      <w:pPr>
        <w:pStyle w:val="Zkladntext20"/>
        <w:shd w:val="clear" w:color="auto" w:fill="auto"/>
        <w:spacing w:line="200" w:lineRule="exact"/>
        <w:ind w:firstLine="0"/>
        <w:sectPr w:rsidR="00B37E82">
          <w:pgSz w:w="11900" w:h="16840"/>
          <w:pgMar w:top="777" w:right="771" w:bottom="777" w:left="1280" w:header="0" w:footer="3" w:gutter="0"/>
          <w:cols w:space="720"/>
          <w:noEndnote/>
          <w:docGrid w:linePitch="360"/>
        </w:sectPr>
      </w:pPr>
      <w:r>
        <w:t>Smlouvu zpracoval/a: Ing. Ludmila Sklenářová</w:t>
      </w:r>
    </w:p>
    <w:p w:rsidR="00B37E82" w:rsidRDefault="00EC0C3C">
      <w:pPr>
        <w:pStyle w:val="Zkladntext100"/>
        <w:shd w:val="clear" w:color="auto" w:fill="auto"/>
        <w:spacing w:before="0" w:after="0" w:line="266" w:lineRule="exact"/>
        <w:ind w:left="360"/>
        <w:jc w:val="center"/>
      </w:pPr>
      <w:r>
        <w:lastRenderedPageBreak/>
        <w:t>Příloha č. 1</w:t>
      </w:r>
    </w:p>
    <w:p w:rsidR="00B37E82" w:rsidRDefault="00EC0C3C">
      <w:pPr>
        <w:pStyle w:val="Zkladntext100"/>
        <w:shd w:val="clear" w:color="auto" w:fill="auto"/>
        <w:spacing w:before="0" w:after="427" w:line="266" w:lineRule="exact"/>
        <w:ind w:left="360"/>
        <w:jc w:val="center"/>
      </w:pPr>
      <w:r>
        <w:t>Specifikace poskytnutých softwarových modulů a funkcí HELIOS Fénix</w:t>
      </w:r>
      <w:r>
        <w:br/>
        <w:t>a harmonogram implementace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0"/>
        <w:gridCol w:w="1886"/>
        <w:gridCol w:w="3017"/>
        <w:gridCol w:w="1544"/>
      </w:tblGrid>
      <w:tr w:rsidR="00B37E82">
        <w:trPr>
          <w:trHeight w:hRule="exact" w:val="749"/>
          <w:jc w:val="center"/>
        </w:trPr>
        <w:tc>
          <w:tcPr>
            <w:tcW w:w="7513" w:type="dxa"/>
            <w:gridSpan w:val="3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Seznam softwarových modulů a funkcí HELIOS Fénix</w:t>
            </w:r>
          </w:p>
        </w:tc>
        <w:tc>
          <w:tcPr>
            <w:tcW w:w="1544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328" w:lineRule="exact"/>
              <w:ind w:left="360" w:firstLine="0"/>
            </w:pPr>
            <w:r>
              <w:rPr>
                <w:rStyle w:val="Zkladntext212ptTun"/>
              </w:rPr>
              <w:t>Cena v Kč bez DPH</w:t>
            </w:r>
          </w:p>
        </w:tc>
      </w:tr>
      <w:tr w:rsidR="00B37E82">
        <w:trPr>
          <w:trHeight w:hRule="exact" w:val="403"/>
          <w:jc w:val="center"/>
        </w:trPr>
        <w:tc>
          <w:tcPr>
            <w:tcW w:w="75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Kniha došlých faktur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Zkladntext21"/>
              </w:rPr>
              <w:t>8.000,-</w:t>
            </w:r>
          </w:p>
        </w:tc>
      </w:tr>
      <w:tr w:rsidR="00B37E82">
        <w:trPr>
          <w:trHeight w:hRule="exact" w:val="392"/>
          <w:jc w:val="center"/>
        </w:trPr>
        <w:tc>
          <w:tcPr>
            <w:tcW w:w="2610" w:type="dxa"/>
            <w:shd w:val="clear" w:color="auto" w:fill="000000"/>
          </w:tcPr>
          <w:p w:rsidR="00B37E82" w:rsidRDefault="00B37E8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B37E82" w:rsidRDefault="00B37E8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7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bez DPH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40" w:lineRule="exact"/>
              <w:ind w:right="260" w:firstLine="0"/>
              <w:jc w:val="right"/>
            </w:pPr>
            <w:r>
              <w:rPr>
                <w:rStyle w:val="Zkladntext212ptTun0"/>
              </w:rPr>
              <w:t>8.000,-</w:t>
            </w:r>
          </w:p>
        </w:tc>
      </w:tr>
      <w:tr w:rsidR="00B37E82">
        <w:trPr>
          <w:trHeight w:hRule="exact" w:val="425"/>
          <w:jc w:val="center"/>
        </w:trPr>
        <w:tc>
          <w:tcPr>
            <w:tcW w:w="2610" w:type="dxa"/>
            <w:shd w:val="clear" w:color="auto" w:fill="000000"/>
          </w:tcPr>
          <w:p w:rsidR="00B37E82" w:rsidRDefault="00B37E8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7E82" w:rsidRDefault="00B37E82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7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s DPH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line="240" w:lineRule="exact"/>
              <w:ind w:right="260" w:firstLine="0"/>
              <w:jc w:val="right"/>
            </w:pPr>
            <w:r>
              <w:rPr>
                <w:rStyle w:val="Zkladntext212ptTun0"/>
              </w:rPr>
              <w:t>9 .680,-</w:t>
            </w:r>
          </w:p>
        </w:tc>
      </w:tr>
    </w:tbl>
    <w:p w:rsidR="00B37E82" w:rsidRDefault="00EC0C3C">
      <w:pPr>
        <w:pStyle w:val="Titulektabulky0"/>
        <w:framePr w:w="9058" w:wrap="notBeside" w:vAnchor="text" w:hAnchor="text" w:xAlign="center" w:y="1"/>
        <w:shd w:val="clear" w:color="auto" w:fill="auto"/>
        <w:spacing w:line="200" w:lineRule="exact"/>
      </w:pPr>
      <w:r>
        <w:t>Cena za poskytnutí modulů byla uhrazena na základě dříve uzavřené smlouvy.</w:t>
      </w:r>
    </w:p>
    <w:p w:rsidR="00B37E82" w:rsidRDefault="00B37E82">
      <w:pPr>
        <w:framePr w:w="9058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9"/>
        <w:gridCol w:w="1735"/>
        <w:gridCol w:w="1764"/>
        <w:gridCol w:w="1760"/>
      </w:tblGrid>
      <w:tr w:rsidR="00B37E82">
        <w:trPr>
          <w:trHeight w:hRule="exact" w:val="518"/>
          <w:jc w:val="center"/>
        </w:trPr>
        <w:tc>
          <w:tcPr>
            <w:tcW w:w="3859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Harmonogram implementace</w:t>
            </w:r>
          </w:p>
        </w:tc>
        <w:tc>
          <w:tcPr>
            <w:tcW w:w="1735" w:type="dxa"/>
            <w:vMerge w:val="restart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Rozsah</w:t>
            </w:r>
          </w:p>
        </w:tc>
        <w:tc>
          <w:tcPr>
            <w:tcW w:w="1764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2ptTun"/>
              </w:rPr>
              <w:t>Termín zahájení</w:t>
            </w:r>
          </w:p>
        </w:tc>
        <w:tc>
          <w:tcPr>
            <w:tcW w:w="1760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Termín ukončení</w:t>
            </w:r>
          </w:p>
        </w:tc>
      </w:tr>
      <w:tr w:rsidR="00B37E82">
        <w:trPr>
          <w:trHeight w:hRule="exact" w:val="461"/>
          <w:jc w:val="center"/>
        </w:trPr>
        <w:tc>
          <w:tcPr>
            <w:tcW w:w="3859" w:type="dxa"/>
            <w:shd w:val="clear" w:color="auto" w:fill="000000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HELIOS Fénix</w:t>
            </w:r>
          </w:p>
        </w:tc>
        <w:tc>
          <w:tcPr>
            <w:tcW w:w="1735" w:type="dxa"/>
            <w:vMerge/>
            <w:shd w:val="clear" w:color="auto" w:fill="000000"/>
            <w:vAlign w:val="center"/>
          </w:tcPr>
          <w:p w:rsidR="00B37E82" w:rsidRDefault="00B37E82">
            <w:pPr>
              <w:framePr w:w="9119" w:wrap="notBeside" w:vAnchor="text" w:hAnchor="text" w:xAlign="center" w:y="1"/>
            </w:pPr>
          </w:p>
        </w:tc>
        <w:tc>
          <w:tcPr>
            <w:tcW w:w="1764" w:type="dxa"/>
            <w:shd w:val="clear" w:color="auto" w:fill="000000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Zkladntext212ptTun"/>
              </w:rPr>
              <w:t>implementace</w:t>
            </w:r>
          </w:p>
        </w:tc>
        <w:tc>
          <w:tcPr>
            <w:tcW w:w="1760" w:type="dxa"/>
            <w:shd w:val="clear" w:color="auto" w:fill="000000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12ptTun"/>
              </w:rPr>
              <w:t>implementace</w:t>
            </w:r>
          </w:p>
        </w:tc>
      </w:tr>
      <w:tr w:rsidR="00B37E82">
        <w:trPr>
          <w:trHeight w:hRule="exact" w:val="66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Zkladntext21"/>
              </w:rPr>
              <w:t>instalace nových modulů, nastavení práv a přístupů pro uživatele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0,5h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1.11.2016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1.11.2016</w:t>
            </w:r>
          </w:p>
        </w:tc>
      </w:tr>
      <w:tr w:rsidR="00B37E82">
        <w:trPr>
          <w:trHeight w:hRule="exact" w:val="72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rPr>
                <w:rStyle w:val="Zkladntext21"/>
              </w:rPr>
              <w:t>školení uživatelů - modul Kniha došlých faktru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lx2h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1.11.2016</w:t>
            </w:r>
          </w:p>
        </w:tc>
      </w:tr>
      <w:tr w:rsidR="00B37E82">
        <w:trPr>
          <w:trHeight w:hRule="exact" w:val="40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dopravné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 x 69 km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1.11. 2016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1.11.2016</w:t>
            </w:r>
          </w:p>
        </w:tc>
      </w:tr>
      <w:tr w:rsidR="00B37E82">
        <w:trPr>
          <w:trHeight w:hRule="exact" w:val="40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82" w:rsidRDefault="00B37E82">
            <w:pPr>
              <w:framePr w:w="91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82" w:rsidRDefault="00B37E82">
            <w:pPr>
              <w:framePr w:w="91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82" w:rsidRDefault="00B37E82">
            <w:pPr>
              <w:framePr w:w="91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82" w:rsidRDefault="00B37E82">
            <w:pPr>
              <w:framePr w:w="91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E82">
        <w:trPr>
          <w:trHeight w:hRule="exact" w:val="392"/>
          <w:jc w:val="center"/>
        </w:trPr>
        <w:tc>
          <w:tcPr>
            <w:tcW w:w="7358" w:type="dxa"/>
            <w:gridSpan w:val="3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bez DPH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3.618,50</w:t>
            </w:r>
          </w:p>
        </w:tc>
      </w:tr>
      <w:tr w:rsidR="00B37E82">
        <w:trPr>
          <w:trHeight w:hRule="exact" w:val="421"/>
          <w:jc w:val="center"/>
        </w:trPr>
        <w:tc>
          <w:tcPr>
            <w:tcW w:w="7358" w:type="dxa"/>
            <w:gridSpan w:val="3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s DPH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1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4.378,40</w:t>
            </w:r>
          </w:p>
        </w:tc>
      </w:tr>
    </w:tbl>
    <w:p w:rsidR="00B37E82" w:rsidRDefault="00EC0C3C">
      <w:pPr>
        <w:pStyle w:val="Titulektabulky0"/>
        <w:framePr w:w="9119" w:wrap="notBeside" w:vAnchor="text" w:hAnchor="text" w:xAlign="center" w:y="1"/>
        <w:shd w:val="clear" w:color="auto" w:fill="auto"/>
        <w:spacing w:line="200" w:lineRule="exact"/>
      </w:pPr>
      <w:r>
        <w:t>Implementace byla zhotovitelem provedena na základě Pracovního listu potvrzeném objednatelem.</w:t>
      </w:r>
    </w:p>
    <w:p w:rsidR="00B37E82" w:rsidRDefault="00B37E82">
      <w:pPr>
        <w:framePr w:w="9119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  <w:sectPr w:rsidR="00B37E82">
          <w:pgSz w:w="11900" w:h="16840"/>
          <w:pgMar w:top="2261" w:right="803" w:bottom="2261" w:left="1247" w:header="0" w:footer="3" w:gutter="0"/>
          <w:cols w:space="720"/>
          <w:noEndnote/>
          <w:docGrid w:linePitch="360"/>
        </w:sectPr>
      </w:pPr>
    </w:p>
    <w:p w:rsidR="00B37E82" w:rsidRDefault="00B37E82">
      <w:pPr>
        <w:spacing w:line="240" w:lineRule="exact"/>
        <w:rPr>
          <w:sz w:val="19"/>
          <w:szCs w:val="19"/>
        </w:rPr>
      </w:pPr>
    </w:p>
    <w:p w:rsidR="00B37E82" w:rsidRDefault="00B37E82">
      <w:pPr>
        <w:spacing w:line="240" w:lineRule="exact"/>
        <w:rPr>
          <w:sz w:val="19"/>
          <w:szCs w:val="19"/>
        </w:rPr>
      </w:pPr>
    </w:p>
    <w:p w:rsidR="00B37E82" w:rsidRDefault="00B37E82">
      <w:pPr>
        <w:spacing w:before="102" w:after="102" w:line="240" w:lineRule="exact"/>
        <w:rPr>
          <w:sz w:val="19"/>
          <w:szCs w:val="19"/>
        </w:rPr>
      </w:pPr>
    </w:p>
    <w:p w:rsidR="00B37E82" w:rsidRDefault="00B37E82">
      <w:pPr>
        <w:rPr>
          <w:sz w:val="2"/>
          <w:szCs w:val="2"/>
        </w:rPr>
        <w:sectPr w:rsidR="00B37E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39" w:right="0" w:bottom="1394" w:left="0" w:header="0" w:footer="3" w:gutter="0"/>
          <w:cols w:space="720"/>
          <w:noEndnote/>
          <w:titlePg/>
          <w:docGrid w:linePitch="360"/>
        </w:sectPr>
      </w:pPr>
    </w:p>
    <w:p w:rsidR="00B37E82" w:rsidRDefault="00EC0C3C">
      <w:pPr>
        <w:pStyle w:val="Zkladntext100"/>
        <w:shd w:val="clear" w:color="auto" w:fill="auto"/>
        <w:spacing w:before="0" w:after="0" w:line="240" w:lineRule="exact"/>
        <w:ind w:left="540"/>
        <w:jc w:val="center"/>
      </w:pPr>
      <w:r>
        <w:lastRenderedPageBreak/>
        <w:t xml:space="preserve">Příloha </w:t>
      </w:r>
      <w:r>
        <w:rPr>
          <w:rStyle w:val="Zkladntext1012pt"/>
        </w:rPr>
        <w:t xml:space="preserve">č. </w:t>
      </w:r>
      <w:r>
        <w:t>2</w:t>
      </w:r>
    </w:p>
    <w:p w:rsidR="00B37E82" w:rsidRDefault="00EC0C3C">
      <w:pPr>
        <w:pStyle w:val="Zkladntext100"/>
        <w:shd w:val="clear" w:color="auto" w:fill="auto"/>
        <w:spacing w:before="0" w:after="438" w:line="210" w:lineRule="exact"/>
        <w:ind w:left="540"/>
        <w:jc w:val="center"/>
      </w:pPr>
      <w:r>
        <w:t xml:space="preserve">Rozsah poskytování provozní podpory </w:t>
      </w:r>
      <w:r>
        <w:rPr>
          <w:lang w:val="es-ES" w:eastAsia="es-ES" w:bidi="es-ES"/>
        </w:rPr>
        <w:t xml:space="preserve">HELIOS </w:t>
      </w:r>
      <w:r>
        <w:t>Fénix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65"/>
        <w:gridCol w:w="1872"/>
      </w:tblGrid>
      <w:tr w:rsidR="00B37E82">
        <w:trPr>
          <w:trHeight w:hRule="exact" w:val="745"/>
          <w:jc w:val="center"/>
        </w:trPr>
        <w:tc>
          <w:tcPr>
            <w:tcW w:w="7265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 xml:space="preserve">Název modulů a funkcí </w:t>
            </w:r>
            <w:r>
              <w:rPr>
                <w:rStyle w:val="Zkladntext212ptTun"/>
                <w:lang w:val="es-ES" w:eastAsia="es-ES" w:bidi="es-ES"/>
              </w:rPr>
              <w:t xml:space="preserve">HELIOS </w:t>
            </w:r>
            <w:r>
              <w:rPr>
                <w:rStyle w:val="Zkladntext212ptTun"/>
              </w:rPr>
              <w:t>Fénix</w:t>
            </w:r>
          </w:p>
        </w:tc>
        <w:tc>
          <w:tcPr>
            <w:tcW w:w="1872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328" w:lineRule="exact"/>
              <w:ind w:firstLine="0"/>
              <w:jc w:val="center"/>
            </w:pPr>
            <w:r>
              <w:rPr>
                <w:rStyle w:val="Zkladntext212ptTun"/>
              </w:rPr>
              <w:t>Stávající (S) Nové (N)</w:t>
            </w:r>
          </w:p>
        </w:tc>
      </w:tr>
      <w:tr w:rsidR="00B37E82">
        <w:trPr>
          <w:trHeight w:hRule="exact" w:val="374"/>
          <w:jc w:val="center"/>
        </w:trPr>
        <w:tc>
          <w:tcPr>
            <w:tcW w:w="72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Rozpočet, Účetnictví, Výkaznictví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"/>
              </w:rPr>
              <w:t>S</w:t>
            </w:r>
          </w:p>
        </w:tc>
      </w:tr>
      <w:tr w:rsidR="00B37E82">
        <w:trPr>
          <w:trHeight w:hRule="exact" w:val="378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Majetek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TrebuchetMS14pt"/>
              </w:rPr>
              <w:t>s</w:t>
            </w:r>
          </w:p>
        </w:tc>
      </w:tr>
      <w:tr w:rsidR="00B37E82">
        <w:trPr>
          <w:trHeight w:hRule="exact" w:val="367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Účetnictví státu - přenosy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TrebuchetMS14pt"/>
              </w:rPr>
              <w:t>s</w:t>
            </w:r>
          </w:p>
        </w:tc>
      </w:tr>
      <w:tr w:rsidR="00B37E82">
        <w:trPr>
          <w:trHeight w:hRule="exact" w:val="382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Kniha došlých faktur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1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"/>
              </w:rPr>
              <w:t>N</w:t>
            </w:r>
          </w:p>
        </w:tc>
      </w:tr>
    </w:tbl>
    <w:p w:rsidR="00B37E82" w:rsidRDefault="00B37E82">
      <w:pPr>
        <w:framePr w:w="9137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8"/>
        <w:gridCol w:w="4388"/>
      </w:tblGrid>
      <w:tr w:rsidR="00B37E82">
        <w:trPr>
          <w:trHeight w:hRule="exact" w:val="742"/>
          <w:jc w:val="center"/>
        </w:trPr>
        <w:tc>
          <w:tcPr>
            <w:tcW w:w="4828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Služba provozní podpory</w:t>
            </w:r>
          </w:p>
        </w:tc>
        <w:tc>
          <w:tcPr>
            <w:tcW w:w="4388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324" w:lineRule="exact"/>
              <w:ind w:firstLine="0"/>
              <w:jc w:val="center"/>
            </w:pPr>
            <w:r>
              <w:rPr>
                <w:rStyle w:val="Zkladntext212ptTun"/>
              </w:rPr>
              <w:t>Rozsah poskytované služby pro daný servisní rok</w:t>
            </w:r>
          </w:p>
        </w:tc>
      </w:tr>
      <w:tr w:rsidR="00B37E82">
        <w:trPr>
          <w:trHeight w:hRule="exact" w:val="407"/>
          <w:jc w:val="center"/>
        </w:trPr>
        <w:tc>
          <w:tcPr>
            <w:tcW w:w="4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Poskytování informací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průběžně</w:t>
            </w:r>
          </w:p>
        </w:tc>
      </w:tr>
      <w:tr w:rsidR="00B37E82">
        <w:trPr>
          <w:trHeight w:hRule="exact" w:val="392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Dodávky upgrade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nejméně 2x ročně</w:t>
            </w:r>
          </w:p>
        </w:tc>
      </w:tr>
      <w:tr w:rsidR="00B37E82">
        <w:trPr>
          <w:trHeight w:hRule="exact" w:val="400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Konzultační a poradenská činnost (KPČ)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5 hodin</w:t>
            </w:r>
          </w:p>
        </w:tc>
      </w:tr>
      <w:tr w:rsidR="00B37E82">
        <w:trPr>
          <w:trHeight w:hRule="exact" w:val="40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Servisní rok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"/>
              </w:rPr>
              <w:t>od 1.1. do 31.12.</w:t>
            </w:r>
          </w:p>
        </w:tc>
      </w:tr>
    </w:tbl>
    <w:p w:rsidR="00B37E82" w:rsidRDefault="00B37E82">
      <w:pPr>
        <w:framePr w:w="9216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</w:pPr>
    </w:p>
    <w:p w:rsidR="00B37E82" w:rsidRDefault="00EC0C3C">
      <w:pPr>
        <w:pStyle w:val="Zkladntext100"/>
        <w:shd w:val="clear" w:color="auto" w:fill="auto"/>
        <w:spacing w:before="182" w:after="0" w:line="266" w:lineRule="exact"/>
        <w:ind w:left="540"/>
        <w:jc w:val="center"/>
      </w:pPr>
      <w:r>
        <w:t>Stanovení ceny za dodávku upgrade a</w:t>
      </w:r>
      <w:r>
        <w:br/>
        <w:t>konzultační a poradenské činnosti od 1.11.2016 do 31.12.2016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5"/>
        <w:gridCol w:w="1764"/>
      </w:tblGrid>
      <w:tr w:rsidR="00B37E82">
        <w:trPr>
          <w:trHeight w:hRule="exact" w:val="742"/>
          <w:jc w:val="center"/>
        </w:trPr>
        <w:tc>
          <w:tcPr>
            <w:tcW w:w="7445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Služba provozní podpory</w:t>
            </w:r>
          </w:p>
        </w:tc>
        <w:tc>
          <w:tcPr>
            <w:tcW w:w="1764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328" w:lineRule="exact"/>
              <w:ind w:left="460" w:firstLine="0"/>
            </w:pPr>
            <w:r>
              <w:rPr>
                <w:rStyle w:val="Zkladntext212ptTun"/>
              </w:rPr>
              <w:t>Cena v Kč bez DPH</w:t>
            </w:r>
          </w:p>
        </w:tc>
      </w:tr>
      <w:tr w:rsidR="00B37E82">
        <w:trPr>
          <w:trHeight w:hRule="exact" w:val="407"/>
          <w:jc w:val="center"/>
        </w:trPr>
        <w:tc>
          <w:tcPr>
            <w:tcW w:w="7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 xml:space="preserve">Upgrade </w:t>
            </w:r>
            <w:r>
              <w:rPr>
                <w:rStyle w:val="Zkladntext2105pt0"/>
                <w:b w:val="0"/>
                <w:bCs w:val="0"/>
              </w:rPr>
              <w:t xml:space="preserve">nových </w:t>
            </w:r>
            <w:r>
              <w:rPr>
                <w:rStyle w:val="Zkladntext21"/>
              </w:rPr>
              <w:t>modulů a funkcí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B37E82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00" w:lineRule="exact"/>
              <w:ind w:left="840" w:firstLine="0"/>
            </w:pPr>
          </w:p>
        </w:tc>
      </w:tr>
      <w:tr w:rsidR="00B37E82">
        <w:trPr>
          <w:trHeight w:hRule="exact" w:val="392"/>
          <w:jc w:val="center"/>
        </w:trPr>
        <w:tc>
          <w:tcPr>
            <w:tcW w:w="7445" w:type="dxa"/>
            <w:shd w:val="clear" w:color="auto" w:fill="000000"/>
            <w:vAlign w:val="bottom"/>
          </w:tcPr>
          <w:p w:rsidR="00B37E82" w:rsidRDefault="00EC0C3C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bez DPH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B37E82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10" w:lineRule="exact"/>
              <w:ind w:left="840" w:firstLine="0"/>
            </w:pPr>
          </w:p>
        </w:tc>
      </w:tr>
      <w:tr w:rsidR="00B37E82">
        <w:trPr>
          <w:trHeight w:hRule="exact" w:val="421"/>
          <w:jc w:val="center"/>
        </w:trPr>
        <w:tc>
          <w:tcPr>
            <w:tcW w:w="7445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s DPH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B37E82">
            <w:pPr>
              <w:pStyle w:val="Zkladntext20"/>
              <w:framePr w:w="9209" w:wrap="notBeside" w:vAnchor="text" w:hAnchor="text" w:xAlign="center" w:y="1"/>
              <w:shd w:val="clear" w:color="auto" w:fill="auto"/>
              <w:spacing w:line="210" w:lineRule="exact"/>
              <w:ind w:left="840" w:firstLine="0"/>
            </w:pPr>
          </w:p>
        </w:tc>
      </w:tr>
    </w:tbl>
    <w:p w:rsidR="00B37E82" w:rsidRDefault="00B37E82">
      <w:pPr>
        <w:framePr w:w="9209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</w:pPr>
    </w:p>
    <w:p w:rsidR="00B37E82" w:rsidRDefault="00EC0C3C">
      <w:pPr>
        <w:pStyle w:val="Zkladntext100"/>
        <w:shd w:val="clear" w:color="auto" w:fill="auto"/>
        <w:spacing w:before="182" w:after="0" w:line="266" w:lineRule="exact"/>
        <w:ind w:left="540"/>
        <w:jc w:val="center"/>
      </w:pPr>
      <w:r>
        <w:t>Stanovení ceny za dodávku upgrade a</w:t>
      </w:r>
      <w:r>
        <w:br/>
        <w:t>konzultační a poradenské činnosti od 1.1.2017 a následující roky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56"/>
        <w:gridCol w:w="1768"/>
      </w:tblGrid>
      <w:tr w:rsidR="00B37E82">
        <w:trPr>
          <w:trHeight w:hRule="exact" w:val="745"/>
          <w:jc w:val="center"/>
        </w:trPr>
        <w:tc>
          <w:tcPr>
            <w:tcW w:w="7456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Služba provozní podpory</w:t>
            </w:r>
          </w:p>
        </w:tc>
        <w:tc>
          <w:tcPr>
            <w:tcW w:w="1768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320" w:lineRule="exact"/>
              <w:ind w:left="460" w:firstLine="0"/>
            </w:pPr>
            <w:r>
              <w:rPr>
                <w:rStyle w:val="Zkladntext212ptTun"/>
              </w:rPr>
              <w:t>Cena v Kč bez DPH</w:t>
            </w:r>
          </w:p>
        </w:tc>
      </w:tr>
      <w:tr w:rsidR="00B37E82">
        <w:trPr>
          <w:trHeight w:hRule="exact" w:val="403"/>
          <w:jc w:val="center"/>
        </w:trPr>
        <w:tc>
          <w:tcPr>
            <w:tcW w:w="7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 xml:space="preserve">Upgrade </w:t>
            </w:r>
            <w:r>
              <w:rPr>
                <w:rStyle w:val="Zkladntext2105pt0"/>
                <w:b w:val="0"/>
                <w:bCs w:val="0"/>
              </w:rPr>
              <w:t xml:space="preserve">stávajících </w:t>
            </w:r>
            <w:r>
              <w:rPr>
                <w:rStyle w:val="Zkladntext21"/>
              </w:rPr>
              <w:t>modulů a funkcí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2" w:rsidRDefault="00B37E82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</w:p>
        </w:tc>
      </w:tr>
      <w:tr w:rsidR="00B37E82">
        <w:trPr>
          <w:trHeight w:hRule="exact" w:val="396"/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 xml:space="preserve">Upgrade </w:t>
            </w:r>
            <w:r>
              <w:rPr>
                <w:rStyle w:val="Zkladntext2105pt0"/>
                <w:b w:val="0"/>
                <w:bCs w:val="0"/>
              </w:rPr>
              <w:t xml:space="preserve">nových </w:t>
            </w:r>
            <w:r>
              <w:rPr>
                <w:rStyle w:val="Zkladntext21"/>
              </w:rPr>
              <w:t>modulů a funkcí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B37E82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</w:p>
        </w:tc>
      </w:tr>
      <w:tr w:rsidR="00B37E82">
        <w:trPr>
          <w:trHeight w:hRule="exact" w:val="400"/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Konzultační a poradenská činnost (KPČ)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82" w:rsidRDefault="00B37E82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</w:p>
        </w:tc>
      </w:tr>
      <w:tr w:rsidR="00B37E82">
        <w:trPr>
          <w:trHeight w:hRule="exact" w:val="392"/>
          <w:jc w:val="center"/>
        </w:trPr>
        <w:tc>
          <w:tcPr>
            <w:tcW w:w="7456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bez DPH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B37E82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10" w:lineRule="exact"/>
              <w:ind w:right="320" w:firstLine="0"/>
              <w:jc w:val="right"/>
            </w:pPr>
          </w:p>
        </w:tc>
      </w:tr>
      <w:tr w:rsidR="00B37E82">
        <w:trPr>
          <w:trHeight w:hRule="exact" w:val="421"/>
          <w:jc w:val="center"/>
        </w:trPr>
        <w:tc>
          <w:tcPr>
            <w:tcW w:w="7456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Cena celkem v Kč s DPH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B37E82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line="210" w:lineRule="exact"/>
              <w:ind w:right="320" w:firstLine="0"/>
              <w:jc w:val="right"/>
            </w:pPr>
          </w:p>
        </w:tc>
      </w:tr>
    </w:tbl>
    <w:p w:rsidR="00B37E82" w:rsidRDefault="00EC0C3C">
      <w:pPr>
        <w:pStyle w:val="Titulektabulky0"/>
        <w:framePr w:w="9223" w:wrap="notBeside" w:vAnchor="text" w:hAnchor="text" w:xAlign="center" w:y="1"/>
        <w:shd w:val="clear" w:color="auto" w:fill="auto"/>
        <w:spacing w:line="200" w:lineRule="exact"/>
      </w:pPr>
      <w:r>
        <w:t>Pozn. Cena za „Upgrade stávajících modulů a funkcí" byla stanovena na základě dříve uzavřené smlouvy.</w:t>
      </w:r>
    </w:p>
    <w:p w:rsidR="00B37E82" w:rsidRDefault="00B37E82">
      <w:pPr>
        <w:framePr w:w="9223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</w:pPr>
    </w:p>
    <w:p w:rsidR="00880EC8" w:rsidRDefault="00880EC8">
      <w:pPr>
        <w:pStyle w:val="Zkladntext120"/>
        <w:shd w:val="clear" w:color="auto" w:fill="auto"/>
        <w:spacing w:line="380" w:lineRule="exact"/>
      </w:pPr>
    </w:p>
    <w:p w:rsidR="00880EC8" w:rsidRDefault="00880EC8">
      <w:pPr>
        <w:pStyle w:val="Zkladntext120"/>
        <w:shd w:val="clear" w:color="auto" w:fill="auto"/>
        <w:spacing w:line="380" w:lineRule="exact"/>
      </w:pPr>
    </w:p>
    <w:p w:rsidR="00B37E82" w:rsidRDefault="00EC0C3C">
      <w:pPr>
        <w:pStyle w:val="Zkladntext20"/>
        <w:shd w:val="clear" w:color="auto" w:fill="auto"/>
        <w:spacing w:after="810" w:line="200" w:lineRule="exact"/>
        <w:ind w:left="760" w:firstLine="0"/>
      </w:pPr>
      <w:r>
        <w:rPr>
          <w:lang w:val="en-US" w:eastAsia="en-US" w:bidi="en-US"/>
        </w:rPr>
        <w:t>SOLUTIONS</w:t>
      </w:r>
    </w:p>
    <w:p w:rsidR="00B37E82" w:rsidRDefault="00EC0C3C">
      <w:pPr>
        <w:pStyle w:val="Zkladntext100"/>
        <w:shd w:val="clear" w:color="auto" w:fill="auto"/>
        <w:spacing w:before="0" w:after="486" w:line="270" w:lineRule="exact"/>
        <w:ind w:left="260"/>
        <w:jc w:val="center"/>
      </w:pPr>
      <w:r>
        <w:t>Příloha č. 3</w:t>
      </w:r>
      <w:r>
        <w:br/>
        <w:t>Obecný ceník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1"/>
        <w:gridCol w:w="1678"/>
        <w:gridCol w:w="1717"/>
      </w:tblGrid>
      <w:tr w:rsidR="00B37E82">
        <w:trPr>
          <w:trHeight w:hRule="exact" w:val="756"/>
          <w:jc w:val="center"/>
        </w:trPr>
        <w:tc>
          <w:tcPr>
            <w:tcW w:w="5681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Činnost</w:t>
            </w:r>
          </w:p>
        </w:tc>
        <w:tc>
          <w:tcPr>
            <w:tcW w:w="1678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328" w:lineRule="exact"/>
              <w:ind w:left="400" w:firstLine="0"/>
            </w:pPr>
            <w:r>
              <w:rPr>
                <w:rStyle w:val="Zkladntext212ptTun"/>
              </w:rPr>
              <w:t>Cena v Kč bez DPH</w:t>
            </w:r>
          </w:p>
        </w:tc>
        <w:tc>
          <w:tcPr>
            <w:tcW w:w="1717" w:type="dxa"/>
            <w:shd w:val="clear" w:color="auto" w:fill="000000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324" w:lineRule="exact"/>
              <w:ind w:firstLine="0"/>
              <w:jc w:val="center"/>
            </w:pPr>
            <w:r>
              <w:rPr>
                <w:rStyle w:val="Zkladntext212ptTun"/>
              </w:rPr>
              <w:t>Cena v Kč s DPH</w:t>
            </w:r>
          </w:p>
        </w:tc>
      </w:tr>
      <w:tr w:rsidR="00B37E82">
        <w:trPr>
          <w:trHeight w:hRule="exact" w:val="666"/>
          <w:jc w:val="center"/>
        </w:trPr>
        <w:tc>
          <w:tcPr>
            <w:tcW w:w="5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Zkladntext21"/>
              </w:rPr>
              <w:t>Konzultační a poradenská činnost, včetně vzdálené správy (KPČ) *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left="400" w:firstLine="0"/>
            </w:pPr>
            <w:r>
              <w:rPr>
                <w:rStyle w:val="Zkladntext21"/>
              </w:rPr>
              <w:t>1.450/hod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Zkladntext21"/>
              </w:rPr>
              <w:t>1.754,50/hod</w:t>
            </w:r>
          </w:p>
        </w:tc>
      </w:tr>
      <w:tr w:rsidR="00B37E82">
        <w:trPr>
          <w:trHeight w:hRule="exact" w:val="66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Zkladntext21"/>
              </w:rPr>
              <w:t>Konzultační a poradenská činnost, včetně vzdálené správy (KPČ) **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left="400" w:firstLine="0"/>
            </w:pPr>
            <w:r>
              <w:rPr>
                <w:rStyle w:val="Zkladntext21"/>
              </w:rPr>
              <w:t>1.250/hod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Zkladntext21"/>
              </w:rPr>
              <w:t>1.512,50/hod</w:t>
            </w:r>
          </w:p>
        </w:tc>
      </w:tr>
      <w:tr w:rsidR="00B37E82">
        <w:trPr>
          <w:trHeight w:hRule="exact" w:val="666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Dopravné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Zkladntext21"/>
              </w:rPr>
              <w:t>11,50/km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82" w:rsidRDefault="00EC0C3C">
            <w:pPr>
              <w:pStyle w:val="Zkladntext20"/>
              <w:framePr w:w="9076" w:wrap="notBeside" w:vAnchor="text" w:hAnchor="text" w:xAlign="center" w:y="1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Zkladntext21"/>
              </w:rPr>
              <w:t>13,92/km</w:t>
            </w:r>
          </w:p>
        </w:tc>
      </w:tr>
    </w:tbl>
    <w:p w:rsidR="00B37E82" w:rsidRDefault="00B37E82">
      <w:pPr>
        <w:framePr w:w="9076" w:wrap="notBeside" w:vAnchor="text" w:hAnchor="text" w:xAlign="center" w:y="1"/>
        <w:rPr>
          <w:sz w:val="2"/>
          <w:szCs w:val="2"/>
        </w:rPr>
      </w:pPr>
    </w:p>
    <w:p w:rsidR="00B37E82" w:rsidRDefault="00B37E82">
      <w:pPr>
        <w:rPr>
          <w:sz w:val="2"/>
          <w:szCs w:val="2"/>
        </w:rPr>
      </w:pPr>
    </w:p>
    <w:p w:rsidR="00B37E82" w:rsidRDefault="00EC0C3C">
      <w:pPr>
        <w:pStyle w:val="Zkladntext20"/>
        <w:shd w:val="clear" w:color="auto" w:fill="auto"/>
        <w:spacing w:before="231" w:after="22" w:line="200" w:lineRule="exact"/>
        <w:ind w:left="220" w:firstLine="0"/>
      </w:pPr>
      <w:r>
        <w:t>* Standardní cena</w:t>
      </w:r>
    </w:p>
    <w:p w:rsidR="00B37E82" w:rsidRDefault="00EC0C3C">
      <w:pPr>
        <w:pStyle w:val="Zkladntext20"/>
        <w:shd w:val="clear" w:color="auto" w:fill="auto"/>
        <w:spacing w:line="200" w:lineRule="exact"/>
        <w:ind w:firstLine="0"/>
      </w:pPr>
      <w:r>
        <w:t>** Zvýhodněná cena v případě uzavření smlouvy platí pouze na rozsah předplacených hodin.</w:t>
      </w:r>
    </w:p>
    <w:sectPr w:rsidR="00B37E82" w:rsidSect="00B37E82">
      <w:type w:val="continuous"/>
      <w:pgSz w:w="11900" w:h="16840"/>
      <w:pgMar w:top="1339" w:right="807" w:bottom="139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52" w:rsidRDefault="00737252" w:rsidP="00B37E82">
      <w:r>
        <w:separator/>
      </w:r>
    </w:p>
  </w:endnote>
  <w:endnote w:type="continuationSeparator" w:id="1">
    <w:p w:rsidR="00737252" w:rsidRDefault="00737252" w:rsidP="00B3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9pt;margin-top:806.9pt;width:39.6pt;height:5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 w:rsidR="00DC1DE5" w:rsidRPr="00DC1DE5">
                    <w:rPr>
                      <w:rStyle w:val="ZhlavneboZpat8ptNekurzva"/>
                      <w:noProof/>
                    </w:rPr>
                    <w:t>2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6.65pt;margin-top:807.6pt;width:39.25pt;height:5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 w:rsidR="00DC1DE5" w:rsidRPr="00DC1DE5">
                    <w:rPr>
                      <w:rStyle w:val="ZhlavneboZpat8ptNekurzva"/>
                      <w:noProof/>
                    </w:rPr>
                    <w:t>3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6.85pt;margin-top:808.35pt;width:39.95pt;height:5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 w:rsidR="00DC1DE5" w:rsidRPr="00DC1DE5">
                    <w:rPr>
                      <w:rStyle w:val="ZhlavneboZpat8ptNekurzva"/>
                      <w:noProof/>
                    </w:rPr>
                    <w:t>1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pt;margin-top:805.85pt;width:39.8pt;height:5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>
                    <w:rPr>
                      <w:rStyle w:val="ZhlavneboZpat8ptNekurzva"/>
                    </w:rPr>
                    <w:t>#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pt;margin-top:805.85pt;width:39.8pt;height:5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 w:rsidR="00DC1DE5" w:rsidRPr="00DC1DE5">
                    <w:rPr>
                      <w:rStyle w:val="ZhlavneboZpat8ptNekurzva"/>
                      <w:noProof/>
                    </w:rPr>
                    <w:t>5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4pt;margin-top:809.6pt;width:39.25pt;height:5.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8ptNekurzva"/>
                  </w:rPr>
                  <w:t xml:space="preserve">Strana: </w:t>
                </w:r>
                <w:fldSimple w:instr=" PAGE \* MERGEFORMAT ">
                  <w:r w:rsidR="00DC1DE5" w:rsidRPr="00DC1DE5">
                    <w:rPr>
                      <w:rStyle w:val="ZhlavneboZpat8ptNekurzva"/>
                      <w:noProof/>
                    </w:rPr>
                    <w:t>4</w:t>
                  </w:r>
                </w:fldSimple>
                <w:r>
                  <w:rPr>
                    <w:rStyle w:val="ZhlavneboZpat8ptNekurzva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52" w:rsidRDefault="00737252">
      <w:r>
        <w:separator/>
      </w:r>
    </w:p>
  </w:footnote>
  <w:footnote w:type="continuationSeparator" w:id="1">
    <w:p w:rsidR="00737252" w:rsidRDefault="0073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19.85pt;margin-top:47.3pt;width:335.7pt;height:2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užití, implementaci a provozní podpoře, číslo: F 10 01808-01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3.65pt;margin-top:41.7pt;width:123.85pt;height:28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1ptNekurzvadkovn0pt"/>
                  </w:rPr>
                  <w:t>SOLUTIONS</w:t>
                </w:r>
              </w:p>
            </w:txbxContent>
          </v:textbox>
          <w10:wrap anchorx="page" anchory="page"/>
        </v:shape>
      </w:pict>
    </w:r>
    <w:r w:rsidRPr="008B2746">
      <w:pict>
        <v:shape id="_x0000_s2061" type="#_x0000_t202" style="position:absolute;margin-left:218.25pt;margin-top:47.65pt;width:335.9pt;height:21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užití, implementaci a provozní podpoře, číslo: F-10-01808-01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8.25pt;margin-top:48.4pt;width:336.25pt;height:29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</w:t>
                </w:r>
                <w:r w:rsidR="001E0F32">
                  <w:rPr>
                    <w:rStyle w:val="ZhlavneboZpat1"/>
                    <w:i/>
                    <w:iCs/>
                  </w:rPr>
                  <w:t xml:space="preserve">, implementaci a provozní podpoře </w:t>
                </w:r>
                <w:r>
                  <w:rPr>
                    <w:rStyle w:val="ZhlavneboZpat1"/>
                    <w:i/>
                    <w:iCs/>
                  </w:rPr>
                  <w:t>číslo</w:t>
                </w:r>
                <w:r w:rsidR="001E0F32">
                  <w:rPr>
                    <w:rStyle w:val="ZhlavneboZpatAngsanaUPC13ptNekurzvadkovn-1pt"/>
                  </w:rPr>
                  <w:t xml:space="preserve">: </w:t>
                </w:r>
                <w:r>
                  <w:rPr>
                    <w:rStyle w:val="ZhlavneboZpatAngsanaUPC13ptNekurzvadkovn-1pt"/>
                  </w:rPr>
                  <w:t>F-</w:t>
                </w:r>
                <w:r w:rsidR="001E0F32">
                  <w:rPr>
                    <w:rStyle w:val="ZhlavneboZpat1"/>
                    <w:i/>
                    <w:iCs/>
                  </w:rPr>
                  <w:t>10-0</w:t>
                </w:r>
                <w:r>
                  <w:rPr>
                    <w:rStyle w:val="ZhlavneboZpat1"/>
                    <w:i/>
                    <w:iCs/>
                  </w:rPr>
                  <w:t>1</w:t>
                </w:r>
                <w:r>
                  <w:rPr>
                    <w:rStyle w:val="ZhlavneboZpat2"/>
                    <w:i/>
                    <w:iCs/>
                  </w:rPr>
                  <w:t>808-0</w:t>
                </w:r>
                <w:r>
                  <w:rPr>
                    <w:rStyle w:val="ZhlavneboZpat1"/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  <w:r w:rsidRPr="008B2746">
      <w:pict>
        <v:shape id="_x0000_s2057" type="#_x0000_t202" style="position:absolute;margin-left:77.5pt;margin-top:42.1pt;width:110.9pt;height:28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1ptNekurzvadkovn0pt"/>
                  </w:rPr>
                  <w:t>SOLUTIONS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0.2pt;margin-top:45.55pt;width:336.4pt;height:21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užití, implementaci a provozní podpoře, číslo: F-10-01808-01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0.2pt;margin-top:45.55pt;width:336.4pt;height:21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užití, implementaci a provozní podpoře, číslo: F-10-01808-01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2" w:rsidRDefault="008B2746">
    <w:pPr>
      <w:rPr>
        <w:sz w:val="2"/>
        <w:szCs w:val="2"/>
      </w:rPr>
    </w:pPr>
    <w:r w:rsidRPr="008B2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4.05pt;margin-top:50.2pt;width:336.05pt;height:20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Tun"/>
                    <w:i/>
                    <w:iCs/>
                  </w:rPr>
                  <w:t>Asseco Solutions, a.s.</w:t>
                </w: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i/>
                    <w:iCs/>
                  </w:rPr>
                  <w:t>Dodatek ke Smlouvě o užití, implementaci a provozní podpoře, číslo: F-10-01808-01</w:t>
                </w:r>
              </w:p>
            </w:txbxContent>
          </v:textbox>
          <w10:wrap anchorx="page" anchory="page"/>
        </v:shape>
      </w:pict>
    </w:r>
    <w:r w:rsidRPr="008B2746">
      <w:pict>
        <v:shape id="_x0000_s2050" type="#_x0000_t202" style="position:absolute;margin-left:59.8pt;margin-top:43.5pt;width:123.5pt;height:28.4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EC8" w:rsidRDefault="00880EC8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  <w:rPr>
                    <w:rStyle w:val="ZhlavneboZpat11ptNekurzvadkovn0pt"/>
                  </w:rPr>
                </w:pPr>
              </w:p>
              <w:p w:rsidR="00B37E82" w:rsidRDefault="00EC0C3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1ptNekurzvadkovn0pt"/>
                  </w:rPr>
                  <w:t>SOLUTIONS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B37E82"/>
    <w:rsid w:val="001E0F32"/>
    <w:rsid w:val="00737252"/>
    <w:rsid w:val="008602F0"/>
    <w:rsid w:val="00880EC8"/>
    <w:rsid w:val="008B2746"/>
    <w:rsid w:val="00B37E82"/>
    <w:rsid w:val="00DC1DE5"/>
    <w:rsid w:val="00EC0C3C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7E8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7E82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37E8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Tun">
    <w:name w:val="Záhlaví nebo Zápatí + Tučné"/>
    <w:basedOn w:val="ZhlavneboZpat"/>
    <w:rsid w:val="00B37E8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1">
    <w:name w:val="Záhlaví nebo Zápatí"/>
    <w:basedOn w:val="ZhlavneboZpat"/>
    <w:rsid w:val="00B37E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AngsanaUPC13ptNekurzvadkovn-1pt">
    <w:name w:val="Záhlaví nebo Zápatí + AngsanaUPC;13 pt;Ne kurzíva;Řádkování -1 pt"/>
    <w:basedOn w:val="ZhlavneboZpat"/>
    <w:rsid w:val="00B37E82"/>
    <w:rPr>
      <w:rFonts w:ascii="AngsanaUPC" w:eastAsia="AngsanaUPC" w:hAnsi="AngsanaUPC" w:cs="AngsanaUPC"/>
      <w:i/>
      <w:i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ZhlavneboZpat2">
    <w:name w:val="Záhlaví nebo Zápatí"/>
    <w:basedOn w:val="ZhlavneboZpat"/>
    <w:rsid w:val="00B37E8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TrebuchetMS24ptTunNekurzvadkovn0pt">
    <w:name w:val="Záhlaví nebo Zápatí + Trebuchet MS;24 pt;Tučné;Ne kurzíva;Řádkování 0 pt"/>
    <w:basedOn w:val="ZhlavneboZpat"/>
    <w:rsid w:val="00B37E82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48"/>
      <w:szCs w:val="48"/>
      <w:lang w:val="cs-CZ" w:eastAsia="cs-CZ" w:bidi="cs-CZ"/>
    </w:rPr>
  </w:style>
  <w:style w:type="character" w:customStyle="1" w:styleId="ZhlavneboZpat11ptNekurzvadkovn0pt">
    <w:name w:val="Záhlaví nebo Zápatí + 11 pt;Ne kurzíva;Řádkování 0 pt"/>
    <w:basedOn w:val="ZhlavneboZpat"/>
    <w:rsid w:val="00B37E82"/>
    <w:rPr>
      <w:i/>
      <w:iCs/>
      <w:color w:val="000000"/>
      <w:spacing w:val="10"/>
      <w:w w:val="100"/>
      <w:position w:val="0"/>
      <w:sz w:val="22"/>
      <w:szCs w:val="22"/>
      <w:lang w:val="en-US" w:eastAsia="en-US" w:bidi="en-US"/>
    </w:rPr>
  </w:style>
  <w:style w:type="character" w:customStyle="1" w:styleId="ZhlavneboZpat8ptNekurzva">
    <w:name w:val="Záhlaví nebo Zápatí + 8 pt;Ne kurzíva"/>
    <w:basedOn w:val="ZhlavneboZpat"/>
    <w:rsid w:val="00B37E82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sid w:val="00B37E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sz w:val="70"/>
      <w:szCs w:val="70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sid w:val="00B37E8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sid w:val="00B37E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sz w:val="70"/>
      <w:szCs w:val="70"/>
      <w:u w:val="none"/>
      <w:lang w:val="en-US" w:eastAsia="en-US" w:bidi="en-US"/>
    </w:rPr>
  </w:style>
  <w:style w:type="character" w:customStyle="1" w:styleId="Zkladntext5Exact">
    <w:name w:val="Základní text (5) Exact"/>
    <w:basedOn w:val="Standardnpsmoodstavce"/>
    <w:link w:val="Zkladntext5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Zkladntext6Exact">
    <w:name w:val="Základní text (6) Exact"/>
    <w:basedOn w:val="Standardnpsmoodstavce"/>
    <w:link w:val="Zkladntext6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5ptKurzvaExact">
    <w:name w:val="Základní text (6) + 15 pt;Kurzíva Exact"/>
    <w:basedOn w:val="Zkladntext6Exact"/>
    <w:rsid w:val="00B37E82"/>
    <w:rPr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B37E8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79ptNekurzvadkovn0ptExact">
    <w:name w:val="Základní text (7) + 9 pt;Ne kurzíva;Řádkování 0 pt Exact"/>
    <w:basedOn w:val="Zkladntext7Exact"/>
    <w:rsid w:val="00B37E82"/>
    <w:rPr>
      <w:i/>
      <w:i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79ptTunNekurzvadkovn0ptExact">
    <w:name w:val="Základní text (7) + 9 pt;Tučné;Ne kurzíva;Řádkování 0 pt Exact"/>
    <w:basedOn w:val="Zkladntext7Exact"/>
    <w:rsid w:val="00B37E82"/>
    <w:rPr>
      <w:b/>
      <w:bCs/>
      <w:i/>
      <w:i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7Exact0">
    <w:name w:val="Základní text (7) Exact"/>
    <w:basedOn w:val="Zkladntext7Exact"/>
    <w:rsid w:val="00B37E82"/>
    <w:rPr>
      <w:color w:val="000000"/>
      <w:spacing w:val="-10"/>
      <w:w w:val="100"/>
      <w:position w:val="0"/>
      <w:u w:val="single"/>
      <w:lang w:val="cs-CZ" w:eastAsia="cs-CZ" w:bidi="cs-CZ"/>
    </w:rPr>
  </w:style>
  <w:style w:type="character" w:customStyle="1" w:styleId="Zkladntext7Exact1">
    <w:name w:val="Základní text (7) Exact"/>
    <w:basedOn w:val="Zkladntext7Exact"/>
    <w:rsid w:val="00B37E82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0Exact">
    <w:name w:val="Základní text (10) Exact"/>
    <w:basedOn w:val="Standardnpsmoodstavce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Exact">
    <w:name w:val="Základní text (11) Exact"/>
    <w:basedOn w:val="Standardnpsmoodstavce"/>
    <w:link w:val="Zkladntext11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Zkladntext9">
    <w:name w:val="Základní text (9)_"/>
    <w:basedOn w:val="Standardnpsmoodstavce"/>
    <w:link w:val="Zkladntext90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">
    <w:name w:val="Základní text (10)_"/>
    <w:basedOn w:val="Standardnpsmoodstavce"/>
    <w:link w:val="Zkladntext100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">
    <w:name w:val="Základní text (2) + 10;5 pt"/>
    <w:basedOn w:val="Zkladntext2"/>
    <w:rsid w:val="00B37E8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10pt">
    <w:name w:val="Základní text (10) + 10 pt"/>
    <w:basedOn w:val="Zkladntext10"/>
    <w:rsid w:val="00B37E8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sid w:val="00B37E82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  <w:lang w:val="fr-FR" w:eastAsia="fr-FR" w:bidi="fr-FR"/>
    </w:rPr>
  </w:style>
  <w:style w:type="character" w:customStyle="1" w:styleId="Zkladntext14">
    <w:name w:val="Základní text (14)_"/>
    <w:basedOn w:val="Standardnpsmoodstavce"/>
    <w:link w:val="Zkladntext140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Kurzva">
    <w:name w:val="Základní text (14) + Kurzíva"/>
    <w:basedOn w:val="Zkladntext14"/>
    <w:rsid w:val="00B37E8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410pt">
    <w:name w:val="Základní text (14) + 10 pt"/>
    <w:basedOn w:val="Zkladntext14"/>
    <w:rsid w:val="00B37E82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37E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B37E82"/>
    <w:rPr>
      <w:b/>
      <w:bCs/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B37E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Tun0">
    <w:name w:val="Základní text (2) + 12 pt;Tučné"/>
    <w:basedOn w:val="Zkladntext2"/>
    <w:rsid w:val="00B37E8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12pt">
    <w:name w:val="Základní text (10) + 12 pt"/>
    <w:basedOn w:val="Zkladntext10"/>
    <w:rsid w:val="00B37E8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2pt">
    <w:name w:val="Základní text (2) + 12 pt"/>
    <w:basedOn w:val="Zkladntext2"/>
    <w:rsid w:val="00B37E82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rebuchetMS14pt">
    <w:name w:val="Základní text (2) + Trebuchet MS;14 pt"/>
    <w:basedOn w:val="Zkladntext2"/>
    <w:rsid w:val="00B37E82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105pt0">
    <w:name w:val="Základní text (2) + 10;5 pt"/>
    <w:basedOn w:val="Zkladntext2"/>
    <w:rsid w:val="00B37E8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37E8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paragraph" w:customStyle="1" w:styleId="Poznmkapodarou0">
    <w:name w:val="Poznámka pod čarou"/>
    <w:basedOn w:val="Normln"/>
    <w:link w:val="Poznmkapodarou"/>
    <w:rsid w:val="00B37E82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B37E82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B37E82"/>
    <w:pPr>
      <w:shd w:val="clear" w:color="auto" w:fill="FFFFFF"/>
      <w:spacing w:line="0" w:lineRule="atLeast"/>
      <w:ind w:hanging="1740"/>
    </w:pPr>
    <w:rPr>
      <w:rFonts w:ascii="Calibri" w:eastAsia="Calibri" w:hAnsi="Calibri" w:cs="Calibri"/>
      <w:sz w:val="20"/>
      <w:szCs w:val="20"/>
    </w:rPr>
  </w:style>
  <w:style w:type="paragraph" w:customStyle="1" w:styleId="Nadpis1">
    <w:name w:val="Nadpis #1"/>
    <w:basedOn w:val="Normln"/>
    <w:link w:val="Nadpis1Exact"/>
    <w:rsid w:val="00B37E82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pacing w:val="-40"/>
      <w:sz w:val="70"/>
      <w:szCs w:val="70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rsid w:val="00B37E82"/>
    <w:pPr>
      <w:shd w:val="clear" w:color="auto" w:fill="FFFFFF"/>
      <w:spacing w:before="300" w:after="180" w:line="0" w:lineRule="atLeast"/>
      <w:jc w:val="righ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rsid w:val="00B37E82"/>
    <w:pPr>
      <w:shd w:val="clear" w:color="auto" w:fill="FFFFFF"/>
      <w:spacing w:line="436" w:lineRule="exact"/>
    </w:pPr>
    <w:rPr>
      <w:rFonts w:ascii="Trebuchet MS" w:eastAsia="Trebuchet MS" w:hAnsi="Trebuchet MS" w:cs="Trebuchet MS"/>
      <w:spacing w:val="-40"/>
      <w:sz w:val="70"/>
      <w:szCs w:val="70"/>
      <w:lang w:val="en-US" w:eastAsia="en-US" w:bidi="en-US"/>
    </w:rPr>
  </w:style>
  <w:style w:type="paragraph" w:customStyle="1" w:styleId="Zkladntext5">
    <w:name w:val="Základní text (5)"/>
    <w:basedOn w:val="Normln"/>
    <w:link w:val="Zkladntext5Exact"/>
    <w:rsid w:val="00B37E82"/>
    <w:pPr>
      <w:shd w:val="clear" w:color="auto" w:fill="FFFFFF"/>
      <w:spacing w:line="436" w:lineRule="exact"/>
    </w:pPr>
    <w:rPr>
      <w:rFonts w:ascii="Calibri" w:eastAsia="Calibri" w:hAnsi="Calibri" w:cs="Calibri"/>
      <w:sz w:val="60"/>
      <w:szCs w:val="60"/>
      <w:lang w:val="en-US" w:eastAsia="en-US" w:bidi="en-US"/>
    </w:rPr>
  </w:style>
  <w:style w:type="paragraph" w:customStyle="1" w:styleId="Zkladntext6">
    <w:name w:val="Základní text (6)"/>
    <w:basedOn w:val="Normln"/>
    <w:link w:val="Zkladntext6Exact"/>
    <w:rsid w:val="00B37E82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rsid w:val="00B37E8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pacing w:val="-10"/>
      <w:sz w:val="30"/>
      <w:szCs w:val="30"/>
    </w:rPr>
  </w:style>
  <w:style w:type="paragraph" w:customStyle="1" w:styleId="Zkladntext8">
    <w:name w:val="Základní text (8)"/>
    <w:basedOn w:val="Normln"/>
    <w:link w:val="Zkladntext8Exact"/>
    <w:rsid w:val="00B37E82"/>
    <w:pPr>
      <w:shd w:val="clear" w:color="auto" w:fill="FFFFFF"/>
      <w:spacing w:before="300" w:line="50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00">
    <w:name w:val="Základní text (10)"/>
    <w:basedOn w:val="Normln"/>
    <w:link w:val="Zkladntext10"/>
    <w:rsid w:val="00B37E82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1">
    <w:name w:val="Základní text (11)"/>
    <w:basedOn w:val="Normln"/>
    <w:link w:val="Zkladntext11Exact"/>
    <w:rsid w:val="00B37E82"/>
    <w:pPr>
      <w:shd w:val="clear" w:color="auto" w:fill="FFFFFF"/>
      <w:spacing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B37E82"/>
    <w:pPr>
      <w:shd w:val="clear" w:color="auto" w:fill="FFFFFF"/>
      <w:spacing w:line="266" w:lineRule="exact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Zkladntext90">
    <w:name w:val="Základní text (9)"/>
    <w:basedOn w:val="Normln"/>
    <w:link w:val="Zkladntext9"/>
    <w:rsid w:val="00B37E82"/>
    <w:pPr>
      <w:shd w:val="clear" w:color="auto" w:fill="FFFFFF"/>
      <w:spacing w:after="120" w:line="292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itulekobrzku">
    <w:name w:val="Titulek obrázku"/>
    <w:basedOn w:val="Normln"/>
    <w:link w:val="TitulekobrzkuExact"/>
    <w:rsid w:val="00B37E8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B37E82"/>
    <w:pPr>
      <w:shd w:val="clear" w:color="auto" w:fill="FFFFFF"/>
      <w:spacing w:after="60" w:line="0" w:lineRule="atLeast"/>
    </w:pPr>
    <w:rPr>
      <w:rFonts w:ascii="Impact" w:eastAsia="Impact" w:hAnsi="Impact" w:cs="Impact"/>
      <w:sz w:val="32"/>
      <w:szCs w:val="32"/>
      <w:lang w:val="fr-FR" w:eastAsia="fr-FR" w:bidi="fr-FR"/>
    </w:rPr>
  </w:style>
  <w:style w:type="paragraph" w:customStyle="1" w:styleId="Zkladntext140">
    <w:name w:val="Základní text (14)"/>
    <w:basedOn w:val="Normln"/>
    <w:link w:val="Zkladntext14"/>
    <w:rsid w:val="00B37E82"/>
    <w:pPr>
      <w:shd w:val="clear" w:color="auto" w:fill="FFFFFF"/>
      <w:spacing w:line="173" w:lineRule="exact"/>
    </w:pPr>
    <w:rPr>
      <w:rFonts w:ascii="Calibri" w:eastAsia="Calibri" w:hAnsi="Calibri" w:cs="Calibri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B37E8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4</cp:revision>
  <dcterms:created xsi:type="dcterms:W3CDTF">2017-04-24T10:11:00Z</dcterms:created>
  <dcterms:modified xsi:type="dcterms:W3CDTF">2017-04-24T10:20:00Z</dcterms:modified>
</cp:coreProperties>
</file>