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46" w:h="240" w:wrap="none" w:hAnchor="page" w:x="8084" w:y="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2022002773</w:t>
      </w:r>
    </w:p>
    <w:p>
      <w:pPr>
        <w:widowControl w:val="0"/>
        <w:spacing w:line="360" w:lineRule="exact"/>
      </w:pPr>
      <w:r>
        <w:drawing>
          <wp:anchor distT="0" distB="213360" distL="0" distR="0" simplePos="0" relativeHeight="62914690" behindDoc="1" locked="0" layoutInCell="1" allowOverlap="1">
            <wp:simplePos x="0" y="0"/>
            <wp:positionH relativeFrom="page">
              <wp:posOffset>4971415</wp:posOffset>
            </wp:positionH>
            <wp:positionV relativeFrom="margin">
              <wp:posOffset>0</wp:posOffset>
            </wp:positionV>
            <wp:extent cx="1493520" cy="3657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93520" cy="365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577" w:right="490" w:bottom="736" w:left="1796" w:header="149" w:footer="3" w:gutter="0"/>
          <w:pgNumType w:start="8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0"/>
        <w:jc w:val="center"/>
        <w:rPr>
          <w:sz w:val="19"/>
          <w:szCs w:val="19"/>
        </w:rPr>
      </w:pPr>
      <w:r>
        <w:rPr>
          <w:rStyle w:val="CharStyle8"/>
          <w:sz w:val="19"/>
          <w:szCs w:val="19"/>
        </w:rPr>
        <w:t>KUPNÍ SMLOUVA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2460" w:right="0" w:hanging="2060"/>
        <w:jc w:val="left"/>
      </w:pPr>
      <w:r>
        <w:rPr>
          <w:rStyle w:val="CharStyle8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822"/>
        <w:gridCol w:w="6725"/>
      </w:tblGrid>
      <w:tr>
        <w:trPr>
          <w:trHeight w:val="4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firstLine="20"/>
              <w:jc w:val="left"/>
            </w:pPr>
            <w:r>
              <w:rPr>
                <w:rStyle w:val="CharStyle15"/>
              </w:rPr>
              <w:t>Zdravotnická záchranná služba Jihomoravského kraje, příspěvková organizace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 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firstLine="20"/>
              <w:jc w:val="left"/>
            </w:pPr>
            <w:r>
              <w:rPr>
                <w:rStyle w:val="CharStyle15"/>
                <w:spacing w:val="4"/>
                <w:shd w:val="clear" w:color="auto" w:fill="000000"/>
              </w:rPr>
              <w:t>..........</w:t>
            </w:r>
            <w:r>
              <w:rPr>
                <w:rStyle w:val="CharStyle15"/>
                <w:shd w:val="clear" w:color="auto" w:fill="000000"/>
              </w:rPr>
              <w:t>​.</w:t>
            </w:r>
            <w:r>
              <w:rPr>
                <w:rStyle w:val="CharStyle15"/>
                <w:spacing w:val="1"/>
                <w:shd w:val="clear" w:color="auto" w:fill="000000"/>
              </w:rPr>
              <w:t>..........</w:t>
            </w:r>
            <w:r>
              <w:rPr>
                <w:rStyle w:val="CharStyle15"/>
                <w:u w:val="single"/>
                <w:shd w:val="clear" w:color="auto" w:fill="000000"/>
              </w:rPr>
              <w:t>​.......</w:t>
            </w:r>
            <w:r>
              <w:rPr>
                <w:rStyle w:val="CharStyle15"/>
                <w:spacing w:val="1"/>
                <w:u w:val="single"/>
                <w:shd w:val="clear" w:color="auto" w:fill="000000"/>
              </w:rPr>
              <w:t>.............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5"/>
                <w:spacing w:val="2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15"/>
                <w:spacing w:val="3"/>
                <w:u w:val="single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8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​....</w:t>
            </w:r>
            <w:r>
              <w:rPr>
                <w:rStyle w:val="CharStyle15"/>
                <w:spacing w:val="1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​.......​</w:t>
            </w:r>
            <w:r>
              <w:rPr>
                <w:rStyle w:val="CharStyle15"/>
                <w:spacing w:val="6"/>
                <w:shd w:val="clear" w:color="auto" w:fill="000000"/>
              </w:rPr>
              <w:t>.....</w:t>
            </w:r>
            <w:r>
              <w:rPr>
                <w:rStyle w:val="CharStyle15"/>
                <w:spacing w:val="7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​......</w:t>
            </w:r>
            <w:r>
              <w:rPr>
                <w:rStyle w:val="CharStyle15"/>
              </w:rPr>
              <w:t xml:space="preserve"> 00346292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5"/>
              </w:rPr>
              <w:t>CZ00346292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5"/>
              </w:rPr>
              <w:t>Krajský soud v Brně sp. zn. Pr 1245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15"/>
              </w:rPr>
              <w:t>MONETA Money Bank, a.s., č. ú. 117203514/0600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(dále jen „kupující“)</w:t>
      </w:r>
    </w:p>
    <w:p>
      <w:pPr>
        <w:widowControl w:val="0"/>
        <w:spacing w:after="7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1390015" cy="148145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0015" cy="1481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DIČ: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Bankovní spojení, číslo účtu: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(dále jen „prodávající“)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9.799999999999997pt;margin-top:1.pt;width:109.45pt;height:116.65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Jméno: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Sídlo: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Jednající: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Kontaktní osoba: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Zápis v OR: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Bankovní spojení, číslo účtu: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(dále jen „prodávající“)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0"/>
          <w:b/>
          <w:bCs/>
        </w:rPr>
        <w:t>CLINITEX s.r.o.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rStyle w:val="CharStyle10"/>
        </w:rPr>
        <w:t>Vratimovská 672/42, 718 00, Ostrava - Kunčičky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rStyle w:val="CharStyle10"/>
        </w:rPr>
        <w:t>Ing. Petr Bukovski - jednatel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rStyle w:val="CharStyle10"/>
          <w:spacing w:val="2"/>
          <w:shd w:val="clear" w:color="auto" w:fill="000000"/>
        </w:rPr>
        <w:t>......</w:t>
      </w:r>
      <w:r>
        <w:rPr>
          <w:rStyle w:val="CharStyle10"/>
          <w:spacing w:val="3"/>
          <w:shd w:val="clear" w:color="auto" w:fill="000000"/>
        </w:rPr>
        <w:t>.</w:t>
      </w:r>
      <w:r>
        <w:rPr>
          <w:rStyle w:val="CharStyle10"/>
          <w:shd w:val="clear" w:color="auto" w:fill="000000"/>
        </w:rPr>
        <w:t>​</w:t>
      </w:r>
      <w:r>
        <w:rPr>
          <w:rStyle w:val="CharStyle10"/>
          <w:spacing w:val="1"/>
          <w:shd w:val="clear" w:color="auto" w:fill="000000"/>
        </w:rPr>
        <w:t>........</w:t>
      </w:r>
      <w:r>
        <w:rPr>
          <w:rStyle w:val="CharStyle10"/>
          <w:spacing w:val="2"/>
          <w:shd w:val="clear" w:color="auto" w:fill="000000"/>
        </w:rPr>
        <w:t>.</w:t>
      </w:r>
      <w:r>
        <w:rPr>
          <w:rStyle w:val="CharStyle10"/>
          <w:shd w:val="clear" w:color="auto" w:fill="000000"/>
        </w:rPr>
        <w:t>​</w:t>
      </w:r>
      <w:r>
        <w:rPr>
          <w:rStyle w:val="CharStyle10"/>
          <w:spacing w:val="1"/>
          <w:shd w:val="clear" w:color="auto" w:fill="000000"/>
        </w:rPr>
        <w:t>.................</w:t>
      </w:r>
      <w:r>
        <w:rPr>
          <w:rStyle w:val="CharStyle10"/>
          <w:spacing w:val="2"/>
          <w:shd w:val="clear" w:color="auto" w:fill="000000"/>
        </w:rPr>
        <w:t>.....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0"/>
          <w:spacing w:val="2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10"/>
          <w:spacing w:val="3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10"/>
          <w:shd w:val="clear" w:color="auto" w:fill="000000"/>
          <w:lang w:val="en-US" w:eastAsia="en-US" w:bidi="en-US"/>
        </w:rPr>
        <w:t>..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</w:t>
      </w:r>
      <w:r>
        <w:rPr>
          <w:rStyle w:val="CharStyle10"/>
          <w:shd w:val="clear" w:color="auto" w:fill="000000"/>
          <w:lang w:val="en-US" w:eastAsia="en-US" w:bidi="en-US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rStyle w:val="CharStyle10"/>
        </w:rPr>
        <w:t>tel.: +420 603273 708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rStyle w:val="CharStyle10"/>
        </w:rPr>
        <w:t>26869551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r>
        <w:rPr>
          <w:rStyle w:val="CharStyle10"/>
        </w:rPr>
        <w:t>CZ26869551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780"/>
        <w:jc w:val="left"/>
      </w:pPr>
      <w:r>
        <w:rPr>
          <w:rStyle w:val="CharStyle10"/>
        </w:rPr>
        <w:t>Krajský soud v Ostravě sp. zn. C 50839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0"/>
        </w:rPr>
        <w:t>KB a.s. pobočka Ostrava, 35-6132950267/0100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4" w:val="left"/>
        </w:tabs>
        <w:bidi w:val="0"/>
        <w:spacing w:before="0" w:after="900" w:line="240" w:lineRule="auto"/>
        <w:ind w:left="0" w:right="0" w:firstLine="780"/>
        <w:jc w:val="left"/>
      </w:pPr>
      <w:r>
        <w:rPr>
          <w:rStyle w:val="CharStyle10"/>
        </w:rPr>
        <w:t>.D. datové schránky: wemv4es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line="262" w:lineRule="auto"/>
        <w:ind w:left="380" w:right="0" w:hanging="380"/>
        <w:jc w:val="both"/>
      </w:pPr>
      <w:r>
        <w:rPr>
          <w:rStyle w:val="CharStyle8"/>
        </w:rPr>
        <w:t>Prodávající je oprávněn na základě svého vlastnického práva nakládat se zbožím v podobě osobních ochranných pracovních oděvů - kalhot letních v počtu 200 ks. Podrobná specifikace zboží je uvedena v příloze č. 1, která je nedílnou součástí této kupní smlouvy.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/>
        <w:ind w:left="380" w:right="0" w:hanging="380"/>
        <w:jc w:val="both"/>
      </w:pPr>
      <w:r>
        <w:rPr>
          <w:rStyle w:val="CharStyle8"/>
        </w:rPr>
        <w:t>Prodávající se zavazuje dodat zboží s veškerými písemnými doklady, které jsou potřebné k používání tohoto zboží podle čl. 1 této smlouvy kupujícímu, a kupující kupuje toto zboží do vlastnictví Jihomoravského kraje, jako svého zřizovatele, za kupní cenu podle čl. 6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line="262" w:lineRule="auto"/>
        <w:ind w:left="380" w:right="0" w:hanging="380"/>
        <w:jc w:val="both"/>
      </w:pPr>
      <w:r>
        <w:rPr>
          <w:rStyle w:val="CharStyle8"/>
        </w:rPr>
        <w:t>Není-li touto smlouvou ujednáno jinak, zavazuje prodávající splnit svůj závazek k dodání zboží podle čl. 1 této smlouvy nejpozději do 31. 12. 2022 a to v místě splnění tohoto závazku, kterým je sídlo kupujícího dle záhlaví této smlouvy. Kupující si přitom vyhrazuje právo požadovat po prodávajícím dodání zboží podle čl. 1 této smlouvy po částech, a to vždy ve lhůtě do 45 dnů od doručení výzvy kupujícího k částečnému plnění do rukou prodávajícího. Výzva kupujícího k částečnému plnění musí být učiněna písemně nebo elektronicky, a musí obsahovat údaj o specifikaci a množství požadovaného zboží, datum a podpis kupujícího.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line="262" w:lineRule="auto"/>
        <w:ind w:left="380" w:right="0" w:hanging="380"/>
        <w:jc w:val="both"/>
      </w:pPr>
      <w:r>
        <w:rPr>
          <w:rStyle w:val="CharStyle8"/>
        </w:rPr>
        <w:t>Závazek prodávajícího ke splnění jeho závazku k dodání zboží podle čl. 1 této smlouvy nebo jeho části se pak považuje za splněný po faktickém předání a převzetí tohoto zboží prostého všech vad na základě písemného předávacího protokolu, podepsaného oběma stranami.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780" w:line="257" w:lineRule="auto"/>
        <w:ind w:left="380" w:right="0" w:hanging="380"/>
        <w:jc w:val="both"/>
      </w:pPr>
      <w:r>
        <w:rPr>
          <w:rStyle w:val="CharStyle8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6"/>
        </w:rPr>
        <w:t>VZ 10-22 OOPP pro výjezdové skupiny ZZS JmK - kalhoty letní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/>
        <w:ind w:left="440" w:right="0" w:hanging="440"/>
        <w:jc w:val="both"/>
      </w:pPr>
      <w:r>
        <w:rPr>
          <w:rStyle w:val="CharStyle8"/>
        </w:rPr>
        <w:t>Kupující se zavazuje zaplatit prodávajícímu za předmět koupě a prodeje podle čl. 1 této smlouvy kupní cenu ve výši součinu počtu dodaných kusů zboží podle čl. 1 této smlouvy a jednotkových cen tohoto zboží dle přílohy č. 2 této smlouvy. Součástí těchto cen jsou veškeré náklady prodávajícího na splnění jeho závazku k dodání zboží podle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 w:line="266" w:lineRule="auto"/>
        <w:ind w:left="440" w:right="0" w:hanging="440"/>
        <w:jc w:val="both"/>
      </w:pPr>
      <w:r>
        <w:rPr>
          <w:rStyle w:val="CharStyle8"/>
        </w:rPr>
        <w:t xml:space="preserve">Kupní cena podle čl. 6 této smlouvy nebo její část je splatná na účet prodávajícího po splnění závazku prodávajícího k dodání zboží podle čl. 1 této smlouvy nebo jeho části způsobem podle čl. 4 této smlouvy, </w:t>
      </w:r>
      <w:r>
        <w:rPr>
          <w:rStyle w:val="CharStyle8"/>
          <w:i/>
          <w:iCs/>
        </w:rPr>
        <w:t>a</w:t>
      </w:r>
      <w:r>
        <w:rPr>
          <w:rStyle w:val="CharStyle8"/>
        </w:rPr>
        <w:t xml:space="preserve"> to ve lhůtě do 30 dnů ode dne doručení jejího písemného vyúčtování (daňového dokladu/faktury). Faktura bude doručena elektronicky na e-mail </w:t>
      </w:r>
      <w:r>
        <w:rPr>
          <w:rStyle w:val="CharStyle8"/>
          <w:shd w:val="clear" w:color="auto" w:fill="000000"/>
          <w:lang w:val="en-US" w:eastAsia="en-US" w:bidi="en-US"/>
        </w:rPr>
        <w:t>................................</w:t>
      </w:r>
      <w:r>
        <w:rPr>
          <w:rStyle w:val="CharStyle8"/>
          <w:spacing w:val="1"/>
          <w:shd w:val="clear" w:color="auto" w:fill="000000"/>
          <w:lang w:val="en-US" w:eastAsia="en-US" w:bidi="en-US"/>
        </w:rPr>
        <w:t>...</w:t>
      </w:r>
      <w:r>
        <w:rPr>
          <w:rStyle w:val="CharStyle8"/>
          <w:shd w:val="clear" w:color="auto" w:fill="000000"/>
          <w:lang w:val="en-US" w:eastAsia="en-US" w:bidi="en-US"/>
        </w:rPr>
        <w:t>.</w:t>
      </w:r>
      <w:r>
        <w:rPr>
          <w:rStyle w:val="CharStyle8"/>
          <w:shd w:val="clear" w:color="auto" w:fill="000000"/>
        </w:rPr>
        <w:t>​..</w:t>
      </w:r>
      <w:r>
        <w:rPr>
          <w:rStyle w:val="CharStyle8"/>
        </w:rPr>
        <w:t xml:space="preserve"> </w:t>
      </w:r>
      <w:r>
        <w:rPr>
          <w:rStyle w:val="CharStyle8"/>
          <w:shd w:val="clear" w:color="auto" w:fill="000000"/>
          <w:lang w:val="en-US" w:eastAsia="en-US" w:bidi="en-US"/>
        </w:rPr>
        <w:t>​.....</w:t>
      </w:r>
      <w:r>
        <w:rPr>
          <w:rStyle w:val="CharStyle8"/>
          <w:spacing w:val="1"/>
          <w:shd w:val="clear" w:color="auto" w:fill="000000"/>
          <w:lang w:val="en-US" w:eastAsia="en-US" w:bidi="en-US"/>
        </w:rPr>
        <w:t>.......................</w:t>
      </w:r>
      <w:r>
        <w:rPr>
          <w:rStyle w:val="CharStyle8"/>
          <w:shd w:val="clear" w:color="auto" w:fill="000000"/>
          <w:lang w:val="en-US" w:eastAsia="en-US" w:bidi="en-US"/>
        </w:rPr>
        <w:t>..</w:t>
      </w:r>
      <w:r>
        <w:rPr>
          <w:rStyle w:val="CharStyle8"/>
        </w:rPr>
        <w:t xml:space="preserve">Na faktuře musí být mimo jiné vždy uvedeno toto číslo veřejné zakázky, ke které se faktura vztahuje: </w:t>
      </w:r>
      <w:r>
        <w:rPr>
          <w:rStyle w:val="CharStyle8"/>
          <w:b/>
          <w:bCs/>
        </w:rPr>
        <w:t xml:space="preserve">P22V00001006. </w:t>
      </w:r>
      <w:r>
        <w:rPr>
          <w:rStyle w:val="CharStyle8"/>
        </w:rPr>
        <w:t>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/>
        <w:ind w:left="440" w:right="0" w:hanging="440"/>
        <w:jc w:val="both"/>
      </w:pPr>
      <w:r>
        <w:rPr>
          <w:rStyle w:val="CharStyle8"/>
        </w:rPr>
        <w:t>S převodem zboží podle čl. 1 této smlouvy je spojena záruka za jeho jakost v trvání 24 měsíců ode dne splnění závazku prodávajícího k dodání příslušného zboží. V rámci záruky se prodávající zavazuje, že zboží podle čl. 1 této smlouvy bude mít po dobu uvedené záruční lhůty vlastnosti, které jsou stanoveny právními předpisy nebo technickými normami nebo jsou u zboží tohoto druhu obvyklé, a že bude po dobu záruční lhůty bezplatně odstraňovat vady, které se na zboží podle čl. 1 této smlouvy vyskytnou, a to ve lhůtě do 30 dnů od doručení příslušné písemné nebo e-mailové reklamace kupujícího.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/>
        <w:ind w:left="440" w:right="0" w:hanging="440"/>
        <w:jc w:val="both"/>
      </w:pPr>
      <w:r>
        <w:rPr>
          <w:rStyle w:val="CharStyle8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 w:line="262" w:lineRule="auto"/>
        <w:ind w:left="440" w:right="0" w:hanging="440"/>
        <w:jc w:val="both"/>
      </w:pPr>
      <w:r>
        <w:rPr>
          <w:rStyle w:val="CharStyle8"/>
        </w:rPr>
        <w:t>Pro případ prodlení se splněním závazku prodávajícího k dodání zboží ve lhůtě podle čl. 3 této smlouvy se prodávající zavazuje platit kupujícímu smluvní pokutu ve výši 0,1 % z kupní ceny bez DPH nedodaného zboží podle čl. 6 této smlouvy za každý započatý den tohoto prodlení. Pro případ prodlení s odstraněním vady ve lhůtě podle čl. 8 této smlouvy se prodávající zavazuje platit kupujícímu smluvní pokutu ve výši 500,- Kč za každý den prodlení s odstraněním vady. Obé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 w:line="262" w:lineRule="auto"/>
        <w:ind w:left="440" w:right="0" w:hanging="440"/>
        <w:jc w:val="both"/>
      </w:pPr>
      <w:r>
        <w:rPr>
          <w:rStyle w:val="CharStyle8"/>
        </w:rPr>
        <w:t>Pro případ prodlení se splněním jeho závazku k dodání zboží ve lhůtě podle čl. 3 této smlouvy o více, než 2 týdny nebo pro případ výskytu neodstranitelné vady, resp. výskytu 3 a více vad na jednom kusu zboží, a to i postupně, je kupující oprávněn odstoupit od příslušné dílčí kupní smlouvy podle čl. 3 této smlouvy i od této smlouvy s účinky ex tunc.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 w:line="257" w:lineRule="auto"/>
        <w:ind w:left="440" w:right="0" w:hanging="440"/>
        <w:jc w:val="both"/>
      </w:pPr>
      <w:r>
        <w:rPr>
          <w:rStyle w:val="CharStyle8"/>
        </w:rPr>
        <w:t>Pro případ prodleni kupujícího se zaplacením kupní ceny nebo její části ve lhůtě podle čl. 7 této smlouvy se kupující zavazuje zaplatit prodávajícímu smluvní pokutu ve výši 0,1 % z dlužné částky. Pro případ tohoto prodlení o víc, než 2 týdny, je prodávající oprávněn od této smlouvy odstoupit s účinky ex tunc.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460"/>
        <w:ind w:left="440" w:right="0" w:hanging="440"/>
        <w:jc w:val="both"/>
      </w:pPr>
      <w:r>
        <w:rPr>
          <w:rStyle w:val="CharStyle8"/>
        </w:rPr>
        <w:t>Není-li touto smlouvou ujednáno jinak, řídí se vzájemný právní vztah mezi kupujícím a prodávajícím při realizaci této smlouvy ustanovení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 w:line="259" w:lineRule="auto"/>
        <w:ind w:left="440" w:right="0" w:hanging="440"/>
        <w:jc w:val="both"/>
      </w:pPr>
      <w:r>
        <w:rPr>
          <w:rStyle w:val="CharStyle8"/>
        </w:rPr>
        <w:t>Tato smlouva se uzavírá na základě návrhu na její uzavření ze strany kupujícího. Předpokladem uzavření této smlouvy je její písemná forma a dohoda o jejich podstatných náležitostech, čímž se rozumí celý obsah této smlouvy, jak je uveden v čl. 1 až 19 této smlouvy. Kupující přitom předem</w:t>
        <w:br w:type="page"/>
      </w:r>
      <w:r>
        <w:rPr>
          <w:rStyle w:val="CharStyle8"/>
        </w:rPr>
        <w:t>vylučuje přijetí tohoto návrhu s dodatkem nebo odchylkou ve smyslu ust. § 1740 odst. 3 občanského zákoníku.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 w:line="257" w:lineRule="auto"/>
        <w:ind w:left="380" w:right="0" w:hanging="380"/>
        <w:jc w:val="left"/>
      </w:pPr>
      <w:r>
        <w:rPr>
          <w:rStyle w:val="CharStyle8"/>
        </w:rPr>
        <w:t>Tuto smlouvu lze změnit nebo zrušit pouze jinou písemnou dohodou obou smluvních stran ve formě číslovaného dodatku.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 w:line="262" w:lineRule="auto"/>
        <w:ind w:left="380" w:right="0" w:hanging="380"/>
        <w:jc w:val="left"/>
      </w:pPr>
      <w:r>
        <w:rPr>
          <w:rStyle w:val="CharStyle8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 w:line="262" w:lineRule="auto"/>
        <w:ind w:left="0" w:right="0" w:firstLine="0"/>
        <w:jc w:val="left"/>
      </w:pPr>
      <w:r>
        <w:rPr>
          <w:rStyle w:val="CharStyle8"/>
        </w:rPr>
        <w:t>Tato smlouva nabývá účinnosti dnem jejího uveřejnění v registru smluv dle čl. 16.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240" w:line="262" w:lineRule="auto"/>
        <w:ind w:left="380" w:right="0" w:hanging="380"/>
        <w:jc w:val="left"/>
      </w:pPr>
      <w:r>
        <w:rPr>
          <w:rStyle w:val="CharStyle8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720" w:line="266" w:lineRule="auto"/>
        <w:ind w:left="380" w:right="0" w:hanging="38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736600</wp:posOffset>
                </wp:positionV>
                <wp:extent cx="652145" cy="17653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4.700000000000003pt;margin-top:58.pt;width:51.350000000000001pt;height:13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8"/>
        </w:rPr>
        <w:t>Dáno ve dvou originálních písemných vyhotoveních, z nichž každá ze smluvních stran obdrží po jednom.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77" w:right="569" w:bottom="1255" w:left="1784" w:header="1249" w:footer="3" w:gutter="0"/>
          <w:cols w:space="720"/>
          <w:noEndnote/>
          <w:rtlGutter w:val="0"/>
          <w:docGrid w:linePitch="360"/>
        </w:sectPr>
      </w:pPr>
      <w:r>
        <w:rPr>
          <w:rStyle w:val="CharStyle8"/>
        </w:rPr>
        <w:t>V Ostravě dne 19.4.2022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4" w:right="0" w:bottom="74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2078" w:h="211" w:wrap="none" w:vAnchor="text" w:hAnchor="page" w:x="1914" w:y="1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MUDr. Hana Albrechtová</w:t>
      </w:r>
    </w:p>
    <w:p>
      <w:pPr>
        <w:pStyle w:val="Style7"/>
        <w:keepNext w:val="0"/>
        <w:keepLines w:val="0"/>
        <w:framePr w:w="744" w:h="442" w:wrap="none" w:vAnchor="text" w:hAnchor="page" w:x="1914" w:y="14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ředitelka kupujíc!</w:t>
      </w:r>
    </w:p>
    <w:p>
      <w:pPr>
        <w:pStyle w:val="Style41"/>
        <w:keepNext/>
        <w:keepLines/>
        <w:framePr w:w="1286" w:h="864" w:wrap="none" w:vAnchor="text" w:hAnchor="page" w:x="6844" w:y="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42"/>
          <w:spacing w:val="12"/>
          <w:shd w:val="clear" w:color="auto" w:fill="000000"/>
        </w:rPr>
        <w:t>......</w:t>
      </w:r>
      <w:bookmarkStart w:id="0" w:name="bookmark0"/>
      <w:r>
        <w:rPr>
          <w:rStyle w:val="CharStyle42"/>
          <w:shd w:val="clear" w:color="auto" w:fill="000000"/>
        </w:rPr>
        <w:t>​</w:t>
      </w:r>
      <w:r>
        <w:rPr>
          <w:rStyle w:val="CharStyle42"/>
          <w:spacing w:val="8"/>
          <w:shd w:val="clear" w:color="auto" w:fill="000000"/>
        </w:rPr>
        <w:t>.</w:t>
      </w:r>
      <w:r>
        <w:rPr>
          <w:rStyle w:val="CharStyle42"/>
          <w:spacing w:val="9"/>
          <w:shd w:val="clear" w:color="auto" w:fill="000000"/>
        </w:rPr>
        <w:t>.....</w:t>
      </w:r>
      <w:r>
        <w:rPr>
          <w:rStyle w:val="CharStyle42"/>
        </w:rPr>
        <w:br/>
      </w:r>
      <w:r>
        <w:rPr>
          <w:rStyle w:val="CharStyle42"/>
          <w:shd w:val="clear" w:color="auto" w:fill="000000"/>
        </w:rPr>
        <w:t>​.............</w:t>
      </w:r>
      <w:r>
        <w:rPr>
          <w:rStyle w:val="CharStyle42"/>
          <w:spacing w:val="1"/>
          <w:shd w:val="clear" w:color="auto" w:fill="000000"/>
        </w:rPr>
        <w:t>.</w:t>
      </w:r>
      <w:bookmarkEnd w:id="0"/>
    </w:p>
    <w:p>
      <w:pPr>
        <w:pStyle w:val="Style35"/>
        <w:keepNext w:val="0"/>
        <w:keepLines w:val="0"/>
        <w:framePr w:w="1286" w:h="811" w:wrap="none" w:vAnchor="text" w:hAnchor="page" w:x="8135" w:y="14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6"/>
          <w:spacing w:val="2"/>
          <w:shd w:val="clear" w:color="auto" w:fill="000000"/>
        </w:rPr>
        <w:t>....</w:t>
      </w:r>
      <w:r>
        <w:rPr>
          <w:rStyle w:val="CharStyle36"/>
          <w:spacing w:val="3"/>
          <w:shd w:val="clear" w:color="auto" w:fill="000000"/>
        </w:rPr>
        <w:t>..........</w:t>
      </w:r>
      <w:r>
        <w:rPr>
          <w:rStyle w:val="CharStyle36"/>
          <w:shd w:val="clear" w:color="auto" w:fill="000000"/>
        </w:rPr>
        <w:t>​</w:t>
      </w:r>
      <w:r>
        <w:rPr>
          <w:rStyle w:val="CharStyle36"/>
          <w:spacing w:val="1"/>
          <w:shd w:val="clear" w:color="auto" w:fill="000000"/>
        </w:rPr>
        <w:t>.....</w:t>
      </w:r>
      <w:r>
        <w:rPr>
          <w:rStyle w:val="CharStyle36"/>
          <w:spacing w:val="2"/>
          <w:shd w:val="clear" w:color="auto" w:fill="000000"/>
        </w:rPr>
        <w:t>.........</w:t>
      </w:r>
      <w:r>
        <w:rPr>
          <w:rStyle w:val="CharStyle36"/>
        </w:rPr>
        <w:t xml:space="preserve"> </w:t>
      </w:r>
      <w:r>
        <w:rPr>
          <w:rStyle w:val="CharStyle36"/>
          <w:shd w:val="clear" w:color="auto" w:fill="000000"/>
        </w:rPr>
        <w:t>​.......​</w:t>
      </w:r>
      <w:r>
        <w:rPr>
          <w:rStyle w:val="CharStyle36"/>
          <w:spacing w:val="3"/>
          <w:shd w:val="clear" w:color="auto" w:fill="000000"/>
        </w:rPr>
        <w:t>.....</w:t>
      </w:r>
      <w:r>
        <w:rPr>
          <w:rStyle w:val="CharStyle36"/>
          <w:spacing w:val="4"/>
          <w:shd w:val="clear" w:color="auto" w:fill="000000"/>
        </w:rPr>
        <w:t>..</w:t>
      </w:r>
      <w:r>
        <w:rPr>
          <w:rStyle w:val="CharStyle36"/>
          <w:shd w:val="clear" w:color="auto" w:fill="000000"/>
        </w:rPr>
        <w:t>​</w:t>
      </w:r>
      <w:r>
        <w:rPr>
          <w:rStyle w:val="CharStyle36"/>
          <w:spacing w:val="1"/>
          <w:shd w:val="clear" w:color="auto" w:fill="000000"/>
        </w:rPr>
        <w:t>.............</w:t>
      </w:r>
      <w:r>
        <w:rPr>
          <w:rStyle w:val="CharStyle36"/>
          <w:spacing w:val="2"/>
          <w:shd w:val="clear" w:color="auto" w:fill="000000"/>
        </w:rPr>
        <w:t>.</w:t>
      </w:r>
      <w:r>
        <w:rPr>
          <w:rStyle w:val="CharStyle36"/>
        </w:rPr>
        <w:t xml:space="preserve"> </w:t>
      </w:r>
      <w:r>
        <w:rPr>
          <w:rStyle w:val="CharStyle36"/>
          <w:shd w:val="clear" w:color="auto" w:fill="000000"/>
        </w:rPr>
        <w:t>​</w:t>
      </w:r>
      <w:r>
        <w:rPr>
          <w:rStyle w:val="CharStyle36"/>
          <w:spacing w:val="1"/>
          <w:shd w:val="clear" w:color="auto" w:fill="000000"/>
        </w:rPr>
        <w:t>.</w:t>
      </w:r>
      <w:r>
        <w:rPr>
          <w:rStyle w:val="CharStyle36"/>
          <w:spacing w:val="2"/>
          <w:shd w:val="clear" w:color="auto" w:fill="000000"/>
        </w:rPr>
        <w:t>...........</w:t>
      </w:r>
      <w:r>
        <w:rPr>
          <w:rStyle w:val="CharStyle36"/>
          <w:shd w:val="clear" w:color="auto" w:fill="000000"/>
        </w:rPr>
        <w:t>​..................</w:t>
      </w:r>
      <w:r>
        <w:rPr>
          <w:rStyle w:val="CharStyle36"/>
        </w:rPr>
        <w:t xml:space="preserve"> </w:t>
      </w:r>
      <w:r>
        <w:rPr>
          <w:rStyle w:val="CharStyle36"/>
          <w:shd w:val="clear" w:color="auto" w:fill="000000"/>
        </w:rPr>
        <w:t>​...............​</w:t>
      </w:r>
      <w:r>
        <w:rPr>
          <w:rStyle w:val="CharStyle36"/>
          <w:spacing w:val="1"/>
          <w:shd w:val="clear" w:color="auto" w:fill="000000"/>
        </w:rPr>
        <w:t>...</w:t>
      </w:r>
      <w:r>
        <w:rPr>
          <w:rStyle w:val="CharStyle36"/>
          <w:spacing w:val="2"/>
          <w:shd w:val="clear" w:color="auto" w:fill="000000"/>
        </w:rPr>
        <w:t>........</w:t>
      </w:r>
    </w:p>
    <w:p>
      <w:pPr>
        <w:pStyle w:val="Style7"/>
        <w:keepNext w:val="0"/>
        <w:keepLines w:val="0"/>
        <w:framePr w:w="2611" w:h="941" w:wrap="none" w:vAnchor="text" w:hAnchor="page" w:x="3071" w:y="1537"/>
        <w:widowControl w:val="0"/>
        <w:shd w:val="clear" w:color="auto" w:fill="auto"/>
        <w:bidi w:val="0"/>
        <w:spacing w:before="0" w:after="0" w:line="163" w:lineRule="auto"/>
        <w:ind w:left="0" w:right="0" w:firstLine="0"/>
        <w:jc w:val="left"/>
        <w:rPr>
          <w:sz w:val="19"/>
          <w:szCs w:val="19"/>
        </w:rPr>
      </w:pPr>
      <w:r>
        <w:rPr>
          <w:rStyle w:val="CharStyle8"/>
          <w:color w:val="60B4E5"/>
          <w:sz w:val="19"/>
          <w:szCs w:val="19"/>
        </w:rPr>
        <w:t xml:space="preserve">^'"‘^^chranná služba </w:t>
      </w:r>
      <w:r>
        <w:rPr>
          <w:rStyle w:val="CharStyle8"/>
          <w:color w:val="60B4E5"/>
          <w:sz w:val="19"/>
          <w:szCs w:val="19"/>
          <w:vertAlign w:val="subscript"/>
        </w:rPr>
        <w:t>K</w:t>
      </w:r>
      <w:r>
        <w:rPr>
          <w:rStyle w:val="CharStyle8"/>
          <w:color w:val="60B4E5"/>
          <w:sz w:val="19"/>
          <w:szCs w:val="19"/>
          <w:vertAlign w:val="superscript"/>
        </w:rPr>
        <w:t>J</w:t>
      </w:r>
      <w:r>
        <w:rPr>
          <w:rStyle w:val="CharStyle8"/>
          <w:color w:val="60B4E5"/>
          <w:sz w:val="19"/>
          <w:szCs w:val="19"/>
        </w:rPr>
        <w:t>'</w:t>
      </w:r>
      <w:r>
        <w:rPr>
          <w:rStyle w:val="CharStyle8"/>
          <w:color w:val="60B4E5"/>
          <w:sz w:val="19"/>
          <w:szCs w:val="19"/>
          <w:vertAlign w:val="superscript"/>
        </w:rPr>
        <w:t>hom</w:t>
      </w:r>
      <w:r>
        <w:rPr>
          <w:rStyle w:val="CharStyle8"/>
          <w:color w:val="60B4E5"/>
          <w:sz w:val="19"/>
          <w:szCs w:val="19"/>
        </w:rPr>
        <w:t xml:space="preserve">°ravského kraje p </w:t>
      </w:r>
      <w:r>
        <w:rPr>
          <w:rStyle w:val="CharStyle8"/>
          <w:color w:val="60B4E5"/>
          <w:sz w:val="19"/>
          <w:szCs w:val="19"/>
          <w:vertAlign w:val="subscript"/>
        </w:rPr>
        <w:t xml:space="preserve">0 </w:t>
      </w:r>
      <w:r>
        <w:rPr>
          <w:rStyle w:val="CharStyle8"/>
          <w:color w:val="60B4E5"/>
          <w:sz w:val="19"/>
          <w:szCs w:val="19"/>
        </w:rPr>
        <w:t>^</w:t>
      </w:r>
      <w:r>
        <w:rPr>
          <w:rStyle w:val="CharStyle8"/>
          <w:color w:val="60B4E5"/>
          <w:sz w:val="19"/>
          <w:szCs w:val="19"/>
          <w:vertAlign w:val="superscript"/>
        </w:rPr>
        <w:t>men</w:t>
      </w:r>
      <w:r>
        <w:rPr>
          <w:rStyle w:val="CharStyle8"/>
          <w:color w:val="60B4E5"/>
          <w:sz w:val="19"/>
          <w:szCs w:val="19"/>
        </w:rPr>
        <w:t>‘ce79</w:t>
      </w:r>
      <w:r>
        <w:rPr>
          <w:rStyle w:val="CharStyle8"/>
          <w:color w:val="60B4E5"/>
          <w:sz w:val="19"/>
          <w:szCs w:val="19"/>
          <w:vertAlign w:val="subscript"/>
        </w:rPr>
        <w:t>6</w:t>
      </w:r>
      <w:r>
        <w:rPr>
          <w:rStyle w:val="CharStyle8"/>
          <w:color w:val="60B4E5"/>
          <w:sz w:val="19"/>
          <w:szCs w:val="19"/>
        </w:rPr>
        <w:t>/i</w:t>
      </w:r>
      <w:r>
        <w:rPr>
          <w:rStyle w:val="CharStyle8"/>
          <w:color w:val="60B4E5"/>
          <w:sz w:val="19"/>
          <w:szCs w:val="19"/>
          <w:vertAlign w:val="subscript"/>
        </w:rPr>
        <w:t>d|625</w:t>
      </w:r>
      <w:r>
        <w:rPr>
          <w:rStyle w:val="CharStyle8"/>
          <w:color w:val="60B4E5"/>
          <w:sz w:val="19"/>
          <w:szCs w:val="19"/>
          <w:vertAlign w:val="superscript"/>
        </w:rPr>
        <w:t>J</w:t>
      </w:r>
      <w:r>
        <w:rPr>
          <w:rStyle w:val="CharStyle8"/>
          <w:color w:val="60B4E5"/>
          <w:sz w:val="19"/>
          <w:szCs w:val="19"/>
          <w:vertAlign w:val="subscript"/>
        </w:rPr>
        <w:t>0</w:t>
      </w:r>
      <w:r>
        <w:rPr>
          <w:rStyle w:val="CharStyle8"/>
          <w:color w:val="60B4E5"/>
          <w:sz w:val="19"/>
          <w:szCs w:val="19"/>
        </w:rPr>
        <w:t>^</w:t>
      </w:r>
    </w:p>
    <w:p>
      <w:pPr>
        <w:pStyle w:val="Style7"/>
        <w:keepNext w:val="0"/>
        <w:keepLines w:val="0"/>
        <w:framePr w:w="2611" w:h="941" w:wrap="none" w:vAnchor="text" w:hAnchor="page" w:x="3071" w:y="1537"/>
        <w:widowControl w:val="0"/>
        <w:shd w:val="clear" w:color="auto" w:fill="auto"/>
        <w:bidi w:val="0"/>
        <w:spacing w:before="0" w:after="0" w:line="163" w:lineRule="auto"/>
        <w:ind w:left="0" w:right="0" w:firstLine="0"/>
        <w:jc w:val="center"/>
        <w:rPr>
          <w:sz w:val="19"/>
          <w:szCs w:val="19"/>
        </w:rPr>
      </w:pPr>
      <w:r>
        <w:rPr>
          <w:rStyle w:val="CharStyle8"/>
          <w:color w:val="60B4E5"/>
          <w:sz w:val="19"/>
          <w:szCs w:val="19"/>
        </w:rPr>
        <w:t>21</w:t>
      </w:r>
    </w:p>
    <w:p>
      <w:pPr>
        <w:pStyle w:val="Style7"/>
        <w:keepNext w:val="0"/>
        <w:keepLines w:val="0"/>
        <w:framePr w:w="1517" w:h="653" w:wrap="none" w:vAnchor="text" w:hAnchor="page" w:x="6782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Ing. Petr Bukovski Jednatel prodávající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2050415</wp:posOffset>
            </wp:positionH>
            <wp:positionV relativeFrom="paragraph">
              <wp:posOffset>12700</wp:posOffset>
            </wp:positionV>
            <wp:extent cx="1078865" cy="83502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078865" cy="835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4" w:right="489" w:bottom="740" w:left="1767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Příloha č. 1 Specifikace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7" w:right="1695" w:bottom="1642" w:left="1758" w:header="0" w:footer="3" w:gutter="0"/>
          <w:cols w:space="720"/>
          <w:noEndnote/>
          <w:rtlGutter w:val="0"/>
          <w:docGrid w:linePitch="360"/>
        </w:sectPr>
      </w:pPr>
      <w:r>
        <w:rPr>
          <w:rStyle w:val="CharStyle8"/>
        </w:rPr>
        <w:t>Příloha č. 2 Ceník</w:t>
      </w:r>
    </w:p>
    <w:p>
      <w:pPr>
        <w:pStyle w:val="Style54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2" w:name="bookmark2"/>
      <w:r>
        <w:rPr>
          <w:rStyle w:val="CharStyle55"/>
          <w:rFonts w:ascii="Times New Roman" w:eastAsia="Times New Roman" w:hAnsi="Times New Roman" w:cs="Times New Roman"/>
          <w:b/>
          <w:bCs/>
          <w:sz w:val="22"/>
          <w:szCs w:val="22"/>
          <w:u w:val="none"/>
        </w:rPr>
        <w:t>SPECIFIKACE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83" w:lineRule="auto"/>
        <w:ind w:left="0" w:right="0" w:firstLine="0"/>
        <w:jc w:val="left"/>
      </w:pPr>
      <w:r>
        <w:rPr>
          <w:rStyle w:val="CharStyle10"/>
          <w:b/>
          <w:bCs/>
        </w:rPr>
        <w:t>Oděv musí splňovat ČSN EN ISO 13688 a ČSN EN ISO 20471 dle uvedených požadavků (obrázky oděvů jsou ilustrační).</w:t>
      </w:r>
    </w:p>
    <w:p>
      <w:pPr>
        <w:pStyle w:val="Style5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4" w:name="bookmark4"/>
      <w:r>
        <w:rPr>
          <w:rStyle w:val="CharStyle55"/>
          <w:b/>
          <w:bCs/>
          <w:u w:val="none"/>
        </w:rPr>
        <w:t>| KALHOTY LETNÍ</w:t>
      </w:r>
      <w:bookmarkEnd w:id="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</w:rPr>
        <w:t>Normy, které výrobek musí splňovat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0" w:line="276" w:lineRule="auto"/>
        <w:ind w:left="300" w:right="0" w:hanging="300"/>
        <w:jc w:val="both"/>
      </w:pPr>
      <w:r>
        <w:rPr>
          <w:rStyle w:val="CharStyle8"/>
        </w:rPr>
        <w:t>ČSN EN ISO 20471 tř. 2 s uvedením deklarovaných počtů cyklů údržby (Oděvy s vysokou viditelností - Zkušební metody a požadavky),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</w:rPr>
        <w:t>ČSN EN ISO 13688 (Ochranné oděvy - Obecné požadavky).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both"/>
      </w:pPr>
      <w:r>
        <w:rPr>
          <w:rStyle w:val="CharStyle8"/>
        </w:rPr>
        <w:t>Barva výrobku červená fluorescenční HIGH VISIBILITY, dle ČSN EN ISO 20471 v kombinaci s doplňkovou barvou tmavě modrou. Pružný a nastavitelný pas v rozpětí +/-1 velikost. Široká poutka na pásek 2 25mm. Zvýšený zadní pasový límec, pro ochranu bederní oblasti, dvě přední klínové kapsy. Dvě vakové uzavíratelné kapsy uzávěrem YKK na stehenní části kalhot. Minimálně jedna kapsa s rychlým přístupem v zadní části kalhot. Větrání ve stehenní oblasti s jištěním uzávěrem. Tvarované a zesílené kolenní části, trilaminátový materiál, vodní sloupec - odolnost proti pronikání vody Wp &gt;150 000 Pa, plošná hmotnost 2 170g/m2. Dolní část nohavice kalhot s možností regulování dolního obvodu nohavic pro přiléhání k obuvi. Všechny exponované švy jsou zajištěny ryglováním. Retroreflexní pruhy - 2 vodorovné (bez sklonu) pruhy po obvodu nohavic, min. 5 cm široké, umístění a materiál dle ČSN EN ISO 20471, stříbrný segmentový retroreflexní transfer, parametry retroreflexe pro dle ČSN EN ISO 20471 (oděr min. 410, ohyb min. 430 cd/lx.m2).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Technické údaje: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0" w:line="276" w:lineRule="auto"/>
        <w:ind w:left="300" w:right="0" w:hanging="300"/>
        <w:jc w:val="both"/>
      </w:pPr>
      <w:r>
        <w:rPr>
          <w:rStyle w:val="CharStyle8"/>
        </w:rPr>
        <w:t>dvouvrstvý laminát, vrchní vrstva tkanina 100% polyester s Ripstopovou nebo optickou Ripstopovou vazbou, spodní vrstva pletenina 100% polyester,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</w:rPr>
        <w:t>počet cyklů praní min. 50 chemotermodezinfekci při 60°C,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</w:rPr>
        <w:t>* plošná hmotnost 160g/m2 ±3%,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</w:rPr>
        <w:t>pevnost v tahu příčný a podélný směr &gt; 820 N,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</w:rPr>
        <w:t>změna rozměrů v obou směrech po pěti cyklech praní 60°C s 3%,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</w:rPr>
        <w:t>stálobarevnost v otěru za sucha 4-5, stupeň šedé stupnice,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440" w:line="276" w:lineRule="auto"/>
        <w:ind w:left="0" w:right="0" w:firstLine="0"/>
        <w:jc w:val="left"/>
      </w:pPr>
      <w:r>
        <w:rPr>
          <w:rStyle w:val="CharStyle8"/>
        </w:rPr>
        <w:t>stálobarevnost v potu alkalickém i kyselém 5/5, stupeň šedé stupnice.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rStyle w:val="CharStyle13"/>
        </w:rPr>
        <w:t>Technické parametry materiálu dle normativů:</w:t>
      </w:r>
    </w:p>
    <w:tbl>
      <w:tblPr>
        <w:tblOverlap w:val="never"/>
        <w:jc w:val="center"/>
        <w:tblLayout w:type="fixed"/>
      </w:tblPr>
      <w:tblGrid>
        <w:gridCol w:w="1613"/>
        <w:gridCol w:w="1666"/>
        <w:gridCol w:w="1594"/>
        <w:gridCol w:w="1450"/>
        <w:gridCol w:w="2126"/>
      </w:tblGrid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15"/>
              </w:rPr>
              <w:t>Tepelný odpor Ret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rStyle w:val="CharStyle15"/>
              </w:rPr>
              <w:t>Výpamý odpor Ret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rStyle w:val="CharStyle15"/>
              </w:rPr>
              <w:t>Vyrovnávání převodu tekutého potu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15"/>
              </w:rPr>
              <w:t>Odolnost proti pronikání vody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rStyle w:val="CharStyle15"/>
              </w:rPr>
              <w:t>Celková schopnost řízení průchodu vlhkosti (One- way trans.)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5"/>
              </w:rPr>
              <w:t>m2.K.W-1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5"/>
              </w:rPr>
              <w:t>m2.Pa.W-1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g/m2h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cm H2O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index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15"/>
              </w:rPr>
              <w:t>ČSN EN ISO 11092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15"/>
              </w:rPr>
              <w:t>ČSN EN ISO 11092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15"/>
              </w:rPr>
              <w:t>CEN/TR 16422 metota BPI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15"/>
              </w:rPr>
              <w:t>ČSN EN 20811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AATCC TM 195-2009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8"/>
        </w:rPr>
        <w:t>Technický Černobílý nákres výrobku: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Kalhoty letni dámské</w:t>
      </w:r>
    </w:p>
    <w:p>
      <w:pPr>
        <w:widowControl w:val="0"/>
        <w:spacing w:line="1" w:lineRule="exact"/>
      </w:pPr>
      <w:r>
        <w:drawing>
          <wp:anchor distT="114300" distB="0" distL="0" distR="0" simplePos="0" relativeHeight="125829382" behindDoc="0" locked="0" layoutInCell="1" allowOverlap="1">
            <wp:simplePos x="0" y="0"/>
            <wp:positionH relativeFrom="page">
              <wp:posOffset>1166495</wp:posOffset>
            </wp:positionH>
            <wp:positionV relativeFrom="paragraph">
              <wp:posOffset>114300</wp:posOffset>
            </wp:positionV>
            <wp:extent cx="1493520" cy="527939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493520" cy="5279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32715" distB="8890" distL="0" distR="0" simplePos="0" relativeHeight="125829383" behindDoc="0" locked="0" layoutInCell="1" allowOverlap="1">
            <wp:simplePos x="0" y="0"/>
            <wp:positionH relativeFrom="page">
              <wp:posOffset>3312160</wp:posOffset>
            </wp:positionH>
            <wp:positionV relativeFrom="paragraph">
              <wp:posOffset>132715</wp:posOffset>
            </wp:positionV>
            <wp:extent cx="1517650" cy="524891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517650" cy="52489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4"/>
        <w:keepNext/>
        <w:keepLines/>
        <w:widowControl w:val="0"/>
        <w:shd w:val="clear" w:color="auto" w:fill="auto"/>
        <w:tabs>
          <w:tab w:pos="8275" w:val="left"/>
        </w:tabs>
        <w:bidi w:val="0"/>
        <w:spacing w:before="0" w:after="220" w:line="240" w:lineRule="auto"/>
        <w:ind w:left="0" w:right="0" w:firstLine="0"/>
        <w:jc w:val="both"/>
      </w:pPr>
      <w:bookmarkStart w:id="6" w:name="bookmark6"/>
      <w:r>
        <w:rPr>
          <w:rStyle w:val="CharStyle55"/>
          <w:b/>
          <w:bCs/>
        </w:rPr>
        <w:t>| OSTATNÍ NÁLEŽITOSTI VÝROBKU:</w:t>
        <w:tab/>
        <w:t>|</w:t>
      </w:r>
      <w:bookmarkEnd w:id="6"/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0" w:line="276" w:lineRule="auto"/>
        <w:ind w:left="300" w:right="0" w:hanging="300"/>
        <w:jc w:val="both"/>
      </w:pPr>
      <w:r>
        <w:rPr>
          <w:rStyle w:val="CharStyle8"/>
        </w:rPr>
        <w:t>zabaleni každého výrobku do transparentního polyetylenového sáčku s označením specifikace zboží (např. návod k používání),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0" w:line="276" w:lineRule="auto"/>
        <w:ind w:left="300" w:right="0" w:hanging="300"/>
        <w:jc w:val="both"/>
      </w:pPr>
      <w:r>
        <w:rPr>
          <w:rStyle w:val="CharStyle8"/>
        </w:rPr>
        <w:t>ve všech oděvech bude všit čip pro zajištění počtu pracích cyklů, a to typ: RFID čip UHF LAUNDRYCHIPTM 401. Čipy zajistí dodavatel,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4" w:val="left"/>
        </w:tabs>
        <w:bidi w:val="0"/>
        <w:spacing w:before="0" w:after="100" w:line="276" w:lineRule="auto"/>
        <w:ind w:left="300" w:right="0" w:hanging="300"/>
        <w:jc w:val="both"/>
      </w:pPr>
      <w:r>
        <w:rPr>
          <w:rStyle w:val="CharStyle8"/>
        </w:rPr>
        <w:t>označení výrobku etiketou obsahující: název výrobku, označení výrobce, složení materiálu, velikost, symboly ošetření (piktogramy) dle ČSN EN ISO 3758 a datum výroby (měsíc/rok/výrobní číslo) a max. počet cyklů údržby. Je nutné uvést i příslušné normy a třídy, které má produkt splňovat (včetně piktogramů) a označení CE. Etiketa musí být všita na viditelném místě ve vnitřním švu výrobku,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0" w:line="283" w:lineRule="auto"/>
        <w:ind w:left="240" w:right="0" w:hanging="240"/>
        <w:jc w:val="both"/>
      </w:pPr>
      <w:r>
        <w:rPr>
          <w:rStyle w:val="CharStyle8"/>
        </w:rPr>
        <w:t>označení výrobku identifikačním štítkem (pro identifikaci uživatele) - štítek se jménem a střediskem uvedeným v objednávce kupujícího, případně čistý štítek sloužící k dodatečné identifikaci uživatele, doporučené velikosti 3 cm (+/- 0,5 cm) x 10 cm (+/- 0,5 cm) je všita do vnitřního švu produktu na optimálně zvoleném místě tak, aby umožňovala identifikaci oděvu nebo dopsání jména či jiné interně potřebné identifikace uživatele oděvu a nebyla překážkou v zapínání, estetice nebo v pohodlnosti při nošení,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rStyle w:val="CharStyle8"/>
        </w:rPr>
        <w:t>velikosti v souladu s ČSN EN ISO 13402-1; 2; 3,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rStyle w:val="CharStyle8"/>
        </w:rPr>
        <w:t>dámská - velikost XS-XXXL (36 - 60),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rStyle w:val="CharStyle8"/>
        </w:rPr>
        <w:t>pánská-velikost S-XXXXL (44-66),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2" w:val="left"/>
        </w:tabs>
        <w:bidi w:val="0"/>
        <w:spacing w:before="0" w:after="0" w:line="283" w:lineRule="auto"/>
        <w:ind w:left="240" w:right="0" w:hanging="240"/>
        <w:jc w:val="both"/>
      </w:pPr>
      <w:r>
        <w:rPr>
          <w:rStyle w:val="CharStyle8"/>
        </w:rPr>
        <w:t>prodloužené délky - kupující si vyhrazuje právo na dodávku prodloužených délek oděvu a rukávů, která se však nezapočítává do nestandardních velikostí (tzv. měřenek),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2" w:val="left"/>
        </w:tabs>
        <w:bidi w:val="0"/>
        <w:spacing w:before="0" w:after="0" w:line="283" w:lineRule="auto"/>
        <w:ind w:left="240" w:right="0" w:hanging="240"/>
        <w:jc w:val="both"/>
      </w:pPr>
      <w:r>
        <w:rPr>
          <w:rStyle w:val="CharStyle8"/>
        </w:rPr>
        <w:t>nestandardní velikosti - kupující si vymezuje právo objednat do 15% nestandardní velikosti (tzv. měřenek),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2" w:val="left"/>
        </w:tabs>
        <w:bidi w:val="0"/>
        <w:spacing w:before="0" w:after="540" w:line="283" w:lineRule="auto"/>
        <w:ind w:left="240" w:right="0" w:hanging="240"/>
        <w:jc w:val="both"/>
      </w:pPr>
      <w:r>
        <w:rPr>
          <w:rStyle w:val="CharStyle8"/>
        </w:rPr>
        <w:t>velikostní řada výrobků - součástí dodávky bude poskytnutí velikostní řady výrobků, v dámském i pánském provedení - tzv. měrné sady (měrné sady budou zadavateli poskytnuty co nejdříve po podpisu smlouvy s vybraným uchazečem, musí být v souladu s ČSN EN ISO 13402-1 ;2;3 a pokud budou splňovat přesnou specifikaci výrobku, budou zadavatelem odkoupeny za jednotkové ceny uvedené v nabídce tohoto dodavatele, a to na základě objednávky zadavatele).</w:t>
      </w:r>
    </w:p>
    <w:p>
      <w:pPr>
        <w:pStyle w:val="Style5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8" w:name="bookmark8"/>
      <w:r>
        <w:rPr>
          <w:rStyle w:val="CharStyle55"/>
          <w:rFonts w:ascii="Arial" w:eastAsia="Arial" w:hAnsi="Arial" w:cs="Arial"/>
          <w:b/>
          <w:bCs/>
          <w:sz w:val="22"/>
          <w:szCs w:val="22"/>
          <w:u w:val="none"/>
        </w:rPr>
        <w:t>CENÍK</w:t>
      </w:r>
      <w:bookmarkEnd w:id="8"/>
    </w:p>
    <w:tbl>
      <w:tblPr>
        <w:tblOverlap w:val="never"/>
        <w:jc w:val="center"/>
        <w:tblLayout w:type="fixed"/>
      </w:tblPr>
      <w:tblGrid>
        <w:gridCol w:w="1752"/>
        <w:gridCol w:w="2669"/>
        <w:gridCol w:w="1896"/>
        <w:gridCol w:w="1992"/>
      </w:tblGrid>
      <w:tr>
        <w:trPr>
          <w:trHeight w:val="48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5"/>
              </w:rPr>
              <w:t>Název zboží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5"/>
              </w:rPr>
              <w:t>Typ/označení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Cena za ks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5"/>
              </w:rPr>
              <w:t>Cena za ks vč. DPH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Kalhoty letní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6"/>
                <w:szCs w:val="16"/>
              </w:rPr>
            </w:pPr>
            <w:r>
              <w:rPr>
                <w:rStyle w:val="CharStyle15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K50QACD1MN8DHHA430OO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2350 Kč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2843,50 Kč</w:t>
            </w:r>
          </w:p>
        </w:tc>
      </w:tr>
    </w:tbl>
    <w:sectPr>
      <w:footerReference w:type="default" r:id="rId14"/>
      <w:footerReference w:type="first" r:id="rId15"/>
      <w:footnotePr>
        <w:pos w:val="pageBottom"/>
        <w:numFmt w:val="decimal"/>
        <w:numRestart w:val="continuous"/>
      </w:footnotePr>
      <w:pgSz w:w="11900" w:h="16840"/>
      <w:pgMar w:top="1717" w:right="1695" w:bottom="1642" w:left="1758" w:header="0" w:footer="3" w:gutter="0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6972935</wp:posOffset>
              </wp:positionH>
              <wp:positionV relativeFrom="page">
                <wp:posOffset>10200640</wp:posOffset>
              </wp:positionV>
              <wp:extent cx="283210" cy="7302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21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fldSimple w:instr=" PAGE \* MERGEFORMAT "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9.05000000000007pt;margin-top:803.20000000000005pt;width:22.30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sz w:val="14"/>
                        <w:szCs w:val="14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6972935</wp:posOffset>
              </wp:positionH>
              <wp:positionV relativeFrom="page">
                <wp:posOffset>10200640</wp:posOffset>
              </wp:positionV>
              <wp:extent cx="283210" cy="7302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21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fldSimple w:instr=" PAGE \* MERGEFORMAT "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/43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49.05000000000007pt;margin-top:803.20000000000005pt;width:22.300000000000001pt;height:5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sz w:val="14"/>
                        <w:szCs w:val="14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6971030</wp:posOffset>
              </wp:positionH>
              <wp:positionV relativeFrom="page">
                <wp:posOffset>10148570</wp:posOffset>
              </wp:positionV>
              <wp:extent cx="286385" cy="7620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638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fldSimple w:instr=" PAGE \* MERGEFORMAT "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/43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48.89999999999998pt;margin-top:799.10000000000002pt;width:22.550000000000001pt;height:6.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sz w:val="14"/>
                        <w:szCs w:val="14"/>
                      </w:rPr>
                      <w:t xml:space="preserve"> 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6">
    <w:name w:val="Základní text (3)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2">
    <w:name w:val="Nadpis #1_"/>
    <w:basedOn w:val="DefaultParagraphFont"/>
    <w:link w:val="Style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55">
    <w:name w:val="Nadpis #2_"/>
    <w:basedOn w:val="DefaultParagraphFont"/>
    <w:link w:val="Style5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22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  <w:ind w:firstLine="3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22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5">
    <w:name w:val="Základní text (3)"/>
    <w:basedOn w:val="Normal"/>
    <w:link w:val="CharStyle36"/>
    <w:pPr>
      <w:widowControl w:val="0"/>
      <w:shd w:val="clear" w:color="auto" w:fill="auto"/>
      <w:spacing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41">
    <w:name w:val="Nadpis #1"/>
    <w:basedOn w:val="Normal"/>
    <w:link w:val="CharStyle42"/>
    <w:pPr>
      <w:widowControl w:val="0"/>
      <w:shd w:val="clear" w:color="auto" w:fill="auto"/>
      <w:jc w:val="center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54">
    <w:name w:val="Nadpis #2"/>
    <w:basedOn w:val="Normal"/>
    <w:link w:val="CharStyle55"/>
    <w:pPr>
      <w:widowControl w:val="0"/>
      <w:shd w:val="clear" w:color="auto" w:fill="auto"/>
      <w:spacing w:after="190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footer" Target="footer2.xml"/><Relationship Id="rId15" Type="http://schemas.openxmlformats.org/officeDocument/2006/relationships/footer" Target="footer3.xml"/></Relationships>
</file>